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DD1CC" w14:textId="77777777" w:rsidR="005B58AE" w:rsidRPr="000152D7" w:rsidRDefault="005B58AE" w:rsidP="005B58AE">
      <w:pPr>
        <w:pStyle w:val="BodyTextIndent"/>
        <w:spacing w:after="0"/>
        <w:ind w:left="0" w:firstLine="284"/>
        <w:rPr>
          <w:rFonts w:cs="Calibri"/>
          <w:b/>
          <w:szCs w:val="24"/>
          <w:lang w:val="ka-GE"/>
        </w:rPr>
      </w:pPr>
      <w:bookmarkStart w:id="0" w:name="_GoBack"/>
      <w:bookmarkEnd w:id="0"/>
    </w:p>
    <w:p w14:paraId="6466690E" w14:textId="77777777" w:rsidR="005B58AE" w:rsidRPr="00F71918" w:rsidRDefault="005B58AE" w:rsidP="005B58AE">
      <w:pPr>
        <w:pStyle w:val="BodyTextIndent"/>
        <w:spacing w:after="0"/>
        <w:ind w:left="0" w:firstLine="284"/>
        <w:rPr>
          <w:rFonts w:cs="Calibri"/>
          <w:b/>
          <w:szCs w:val="24"/>
          <w:lang w:val="ka-GE"/>
        </w:rPr>
      </w:pPr>
    </w:p>
    <w:p w14:paraId="47D93825" w14:textId="77777777" w:rsidR="005B58AE" w:rsidRPr="00F71918" w:rsidRDefault="005B58AE" w:rsidP="005B58AE">
      <w:pPr>
        <w:pStyle w:val="BodyTextIndent"/>
        <w:spacing w:after="0"/>
        <w:ind w:left="0" w:firstLine="284"/>
        <w:rPr>
          <w:rFonts w:cs="Calibri"/>
          <w:b/>
          <w:szCs w:val="24"/>
          <w:lang w:val="ka-GE"/>
        </w:rPr>
      </w:pPr>
    </w:p>
    <w:p w14:paraId="734BB928" w14:textId="77777777" w:rsidR="005B58AE" w:rsidRPr="00F71918" w:rsidRDefault="005B58AE" w:rsidP="005B58AE">
      <w:pPr>
        <w:pStyle w:val="BodyTextIndent"/>
        <w:spacing w:after="0"/>
        <w:ind w:left="0" w:firstLine="284"/>
        <w:rPr>
          <w:rFonts w:cs="Calibri"/>
          <w:b/>
          <w:szCs w:val="24"/>
          <w:lang w:val="ka-GE"/>
        </w:rPr>
      </w:pPr>
    </w:p>
    <w:p w14:paraId="3B0B2BF1" w14:textId="77777777" w:rsidR="005B58AE" w:rsidRPr="00F71918" w:rsidRDefault="005B58AE" w:rsidP="005B58AE">
      <w:pPr>
        <w:pStyle w:val="BodyTextIndent"/>
        <w:spacing w:after="0"/>
        <w:ind w:left="0" w:firstLine="284"/>
        <w:rPr>
          <w:rFonts w:cs="Calibri"/>
          <w:b/>
          <w:szCs w:val="24"/>
          <w:lang w:val="ka-GE"/>
        </w:rPr>
      </w:pPr>
    </w:p>
    <w:p w14:paraId="36A1927F" w14:textId="77777777" w:rsidR="005B58AE" w:rsidRPr="00F71918" w:rsidRDefault="005B58AE" w:rsidP="005B58AE">
      <w:pPr>
        <w:pStyle w:val="BodyTextIndent"/>
        <w:spacing w:after="0"/>
        <w:ind w:left="0" w:firstLine="284"/>
        <w:rPr>
          <w:rFonts w:cs="Calibri"/>
          <w:b/>
          <w:szCs w:val="24"/>
          <w:lang w:val="ka-GE"/>
        </w:rPr>
      </w:pPr>
    </w:p>
    <w:p w14:paraId="6F7DD2B9" w14:textId="77777777" w:rsidR="005B58AE" w:rsidRPr="00F71918" w:rsidRDefault="005B58AE" w:rsidP="005B58AE">
      <w:pPr>
        <w:pStyle w:val="BodyTextIndent"/>
        <w:spacing w:after="0"/>
        <w:ind w:left="0" w:firstLine="284"/>
        <w:rPr>
          <w:rFonts w:cs="Calibri"/>
          <w:b/>
          <w:szCs w:val="24"/>
          <w:lang w:val="ka-GE"/>
        </w:rPr>
      </w:pPr>
    </w:p>
    <w:p w14:paraId="4909F313" w14:textId="77777777" w:rsidR="005B58AE" w:rsidRPr="00F71918" w:rsidRDefault="005B58AE" w:rsidP="005B58AE">
      <w:pPr>
        <w:pStyle w:val="BodyTextIndent"/>
        <w:spacing w:after="0"/>
        <w:ind w:left="0" w:firstLine="284"/>
        <w:rPr>
          <w:rFonts w:cs="Calibri"/>
          <w:b/>
          <w:szCs w:val="24"/>
          <w:lang w:val="ka-GE"/>
        </w:rPr>
      </w:pPr>
    </w:p>
    <w:p w14:paraId="1DBF0116" w14:textId="77777777" w:rsidR="005B58AE" w:rsidRPr="00F71918" w:rsidRDefault="005B58AE" w:rsidP="005B58AE">
      <w:pPr>
        <w:pStyle w:val="BodyTextIndent"/>
        <w:spacing w:after="0"/>
        <w:ind w:left="0" w:firstLine="284"/>
        <w:rPr>
          <w:rFonts w:cs="Calibri"/>
          <w:b/>
          <w:szCs w:val="24"/>
          <w:lang w:val="ka-GE"/>
        </w:rPr>
      </w:pPr>
    </w:p>
    <w:p w14:paraId="43997305" w14:textId="77777777" w:rsidR="005B58AE" w:rsidRDefault="005B58AE" w:rsidP="005B58AE">
      <w:pPr>
        <w:pStyle w:val="BodyTextIndent"/>
        <w:spacing w:after="0"/>
        <w:ind w:left="0" w:firstLine="284"/>
        <w:rPr>
          <w:rFonts w:cs="Calibri"/>
          <w:b/>
          <w:szCs w:val="24"/>
          <w:lang w:val="ka-GE"/>
        </w:rPr>
      </w:pPr>
    </w:p>
    <w:p w14:paraId="70DE7256" w14:textId="77777777" w:rsidR="00AF6C1C" w:rsidRDefault="00AF6C1C" w:rsidP="005B58AE">
      <w:pPr>
        <w:pStyle w:val="BodyTextIndent"/>
        <w:spacing w:after="0"/>
        <w:ind w:left="0" w:firstLine="284"/>
        <w:rPr>
          <w:rFonts w:cs="Calibri"/>
          <w:b/>
          <w:szCs w:val="24"/>
          <w:lang w:val="ka-GE"/>
        </w:rPr>
      </w:pPr>
    </w:p>
    <w:p w14:paraId="20D5402F" w14:textId="77777777" w:rsidR="00AF6C1C" w:rsidRPr="00F71918" w:rsidRDefault="00AF6C1C" w:rsidP="005B58AE">
      <w:pPr>
        <w:pStyle w:val="BodyTextIndent"/>
        <w:spacing w:after="0"/>
        <w:ind w:left="0" w:firstLine="284"/>
        <w:rPr>
          <w:rFonts w:cs="Calibri"/>
          <w:b/>
          <w:szCs w:val="24"/>
          <w:lang w:val="ka-GE"/>
        </w:rPr>
      </w:pPr>
    </w:p>
    <w:p w14:paraId="300C1721" w14:textId="77777777" w:rsidR="005B58AE" w:rsidRPr="00F71918" w:rsidRDefault="005B58AE" w:rsidP="005B58AE">
      <w:pPr>
        <w:pStyle w:val="BodyTextIndent"/>
        <w:spacing w:after="0"/>
        <w:ind w:left="0" w:firstLine="284"/>
        <w:rPr>
          <w:rFonts w:cs="Calibri"/>
          <w:b/>
          <w:szCs w:val="24"/>
          <w:lang w:val="ka-GE"/>
        </w:rPr>
      </w:pPr>
    </w:p>
    <w:p w14:paraId="5AE00E79" w14:textId="77777777" w:rsidR="005B58AE" w:rsidRPr="00F71918" w:rsidRDefault="005B58AE" w:rsidP="005B58AE">
      <w:pPr>
        <w:pStyle w:val="BodyTextIndent"/>
        <w:spacing w:after="0"/>
        <w:ind w:left="0" w:firstLine="284"/>
        <w:rPr>
          <w:rFonts w:cs="Calibri"/>
          <w:b/>
          <w:szCs w:val="24"/>
          <w:lang w:val="ka-GE"/>
        </w:rPr>
      </w:pPr>
    </w:p>
    <w:p w14:paraId="60982EB7" w14:textId="77777777" w:rsidR="005B58AE" w:rsidRPr="00F71918" w:rsidRDefault="005B58AE" w:rsidP="005B58AE">
      <w:pPr>
        <w:pStyle w:val="BodyTextIndent"/>
        <w:spacing w:after="0"/>
        <w:ind w:left="0" w:firstLine="284"/>
        <w:rPr>
          <w:rFonts w:cs="Calibri"/>
          <w:b/>
          <w:szCs w:val="24"/>
          <w:lang w:val="ka-GE"/>
        </w:rPr>
      </w:pPr>
    </w:p>
    <w:p w14:paraId="49451EDC" w14:textId="77777777" w:rsidR="005B58AE" w:rsidRPr="00F71918" w:rsidRDefault="005B58AE" w:rsidP="005B58AE">
      <w:pPr>
        <w:pStyle w:val="BodyTextIndent"/>
        <w:spacing w:after="0"/>
        <w:ind w:left="0" w:firstLine="0"/>
        <w:rPr>
          <w:rFonts w:cs="Calibri"/>
          <w:b/>
          <w:szCs w:val="24"/>
          <w:lang w:val="ka-GE"/>
        </w:rPr>
      </w:pPr>
    </w:p>
    <w:p w14:paraId="7BBDCBD7" w14:textId="77777777" w:rsidR="005B58AE" w:rsidRPr="00F71918" w:rsidRDefault="005B58AE" w:rsidP="005B58AE">
      <w:pPr>
        <w:pStyle w:val="BodyTextIndent"/>
        <w:spacing w:after="0"/>
        <w:ind w:left="0" w:firstLine="0"/>
        <w:rPr>
          <w:rFonts w:cs="Calibri"/>
          <w:b/>
          <w:szCs w:val="24"/>
          <w:lang w:val="ka-GE"/>
        </w:rPr>
      </w:pPr>
    </w:p>
    <w:p w14:paraId="3B41E2DA" w14:textId="7C08D52E" w:rsidR="005B58AE" w:rsidRPr="00F71918" w:rsidRDefault="005B58AE" w:rsidP="005B58AE">
      <w:pPr>
        <w:pStyle w:val="BodyTextIndent"/>
        <w:spacing w:after="100" w:afterAutospacing="1"/>
        <w:ind w:left="0" w:firstLine="284"/>
        <w:rPr>
          <w:szCs w:val="24"/>
          <w:lang w:val="ka-GE"/>
        </w:rPr>
      </w:pPr>
      <w:r w:rsidRPr="00F71918">
        <w:rPr>
          <w:rFonts w:cs="Calibri"/>
          <w:b/>
          <w:szCs w:val="24"/>
          <w:lang w:val="ka-GE"/>
        </w:rPr>
        <w:t>№1/</w:t>
      </w:r>
      <w:r w:rsidR="000152D7">
        <w:rPr>
          <w:rFonts w:cs="Calibri"/>
          <w:b/>
          <w:szCs w:val="24"/>
        </w:rPr>
        <w:t>12/</w:t>
      </w:r>
      <w:r w:rsidRPr="00F71918">
        <w:rPr>
          <w:rFonts w:cs="Calibri"/>
          <w:b/>
          <w:szCs w:val="24"/>
          <w:lang w:val="ka-GE"/>
        </w:rPr>
        <w:t>1628</w:t>
      </w:r>
      <w:r w:rsidRPr="00F71918">
        <w:rPr>
          <w:rFonts w:cs="Calibri"/>
          <w:b/>
          <w:szCs w:val="24"/>
          <w:lang w:val="ka-GE"/>
        </w:rPr>
        <w:tab/>
      </w:r>
      <w:r w:rsidRPr="00F71918">
        <w:rPr>
          <w:rFonts w:cs="Calibri"/>
          <w:b/>
          <w:szCs w:val="24"/>
          <w:lang w:val="ka-GE"/>
        </w:rPr>
        <w:tab/>
      </w:r>
      <w:r w:rsidRPr="00F71918">
        <w:rPr>
          <w:rFonts w:cs="Calibri"/>
          <w:b/>
          <w:szCs w:val="24"/>
          <w:lang w:val="ka-GE"/>
        </w:rPr>
        <w:tab/>
      </w:r>
      <w:r w:rsidRPr="00F71918">
        <w:rPr>
          <w:rFonts w:cs="Calibri"/>
          <w:b/>
          <w:szCs w:val="24"/>
          <w:lang w:val="ka-GE"/>
        </w:rPr>
        <w:tab/>
      </w:r>
      <w:r w:rsidRPr="00F71918">
        <w:rPr>
          <w:rFonts w:cs="Calibri"/>
          <w:b/>
          <w:szCs w:val="24"/>
          <w:lang w:val="ka-GE"/>
        </w:rPr>
        <w:tab/>
      </w:r>
      <w:r w:rsidR="00135580">
        <w:rPr>
          <w:rFonts w:cs="Calibri"/>
          <w:b/>
          <w:szCs w:val="24"/>
        </w:rPr>
        <w:t xml:space="preserve">  </w:t>
      </w:r>
      <w:r w:rsidR="00135580">
        <w:rPr>
          <w:rFonts w:cs="Calibri"/>
          <w:b/>
          <w:szCs w:val="24"/>
          <w:lang w:val="ka-GE"/>
        </w:rPr>
        <w:t xml:space="preserve">           </w:t>
      </w:r>
      <w:r w:rsidR="00135580">
        <w:rPr>
          <w:rFonts w:cs="Calibri"/>
          <w:b/>
          <w:szCs w:val="24"/>
        </w:rPr>
        <w:t xml:space="preserve"> </w:t>
      </w:r>
      <w:r w:rsidRPr="00F71918">
        <w:rPr>
          <w:rFonts w:cs="Calibri"/>
          <w:b/>
          <w:szCs w:val="24"/>
        </w:rPr>
        <w:t xml:space="preserve"> </w:t>
      </w:r>
      <w:r w:rsidRPr="00F71918">
        <w:rPr>
          <w:rFonts w:cs="Sylfaen"/>
          <w:b/>
          <w:szCs w:val="24"/>
          <w:lang w:val="ka-GE"/>
        </w:rPr>
        <w:t>ბათუმი, 202</w:t>
      </w:r>
      <w:r w:rsidRPr="00F71918">
        <w:rPr>
          <w:rFonts w:cs="Sylfaen"/>
          <w:b/>
          <w:szCs w:val="24"/>
        </w:rPr>
        <w:t>3</w:t>
      </w:r>
      <w:r w:rsidRPr="00F71918">
        <w:rPr>
          <w:rFonts w:cs="Sylfaen"/>
          <w:b/>
          <w:szCs w:val="24"/>
          <w:lang w:val="ka-GE"/>
        </w:rPr>
        <w:t xml:space="preserve"> წლის </w:t>
      </w:r>
      <w:r w:rsidR="000152D7">
        <w:rPr>
          <w:rFonts w:cs="Sylfaen"/>
          <w:b/>
          <w:szCs w:val="24"/>
        </w:rPr>
        <w:t>15</w:t>
      </w:r>
      <w:r w:rsidRPr="00F71918">
        <w:rPr>
          <w:rFonts w:cs="Sylfaen"/>
          <w:b/>
          <w:szCs w:val="24"/>
          <w:lang w:val="ka-GE"/>
        </w:rPr>
        <w:t xml:space="preserve"> მარტი</w:t>
      </w:r>
    </w:p>
    <w:p w14:paraId="69A8A6D3" w14:textId="77777777" w:rsidR="005B58AE" w:rsidRPr="00F71918" w:rsidRDefault="005B58AE" w:rsidP="005B58AE">
      <w:pPr>
        <w:spacing w:after="0" w:line="276" w:lineRule="auto"/>
        <w:ind w:firstLine="284"/>
        <w:rPr>
          <w:rFonts w:cs="Calibri"/>
          <w:b/>
          <w:szCs w:val="24"/>
          <w:lang w:val="ka-GE"/>
        </w:rPr>
      </w:pPr>
      <w:r w:rsidRPr="00F71918">
        <w:rPr>
          <w:rFonts w:cs="Calibri"/>
          <w:b/>
          <w:szCs w:val="24"/>
          <w:lang w:val="ka-GE"/>
        </w:rPr>
        <w:t xml:space="preserve">კოლეგიის შემადგენლობა: </w:t>
      </w:r>
    </w:p>
    <w:p w14:paraId="0614E07F" w14:textId="77777777" w:rsidR="005B58AE" w:rsidRPr="00F71918" w:rsidRDefault="005B58AE" w:rsidP="005B58AE">
      <w:pPr>
        <w:pStyle w:val="BodyTextIndent"/>
        <w:spacing w:after="0"/>
        <w:ind w:left="0" w:firstLine="284"/>
        <w:rPr>
          <w:szCs w:val="24"/>
          <w:highlight w:val="yellow"/>
          <w:lang w:val="ka-GE"/>
        </w:rPr>
      </w:pPr>
      <w:r w:rsidRPr="00F71918">
        <w:rPr>
          <w:rFonts w:cs="Sylfaen"/>
          <w:szCs w:val="24"/>
          <w:lang w:val="ka-GE"/>
        </w:rPr>
        <w:t xml:space="preserve">ვასილ როინიშვილი </w:t>
      </w:r>
      <w:r w:rsidRPr="00F71918">
        <w:rPr>
          <w:szCs w:val="24"/>
          <w:lang w:val="ka-GE"/>
        </w:rPr>
        <w:t xml:space="preserve">– </w:t>
      </w:r>
      <w:r w:rsidRPr="00F71918">
        <w:rPr>
          <w:rFonts w:cs="Sylfaen"/>
          <w:szCs w:val="24"/>
          <w:lang w:val="ka-GE"/>
        </w:rPr>
        <w:t>სხდომის თავმჯდომარე</w:t>
      </w:r>
      <w:r w:rsidRPr="00F71918">
        <w:rPr>
          <w:szCs w:val="24"/>
          <w:lang w:val="ka-GE"/>
        </w:rPr>
        <w:t>;</w:t>
      </w:r>
    </w:p>
    <w:p w14:paraId="69F51491" w14:textId="77777777" w:rsidR="005B58AE" w:rsidRPr="00F71918" w:rsidRDefault="005B58AE" w:rsidP="005B58AE">
      <w:pPr>
        <w:pStyle w:val="BodyTextIndent"/>
        <w:spacing w:after="0"/>
        <w:ind w:left="0" w:firstLine="284"/>
        <w:rPr>
          <w:szCs w:val="24"/>
          <w:lang w:val="ka-GE"/>
        </w:rPr>
      </w:pPr>
      <w:r w:rsidRPr="00F71918">
        <w:rPr>
          <w:rFonts w:cs="Sylfaen"/>
          <w:szCs w:val="24"/>
          <w:lang w:val="ka-GE"/>
        </w:rPr>
        <w:t xml:space="preserve">ევა გოცირიძე </w:t>
      </w:r>
      <w:r w:rsidRPr="00F71918">
        <w:rPr>
          <w:szCs w:val="24"/>
          <w:lang w:val="ka-GE"/>
        </w:rPr>
        <w:t xml:space="preserve">– </w:t>
      </w:r>
      <w:r w:rsidRPr="00F71918">
        <w:rPr>
          <w:rFonts w:cs="Sylfaen"/>
          <w:szCs w:val="24"/>
          <w:lang w:val="ka-GE"/>
        </w:rPr>
        <w:t>წევრი</w:t>
      </w:r>
      <w:r w:rsidRPr="00F71918">
        <w:rPr>
          <w:szCs w:val="24"/>
          <w:lang w:val="ka-GE"/>
        </w:rPr>
        <w:t xml:space="preserve">; </w:t>
      </w:r>
    </w:p>
    <w:p w14:paraId="7A22F3DC" w14:textId="77777777" w:rsidR="005B58AE" w:rsidRPr="00F71918" w:rsidRDefault="005B58AE" w:rsidP="005B58AE">
      <w:pPr>
        <w:pStyle w:val="BodyTextIndent"/>
        <w:spacing w:after="0"/>
        <w:ind w:left="0" w:firstLine="284"/>
        <w:rPr>
          <w:szCs w:val="24"/>
          <w:highlight w:val="yellow"/>
          <w:lang w:val="ka-GE"/>
        </w:rPr>
      </w:pPr>
      <w:r w:rsidRPr="00F71918">
        <w:rPr>
          <w:rFonts w:cs="Sylfaen"/>
          <w:szCs w:val="24"/>
          <w:lang w:val="ka-GE"/>
        </w:rPr>
        <w:t xml:space="preserve">გიორგი კვერენჩხილაძე </w:t>
      </w:r>
      <w:r w:rsidRPr="00F71918">
        <w:rPr>
          <w:szCs w:val="24"/>
          <w:lang w:val="ka-GE"/>
        </w:rPr>
        <w:t xml:space="preserve">– </w:t>
      </w:r>
      <w:r w:rsidRPr="00F71918">
        <w:rPr>
          <w:rFonts w:cs="Sylfaen"/>
          <w:szCs w:val="24"/>
          <w:lang w:val="ka-GE"/>
        </w:rPr>
        <w:t>წევრი, მომხსენებელი მოსამართლე</w:t>
      </w:r>
      <w:r w:rsidRPr="00F71918">
        <w:rPr>
          <w:szCs w:val="24"/>
          <w:lang w:val="ka-GE"/>
        </w:rPr>
        <w:t>;</w:t>
      </w:r>
    </w:p>
    <w:p w14:paraId="29F2426C" w14:textId="77777777" w:rsidR="005B58AE" w:rsidRPr="00F71918" w:rsidRDefault="005B58AE" w:rsidP="005B58AE">
      <w:pPr>
        <w:pStyle w:val="BodyTextIndent"/>
        <w:spacing w:after="100" w:afterAutospacing="1"/>
        <w:ind w:left="0" w:firstLine="284"/>
        <w:rPr>
          <w:szCs w:val="24"/>
          <w:lang w:val="ka-GE"/>
        </w:rPr>
      </w:pPr>
      <w:r w:rsidRPr="00F71918">
        <w:rPr>
          <w:rFonts w:cs="Sylfaen"/>
          <w:szCs w:val="24"/>
          <w:lang w:val="ka-GE"/>
        </w:rPr>
        <w:t>გიორგი თევდორაშვილი</w:t>
      </w:r>
      <w:r w:rsidRPr="00F71918">
        <w:rPr>
          <w:szCs w:val="24"/>
          <w:lang w:val="ka-GE"/>
        </w:rPr>
        <w:t xml:space="preserve"> – წევრი.</w:t>
      </w:r>
    </w:p>
    <w:p w14:paraId="4DEAFAAE" w14:textId="77777777" w:rsidR="005B58AE" w:rsidRPr="00F71918" w:rsidRDefault="005B58AE" w:rsidP="005B58AE">
      <w:pPr>
        <w:pStyle w:val="BodyTextIndent"/>
        <w:spacing w:after="100" w:afterAutospacing="1"/>
        <w:ind w:left="0" w:firstLine="284"/>
        <w:rPr>
          <w:rFonts w:eastAsia="Times New Roman" w:cs="Sylfaen"/>
          <w:szCs w:val="24"/>
          <w:lang w:val="ka-GE"/>
        </w:rPr>
      </w:pPr>
      <w:r w:rsidRPr="00F71918">
        <w:rPr>
          <w:b/>
          <w:szCs w:val="24"/>
          <w:lang w:val="ka-GE"/>
        </w:rPr>
        <w:t xml:space="preserve">სხდომის მდივანი: </w:t>
      </w:r>
      <w:r w:rsidRPr="00F71918">
        <w:rPr>
          <w:rFonts w:eastAsia="Times New Roman" w:cs="Sylfaen"/>
          <w:szCs w:val="24"/>
          <w:lang w:val="ka-GE"/>
        </w:rPr>
        <w:t>მანანა ლომთათიძე.</w:t>
      </w:r>
    </w:p>
    <w:p w14:paraId="4A9FD00F" w14:textId="77777777" w:rsidR="005B58AE" w:rsidRPr="00F71918" w:rsidRDefault="005B58AE" w:rsidP="005B58AE">
      <w:pPr>
        <w:pStyle w:val="BodyTextIndent"/>
        <w:spacing w:after="100" w:afterAutospacing="1"/>
        <w:ind w:left="0" w:firstLine="284"/>
        <w:rPr>
          <w:szCs w:val="24"/>
          <w:lang w:val="ka-GE"/>
        </w:rPr>
      </w:pPr>
      <w:r w:rsidRPr="00F71918">
        <w:rPr>
          <w:b/>
          <w:szCs w:val="24"/>
          <w:lang w:val="ka-GE"/>
        </w:rPr>
        <w:t>საქმის დასახელება:</w:t>
      </w:r>
      <w:r w:rsidRPr="00F71918">
        <w:rPr>
          <w:szCs w:val="24"/>
          <w:lang w:val="ka-GE"/>
        </w:rPr>
        <w:t xml:space="preserve"> საქართველოს სახალხო დამცველი საქართველოს პარლამენტის წინააღმდეგ. </w:t>
      </w:r>
    </w:p>
    <w:p w14:paraId="6FFDAA09" w14:textId="77777777" w:rsidR="005B58AE" w:rsidRPr="00F71918" w:rsidRDefault="005B58AE" w:rsidP="005B58AE">
      <w:pPr>
        <w:pStyle w:val="BodyTextIndent"/>
        <w:spacing w:after="100" w:afterAutospacing="1"/>
        <w:ind w:left="0" w:firstLine="284"/>
        <w:rPr>
          <w:szCs w:val="24"/>
          <w:lang w:val="ka-GE"/>
        </w:rPr>
      </w:pPr>
      <w:r w:rsidRPr="00F71918">
        <w:rPr>
          <w:b/>
          <w:bCs/>
          <w:szCs w:val="24"/>
          <w:lang w:val="ka-GE"/>
        </w:rPr>
        <w:t xml:space="preserve">დავის საგანი: </w:t>
      </w:r>
      <w:r w:rsidRPr="00F71918">
        <w:rPr>
          <w:szCs w:val="24"/>
          <w:lang w:val="ka-GE"/>
        </w:rPr>
        <w:t>„საერთაშორისო დაცვის შესახებ“ საქართველოს კანონის მე-7 მუხლის მე-4 პუნქტის კონსტიტუციურობა საქართველოს კონსტიტუციის 33-ე მუხლის მე-3 პუნქტთან მიმართებით.</w:t>
      </w:r>
      <w:bookmarkStart w:id="1" w:name="_Hlk79410982"/>
    </w:p>
    <w:p w14:paraId="71710C42" w14:textId="77777777" w:rsidR="005B58AE" w:rsidRPr="00F71918" w:rsidRDefault="005B58AE" w:rsidP="005B58AE">
      <w:pPr>
        <w:pStyle w:val="BodyTextIndent"/>
        <w:spacing w:after="100" w:afterAutospacing="1"/>
        <w:ind w:left="0" w:firstLine="284"/>
        <w:rPr>
          <w:szCs w:val="24"/>
          <w:lang w:val="ka-GE"/>
        </w:rPr>
      </w:pPr>
      <w:r w:rsidRPr="00F71918">
        <w:rPr>
          <w:b/>
          <w:szCs w:val="24"/>
          <w:lang w:val="ka-GE"/>
        </w:rPr>
        <w:t>საქმის განხილვის მონაწილეები:</w:t>
      </w:r>
      <w:r w:rsidRPr="00F71918">
        <w:rPr>
          <w:szCs w:val="24"/>
          <w:lang w:val="ka-GE"/>
        </w:rPr>
        <w:t xml:space="preserve"> მოსარჩელე მხარის წარმომადგენელი მიხეილ შარაშიძე; მოპასუხე მხარის – საქართველოს პარლამენტის წარმომადგენლები – ქრისტინე კუპრავა, ლევან </w:t>
      </w:r>
      <w:proofErr w:type="spellStart"/>
      <w:r w:rsidRPr="00F71918">
        <w:rPr>
          <w:szCs w:val="24"/>
          <w:lang w:val="ka-GE"/>
        </w:rPr>
        <w:t>ღავთაძე</w:t>
      </w:r>
      <w:proofErr w:type="spellEnd"/>
      <w:r w:rsidRPr="00F71918">
        <w:rPr>
          <w:szCs w:val="24"/>
          <w:lang w:val="ka-GE"/>
        </w:rPr>
        <w:t xml:space="preserve"> და ნინო შარმანაშვილი; საჯარო დაწესებულების – საქართველოს შინაგან საქმეთა სამინისტროს წარმომადგენელები – საქართველოს შინაგან საქმეთა სამინისტროს იურიდიული დეპარტამენტის დირექტორი ლანა ცანავა, საქართველოს შინაგან საქმეთა სამინისტროს </w:t>
      </w:r>
      <w:r w:rsidRPr="00F71918">
        <w:rPr>
          <w:szCs w:val="24"/>
          <w:lang w:val="ka-GE"/>
        </w:rPr>
        <w:lastRenderedPageBreak/>
        <w:t>საერთაშორისო ურთიერთობების დეპარტამენტის საერთაშორისო სამართლებრივი თანამშრომლობის სამმართველოს უფროსის მოადგილე თამთა ზაალიშვილი და საქართველოს შინაგან საქმეთა სამინისტროს იურიდიული დეპარტამენტის მოსამსახურე მარიამ ჭიკაძე; საჯარო დაწესებულების – საქართველოს სახელმწიფო უსაფრთხოების სამსახურის წარმომადგენელი თეიმურაზ მიქაბერიძე.</w:t>
      </w:r>
    </w:p>
    <w:p w14:paraId="18F03CE2" w14:textId="77777777" w:rsidR="005B58AE" w:rsidRPr="00F71918" w:rsidRDefault="005B58AE" w:rsidP="005B58AE">
      <w:pPr>
        <w:pStyle w:val="BodyTextIndent"/>
        <w:spacing w:after="100" w:afterAutospacing="1"/>
        <w:ind w:left="0" w:firstLine="360"/>
        <w:rPr>
          <w:szCs w:val="24"/>
          <w:lang w:val="ka-GE"/>
        </w:rPr>
      </w:pPr>
    </w:p>
    <w:p w14:paraId="535C7C26" w14:textId="77777777" w:rsidR="005B58AE" w:rsidRPr="00F71918" w:rsidRDefault="005B58AE" w:rsidP="005B58AE">
      <w:pPr>
        <w:pStyle w:val="Heading1"/>
        <w:spacing w:before="0" w:beforeAutospacing="0" w:line="276" w:lineRule="auto"/>
        <w:jc w:val="center"/>
        <w:rPr>
          <w:b/>
          <w:bCs w:val="0"/>
          <w:szCs w:val="24"/>
          <w:lang w:val="ka-GE"/>
        </w:rPr>
      </w:pPr>
      <w:r w:rsidRPr="00F71918">
        <w:rPr>
          <w:b/>
          <w:bCs w:val="0"/>
          <w:szCs w:val="24"/>
          <w:lang w:val="ka-GE"/>
        </w:rPr>
        <w:t>I</w:t>
      </w:r>
      <w:r w:rsidRPr="00F71918">
        <w:rPr>
          <w:b/>
          <w:bCs w:val="0"/>
          <w:szCs w:val="24"/>
          <w:lang w:val="ka-GE"/>
        </w:rPr>
        <w:br/>
        <w:t>აღწერილობითი ნაწილი</w:t>
      </w:r>
    </w:p>
    <w:bookmarkEnd w:id="1"/>
    <w:p w14:paraId="1E1393AD" w14:textId="3ED3D5DC" w:rsidR="005B58AE" w:rsidRPr="00F71918" w:rsidRDefault="005B58AE" w:rsidP="005B58AE">
      <w:pPr>
        <w:pStyle w:val="ListParagraph"/>
        <w:numPr>
          <w:ilvl w:val="0"/>
          <w:numId w:val="1"/>
        </w:numPr>
        <w:spacing w:after="0" w:line="276" w:lineRule="auto"/>
        <w:ind w:left="0" w:firstLine="284"/>
        <w:rPr>
          <w:szCs w:val="24"/>
          <w:lang w:val="ka-GE"/>
        </w:rPr>
      </w:pPr>
      <w:r w:rsidRPr="00F71918">
        <w:rPr>
          <w:szCs w:val="24"/>
          <w:lang w:val="ka-GE"/>
        </w:rPr>
        <w:t>საქართველოს საკონსტიტუციო სასამართლოს 2021 წლის 22 ივლისს კონსტიტუციური სარჩელით (რეგისტრაციის №1628) მომართა საქართველოს სახალხო დამცველმა. №1628 კონსტიტუციური სარჩელი</w:t>
      </w:r>
      <w:r w:rsidR="0077162A">
        <w:rPr>
          <w:szCs w:val="24"/>
          <w:lang w:val="ka-GE"/>
        </w:rPr>
        <w:t>,</w:t>
      </w:r>
      <w:r w:rsidRPr="00F71918">
        <w:rPr>
          <w:szCs w:val="24"/>
          <w:lang w:val="ka-GE"/>
        </w:rPr>
        <w:t xml:space="preserve">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2021 წლის 23 ივლისს. საქართველოს საკონსტიტუციო სასამართლოს პირველი კოლეგიის </w:t>
      </w:r>
      <w:proofErr w:type="spellStart"/>
      <w:r w:rsidRPr="00F71918">
        <w:rPr>
          <w:szCs w:val="24"/>
          <w:lang w:val="ka-GE"/>
        </w:rPr>
        <w:t>განმწესრიგებელი</w:t>
      </w:r>
      <w:proofErr w:type="spellEnd"/>
      <w:r w:rsidRPr="00F71918">
        <w:rPr>
          <w:szCs w:val="24"/>
          <w:lang w:val="ka-GE"/>
        </w:rPr>
        <w:t xml:space="preserve"> სხდომა, ზეპირი მოსმენის გარეშე, გაიმართა 2021 წლის 16 დეკემბერს.</w:t>
      </w:r>
      <w:r w:rsidRPr="00F71918">
        <w:rPr>
          <w:szCs w:val="24"/>
          <w:lang w:val="en-US"/>
        </w:rPr>
        <w:t xml:space="preserve"> </w:t>
      </w:r>
      <w:r w:rsidRPr="00F71918">
        <w:rPr>
          <w:szCs w:val="24"/>
          <w:lang w:val="ka-GE"/>
        </w:rPr>
        <w:t xml:space="preserve">საქართველოს საკონსტიტუციო სასამართლოს 2021 წლის 16 დეკემბრის №1/15/1628 საოქმო ჩანაწერით </w:t>
      </w:r>
      <w:r w:rsidRPr="00F71918">
        <w:rPr>
          <w:szCs w:val="24"/>
          <w:lang w:val="en-US"/>
        </w:rPr>
        <w:t>№</w:t>
      </w:r>
      <w:r w:rsidRPr="00F71918">
        <w:rPr>
          <w:szCs w:val="24"/>
          <w:lang w:val="ka-GE"/>
        </w:rPr>
        <w:t xml:space="preserve">1628 კონსტიტუციური სარჩელი ნაწილობრივ იქნა არსებითად განსახილველად მიღებული. </w:t>
      </w:r>
      <w:r w:rsidRPr="00F71918">
        <w:rPr>
          <w:szCs w:val="24"/>
          <w:lang w:val="en-US"/>
        </w:rPr>
        <w:t>№</w:t>
      </w:r>
      <w:r w:rsidRPr="00F71918">
        <w:rPr>
          <w:szCs w:val="24"/>
          <w:lang w:val="ka-GE"/>
        </w:rPr>
        <w:t xml:space="preserve">1628 კონსტიტუციური სარჩელის არსებითი განხილვის სხდომა, ზეპირი მოსმენით, გაიმართა 2023 წლის 23 და 24 თებერვალს. </w:t>
      </w:r>
    </w:p>
    <w:p w14:paraId="70150D77" w14:textId="77777777" w:rsidR="005B58AE" w:rsidRPr="00F71918" w:rsidRDefault="005B58AE" w:rsidP="005B58AE">
      <w:pPr>
        <w:pStyle w:val="ListParagraph"/>
        <w:numPr>
          <w:ilvl w:val="0"/>
          <w:numId w:val="1"/>
        </w:numPr>
        <w:spacing w:after="0" w:line="276" w:lineRule="auto"/>
        <w:ind w:left="0" w:firstLine="284"/>
        <w:rPr>
          <w:szCs w:val="24"/>
          <w:lang w:val="ka-GE"/>
        </w:rPr>
      </w:pPr>
      <w:r w:rsidRPr="00F71918">
        <w:rPr>
          <w:szCs w:val="24"/>
          <w:lang w:val="ka-GE"/>
        </w:rPr>
        <w:t>№1628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 საქართველოს კონსტიტუციის მე-60 მუხლის მე-4 პუნქტის „ა“ ქვეპუნქტი</w:t>
      </w:r>
      <w:r w:rsidR="009D3447">
        <w:rPr>
          <w:szCs w:val="24"/>
          <w:lang w:val="ka-GE"/>
        </w:rPr>
        <w:t>;</w:t>
      </w:r>
      <w:r w:rsidRPr="00F71918">
        <w:rPr>
          <w:szCs w:val="24"/>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p w14:paraId="72B28237" w14:textId="77777777" w:rsidR="005B58AE" w:rsidRPr="00F71918" w:rsidRDefault="005B58AE" w:rsidP="005B58AE">
      <w:pPr>
        <w:pStyle w:val="ListParagraph"/>
        <w:numPr>
          <w:ilvl w:val="0"/>
          <w:numId w:val="1"/>
        </w:numPr>
        <w:spacing w:after="0" w:line="276" w:lineRule="auto"/>
        <w:ind w:left="0" w:firstLine="284"/>
        <w:rPr>
          <w:szCs w:val="24"/>
          <w:lang w:val="ka-GE"/>
        </w:rPr>
      </w:pPr>
      <w:r w:rsidRPr="00F71918">
        <w:rPr>
          <w:szCs w:val="24"/>
          <w:lang w:val="ka-GE"/>
        </w:rPr>
        <w:t xml:space="preserve">„საერთაშორისო დაცვის შესახებ“ საქართველოს კანონის მე-7 მუხლის მე-4 პუნქტის თანახმად, თუ საერთაშორისო დაცვის თაობაზე შესაბამისი საბოლოო გადაწყვეტილებით განისაზღვრება, რომ უცხოელი ან მოქალაქეობის არმქონე პირი საერთაშორისო დაცვას არ საჭიროებს, მასზე აღარ გავრცელდება ამავე მუხლის პირველი პუნქტით გათვალისწინებული სისხლისსამართლებრივი პასუხისმგებლობისგან გათავისუფლების მექანიზმი/წესი. </w:t>
      </w:r>
    </w:p>
    <w:p w14:paraId="453A7F14" w14:textId="77777777" w:rsidR="005B58AE" w:rsidRPr="00F71918" w:rsidRDefault="005B58AE" w:rsidP="005B58AE">
      <w:pPr>
        <w:pStyle w:val="ListParagraph"/>
        <w:numPr>
          <w:ilvl w:val="0"/>
          <w:numId w:val="1"/>
        </w:numPr>
        <w:spacing w:after="0" w:line="276" w:lineRule="auto"/>
        <w:ind w:left="0" w:firstLine="284"/>
        <w:rPr>
          <w:szCs w:val="24"/>
          <w:lang w:val="ka-GE"/>
        </w:rPr>
      </w:pPr>
      <w:r w:rsidRPr="00F71918">
        <w:rPr>
          <w:szCs w:val="24"/>
          <w:lang w:val="ka-GE"/>
        </w:rPr>
        <w:t>საქართველოს კონსტიტუციის 33–ე მუხლის მე-3 პუნქტის მიხედვით, საერთაშორისო სამართლის საყოველთაოდ აღიარებული ნორმების შესაბამისად, კანონით დადგენილი წესით საქართველო თავშესაფარს აძლევს სხვა სახელმწიფოს მოქალაქეებსა და მოქალაქეობის არმქონე პირებს.</w:t>
      </w:r>
    </w:p>
    <w:p w14:paraId="7029E8EC" w14:textId="3B4653E5" w:rsidR="005B58AE" w:rsidRPr="0083114F" w:rsidRDefault="005B58AE" w:rsidP="0083114F">
      <w:pPr>
        <w:pStyle w:val="ListParagraph"/>
        <w:numPr>
          <w:ilvl w:val="0"/>
          <w:numId w:val="1"/>
        </w:numPr>
        <w:spacing w:after="0" w:line="276" w:lineRule="auto"/>
        <w:ind w:left="0" w:firstLine="284"/>
        <w:rPr>
          <w:szCs w:val="24"/>
          <w:lang w:val="ka-GE"/>
        </w:rPr>
      </w:pPr>
      <w:r w:rsidRPr="00F71918">
        <w:rPr>
          <w:szCs w:val="24"/>
          <w:lang w:val="ka-GE"/>
        </w:rPr>
        <w:lastRenderedPageBreak/>
        <w:t>№1628 კონსტიტუციურ სარჩელში აღნიშნულია, რომ თუ უცხოელი ან მოქალაქეობის არმქონე პირი „საერთაშორისო დაცვის შესახებ“ საქართველოს კანონის მოთხოვნების შესაბამისად იმოქმედებს ანუ საქართველოს ტერიტორიაზე უკანონოდ შემოსვლისას დაუყოვნებლივ გამოცხადდება ხელისუფლების ორგანო</w:t>
      </w:r>
      <w:r w:rsidR="007A11DB">
        <w:rPr>
          <w:szCs w:val="24"/>
          <w:lang w:val="ka-GE"/>
        </w:rPr>
        <w:t>ებ</w:t>
      </w:r>
      <w:r w:rsidRPr="00F71918">
        <w:rPr>
          <w:szCs w:val="24"/>
          <w:lang w:val="ka-GE"/>
        </w:rPr>
        <w:t xml:space="preserve">ში, წარადგენს სათანადო განმარტებას დასჯადი ქმედების ჩადენის მიზეზთან დაკავშირებით და მოითხოვს საერთაშორისო დაცვას, მას მიენიჭება თავშესაფრის მაძიებელი პირის სტატუსი და ცნობა, თუმცა განცხადების განხილვისა და საბოლოო გადაწყვეტილების მიღების შემდეგ, </w:t>
      </w:r>
      <w:r w:rsidR="0083114F" w:rsidRPr="0083114F">
        <w:rPr>
          <w:szCs w:val="24"/>
          <w:lang w:val="ka-GE"/>
        </w:rPr>
        <w:t>თუ პირის მიმართ მიღებული იქნება გადაწყვეტილება საერთაშორისო დაცვის მინიჭებაზე უარის თქმის შესახებ</w:t>
      </w:r>
      <w:r w:rsidR="0083114F">
        <w:rPr>
          <w:szCs w:val="24"/>
          <w:lang w:val="en-US"/>
        </w:rPr>
        <w:t xml:space="preserve"> </w:t>
      </w:r>
      <w:r w:rsidRPr="0083114F">
        <w:rPr>
          <w:szCs w:val="24"/>
          <w:lang w:val="ka-GE"/>
        </w:rPr>
        <w:t>იგი დაექვემდებარება სისხლისსამართლებრივ პასუხისმგებლობას საქართველოს ტერიტორიაზე უკანონოდ შემოსვლისთვის. მოსარჩელე მხარის პოზიციით, ზემოაღნიშნული ქმედებისთვის სისხლისსამართლებრივ პასუხისმგებლობაში იგულისხმება საქართველოს სისხლის სამართლის კოდექსის 322</w:t>
      </w:r>
      <w:r w:rsidRPr="0083114F">
        <w:rPr>
          <w:szCs w:val="24"/>
          <w:vertAlign w:val="superscript"/>
          <w:lang w:val="ka-GE"/>
        </w:rPr>
        <w:t>1</w:t>
      </w:r>
      <w:r w:rsidRPr="0083114F">
        <w:rPr>
          <w:szCs w:val="24"/>
          <w:lang w:val="ka-GE"/>
        </w:rPr>
        <w:t xml:space="preserve">, 344-ე და 362-ე მუხლებით დადგენილი პასუხისმგებლობა – კერძოდ კი, „ოკუპირებული ტერიტორიების შესახებ“ საქართველოს კანონით დადგენილი წესის დარღვევით საქართველოს ოკუპირებულ ტერიტორიაზე შესვლისათვის, საქართველოს სახელმწიფო საზღვრის უკანონოდ გადაკვეთისათვის და ყალბი დოკუმენტის, ბეჭდის, შტამპის ან ბლანკის დამზადების, გასაღების ან გამოყენებისათვის. მოსარჩელე მხარე მიიჩნევს, რომ უცხოელი ან მოქალაქეობის არმქონე პირის ქმედების დანაშაულად მიჩნევისა და სისხლისსამართლებრივი პასუხისმგებლობის დაკისრებისთვის გადამწყვეტია არა თავად აღნიშნული პირის მოქმედება და პასუხისმგებლობის </w:t>
      </w:r>
      <w:proofErr w:type="spellStart"/>
      <w:r w:rsidRPr="0083114F">
        <w:rPr>
          <w:szCs w:val="24"/>
          <w:lang w:val="ka-GE"/>
        </w:rPr>
        <w:t>გამომრიცხავი</w:t>
      </w:r>
      <w:proofErr w:type="spellEnd"/>
      <w:r w:rsidRPr="0083114F">
        <w:rPr>
          <w:szCs w:val="24"/>
          <w:lang w:val="ka-GE"/>
        </w:rPr>
        <w:t xml:space="preserve"> გარემოებები, არამედ ის, თუ შემდგომში როგორ გადაწყვეტილებას მიიღებს შესაბამისი სახელმწიფო ორგანო.</w:t>
      </w:r>
    </w:p>
    <w:p w14:paraId="12D98A97" w14:textId="112438DC" w:rsidR="005B58AE" w:rsidRPr="00F71918" w:rsidRDefault="005B58AE" w:rsidP="005B58AE">
      <w:pPr>
        <w:pStyle w:val="ListParagraph"/>
        <w:numPr>
          <w:ilvl w:val="0"/>
          <w:numId w:val="1"/>
        </w:numPr>
        <w:spacing w:after="0" w:line="276" w:lineRule="auto"/>
        <w:ind w:left="0" w:firstLine="284"/>
        <w:rPr>
          <w:szCs w:val="24"/>
          <w:lang w:val="ka-GE"/>
        </w:rPr>
      </w:pPr>
      <w:r w:rsidRPr="00F71918">
        <w:rPr>
          <w:szCs w:val="24"/>
          <w:lang w:val="ka-GE"/>
        </w:rPr>
        <w:t>საქართველოს სახალხო დამცველის განმარტებით, სადავო ნორმა სისხლისსამართლებრივი პასუხისმგებლობისგან გათავისუფლების წინაპირობად განსაზღვრავს თავშესაფრის მოთხოვნაზე განცხადების წარდგენას, თუმცა უშუალოდ პასუხისმგებლობის დაკისრებას შესაძლებელს ხდის აღნიშნული მოთხოვნის დაუკმაყოფილებლობის შემთხვევაში. მოსარჩელე მხარე მიიჩნევს, რომ როდესაც თავშესაფრის მაძიებელი ინდივიდისათვის ცხადად არ არის უზრუნველყოფილი სისხლისსამართლებრივი პასუხისმგებლობისგან გათავისუფლების გარანტია და მისგან დამოუკიდებელი, ხშირად, გაურკვეველი მიზეზებით, იგი შეიძლება, დაექვემდებაროს დასჯას, მან შესაძლოა, წინასწარვე, საერთოდ უარი თქვას თავშესაფრის მოთხოვნაზე. სწორედ ამიტომ, მოსარჩელე მიიჩნევს, რომ სადავო ნორმით გათვალისწინებულ მოწესრიგებას მსუსხავი ეფექტი გააჩნია თავშესაფრის მიღების კონსტიტუციურ უფლებასთან მიმართებით და, შესაბამისად, არღვევს საქართველოს კონსტიტუციის 33-ე მუხლის მე-3 პუნქტს.</w:t>
      </w:r>
    </w:p>
    <w:p w14:paraId="6B9F730F" w14:textId="268C4380" w:rsidR="005B58AE" w:rsidRPr="00E44E5D" w:rsidRDefault="005B58AE" w:rsidP="00E44E5D">
      <w:pPr>
        <w:pStyle w:val="ListParagraph"/>
        <w:numPr>
          <w:ilvl w:val="0"/>
          <w:numId w:val="1"/>
        </w:numPr>
        <w:spacing w:after="100" w:afterAutospacing="1" w:line="276" w:lineRule="auto"/>
        <w:ind w:left="0" w:firstLine="284"/>
        <w:rPr>
          <w:szCs w:val="24"/>
          <w:lang w:val="ka-GE"/>
        </w:rPr>
      </w:pPr>
      <w:r w:rsidRPr="00F71918">
        <w:rPr>
          <w:szCs w:val="24"/>
          <w:lang w:val="ka-GE"/>
        </w:rPr>
        <w:t xml:space="preserve">მოსარჩელე მხარე, საკუთარი არგუმენტაციის გასამყარებლად, მიუთითებს საქართველოს საკონსტიტუციო სასამართლოს პრაქტიკასა და </w:t>
      </w:r>
      <w:proofErr w:type="spellStart"/>
      <w:r w:rsidRPr="00F71918">
        <w:rPr>
          <w:szCs w:val="24"/>
          <w:lang w:val="ka-GE"/>
        </w:rPr>
        <w:t>საერთაშორისოსამართლებრივ</w:t>
      </w:r>
      <w:proofErr w:type="spellEnd"/>
      <w:r w:rsidRPr="00F71918">
        <w:rPr>
          <w:szCs w:val="24"/>
          <w:lang w:val="ka-GE"/>
        </w:rPr>
        <w:t xml:space="preserve"> დოკუმენტებზე. </w:t>
      </w:r>
      <w:bookmarkStart w:id="2" w:name="_Hlk79410993"/>
    </w:p>
    <w:p w14:paraId="5F0DE65B" w14:textId="77777777" w:rsidR="005B58AE" w:rsidRPr="00F71918" w:rsidRDefault="005B58AE" w:rsidP="005B58AE">
      <w:pPr>
        <w:pStyle w:val="Heading1"/>
        <w:spacing w:before="0" w:beforeAutospacing="0" w:line="276" w:lineRule="auto"/>
        <w:jc w:val="center"/>
        <w:rPr>
          <w:b/>
          <w:bCs w:val="0"/>
          <w:szCs w:val="24"/>
          <w:lang w:val="ka-GE"/>
        </w:rPr>
      </w:pPr>
      <w:r w:rsidRPr="00F71918">
        <w:rPr>
          <w:b/>
          <w:bCs w:val="0"/>
          <w:szCs w:val="24"/>
          <w:lang w:val="ka-GE"/>
        </w:rPr>
        <w:lastRenderedPageBreak/>
        <w:t>II</w:t>
      </w:r>
      <w:r w:rsidRPr="00F71918">
        <w:rPr>
          <w:b/>
          <w:bCs w:val="0"/>
          <w:szCs w:val="24"/>
          <w:lang w:val="ka-GE"/>
        </w:rPr>
        <w:br/>
      </w:r>
      <w:proofErr w:type="spellStart"/>
      <w:r w:rsidRPr="00F71918">
        <w:rPr>
          <w:b/>
          <w:bCs w:val="0"/>
          <w:szCs w:val="24"/>
          <w:lang w:val="ka-GE"/>
        </w:rPr>
        <w:t>სამოტივაციო</w:t>
      </w:r>
      <w:proofErr w:type="spellEnd"/>
      <w:r w:rsidRPr="00F71918">
        <w:rPr>
          <w:b/>
          <w:bCs w:val="0"/>
          <w:szCs w:val="24"/>
          <w:lang w:val="ka-GE"/>
        </w:rPr>
        <w:t xml:space="preserve"> ნაწილი</w:t>
      </w:r>
    </w:p>
    <w:p w14:paraId="334B1E15" w14:textId="77777777" w:rsidR="005B58AE" w:rsidRPr="00F71918" w:rsidRDefault="005B58AE" w:rsidP="005B58AE">
      <w:pPr>
        <w:numPr>
          <w:ilvl w:val="0"/>
          <w:numId w:val="3"/>
        </w:numPr>
        <w:spacing w:after="0"/>
        <w:ind w:left="0" w:firstLine="284"/>
        <w:rPr>
          <w:szCs w:val="24"/>
          <w:lang w:val="ka-GE"/>
        </w:rPr>
      </w:pPr>
      <w:r w:rsidRPr="00F71918">
        <w:rPr>
          <w:szCs w:val="24"/>
          <w:lang w:val="ka-GE"/>
        </w:rPr>
        <w:t xml:space="preserve">№1628 კონსტიტუციურ სარჩელში მოსარჩელე მხარეს წარმოადგენს საქართველოს სახალხო დამცველი. 2023 წლის 24 თებერვალს, საქმის არსებითი განხილვის მიმდინარეობისას, საქართველოს სახალხო დამცველის წარმომადგენელმა, მიხეილ შარაშიძემ, შუამდგომლობით მომართა საქართველოს საკონსტიტუციო სასამართლოს და უარი თქვა </w:t>
      </w:r>
      <w:proofErr w:type="spellStart"/>
      <w:r w:rsidRPr="00F71918">
        <w:rPr>
          <w:szCs w:val="24"/>
          <w:lang w:val="ka-GE"/>
        </w:rPr>
        <w:t>სასარჩელო</w:t>
      </w:r>
      <w:proofErr w:type="spellEnd"/>
      <w:r w:rsidRPr="00F71918">
        <w:rPr>
          <w:szCs w:val="24"/>
          <w:lang w:val="ka-GE"/>
        </w:rPr>
        <w:t xml:space="preserve"> მოთხოვნაზე. </w:t>
      </w:r>
    </w:p>
    <w:p w14:paraId="63CDCA1E" w14:textId="77777777" w:rsidR="005B58AE" w:rsidRPr="00F71918" w:rsidRDefault="005B58AE" w:rsidP="005B58AE">
      <w:pPr>
        <w:numPr>
          <w:ilvl w:val="0"/>
          <w:numId w:val="3"/>
        </w:numPr>
        <w:spacing w:after="0"/>
        <w:ind w:left="0" w:firstLine="284"/>
        <w:rPr>
          <w:szCs w:val="24"/>
          <w:lang w:val="ka-GE"/>
        </w:rPr>
      </w:pPr>
      <w:r w:rsidRPr="00F71918">
        <w:rPr>
          <w:szCs w:val="24"/>
          <w:lang w:val="ka-GE"/>
        </w:rPr>
        <w:t xml:space="preserve">„საქართველოს საკონსტიტუციო სასამართლოს შესახებ“ საქართველოს ორგანული კანონის 29-ე მუხლის მე-2 პუნქტის მიხედვით, მოსარჩელეს უფლება აქვს, უარი თქვას </w:t>
      </w:r>
      <w:proofErr w:type="spellStart"/>
      <w:r w:rsidRPr="00F71918">
        <w:rPr>
          <w:szCs w:val="24"/>
          <w:lang w:val="ka-GE"/>
        </w:rPr>
        <w:t>სასარჩელო</w:t>
      </w:r>
      <w:proofErr w:type="spellEnd"/>
      <w:r w:rsidRPr="00F71918">
        <w:rPr>
          <w:szCs w:val="24"/>
          <w:lang w:val="ka-GE"/>
        </w:rPr>
        <w:t xml:space="preserve"> მოთხოვნაზე. ამასთანავე, </w:t>
      </w:r>
      <w:proofErr w:type="spellStart"/>
      <w:r w:rsidRPr="00F71918">
        <w:rPr>
          <w:szCs w:val="24"/>
          <w:lang w:val="ka-GE"/>
        </w:rPr>
        <w:t>სასარჩელო</w:t>
      </w:r>
      <w:proofErr w:type="spellEnd"/>
      <w:r w:rsidRPr="00F71918">
        <w:rPr>
          <w:szCs w:val="24"/>
          <w:lang w:val="ka-GE"/>
        </w:rPr>
        <w:t xml:space="preserve"> მოთხოვნაზე უარის თქმა იწვევს საქართველოს საკონსტიტუციო სასამართლოში საქმის შეწყვეტას.</w:t>
      </w:r>
    </w:p>
    <w:p w14:paraId="68CFCD78" w14:textId="77777777" w:rsidR="005B58AE" w:rsidRPr="00F71918" w:rsidRDefault="005B58AE" w:rsidP="005B58AE">
      <w:pPr>
        <w:numPr>
          <w:ilvl w:val="0"/>
          <w:numId w:val="3"/>
        </w:numPr>
        <w:spacing w:after="0"/>
        <w:ind w:left="0" w:firstLine="284"/>
        <w:rPr>
          <w:szCs w:val="24"/>
          <w:lang w:val="ka-GE"/>
        </w:rPr>
      </w:pPr>
      <w:r w:rsidRPr="00F71918">
        <w:rPr>
          <w:szCs w:val="24"/>
          <w:lang w:val="ka-GE"/>
        </w:rPr>
        <w:t>ამრიგად, „საქართველოს საკონსტიტუციო სასამართლოს შესახებ“ საქართველოს ორგანული კანონის 29-ე მუხლის მე-2 პუნქტზე დაყრდნობით, №1628 კონსტიტუციურ სარჩელზე საქმე უნდა შეწყდეს.</w:t>
      </w:r>
    </w:p>
    <w:p w14:paraId="070A5601" w14:textId="77777777" w:rsidR="005B58AE" w:rsidRPr="00F71918" w:rsidRDefault="005B58AE" w:rsidP="005B58AE">
      <w:pPr>
        <w:rPr>
          <w:szCs w:val="24"/>
          <w:lang w:val="ka-GE"/>
        </w:rPr>
      </w:pPr>
    </w:p>
    <w:p w14:paraId="32921CEF" w14:textId="77777777" w:rsidR="005B58AE" w:rsidRPr="00F71918" w:rsidRDefault="005B58AE" w:rsidP="005B58AE">
      <w:pPr>
        <w:rPr>
          <w:szCs w:val="24"/>
          <w:lang w:val="ka-GE"/>
        </w:rPr>
      </w:pPr>
    </w:p>
    <w:p w14:paraId="2A6CDBFC" w14:textId="77777777" w:rsidR="005B58AE" w:rsidRPr="00F71918" w:rsidRDefault="005B58AE" w:rsidP="005B58AE">
      <w:pPr>
        <w:pStyle w:val="Heading1"/>
        <w:spacing w:before="0" w:beforeAutospacing="0" w:line="276" w:lineRule="auto"/>
        <w:jc w:val="center"/>
        <w:rPr>
          <w:b/>
          <w:bCs w:val="0"/>
          <w:szCs w:val="24"/>
          <w:lang w:val="ka-GE"/>
        </w:rPr>
      </w:pPr>
      <w:r w:rsidRPr="00F71918">
        <w:rPr>
          <w:b/>
          <w:bCs w:val="0"/>
          <w:szCs w:val="24"/>
          <w:lang w:val="ka-GE"/>
        </w:rPr>
        <w:t>III</w:t>
      </w:r>
      <w:r w:rsidRPr="00F71918">
        <w:rPr>
          <w:b/>
          <w:bCs w:val="0"/>
          <w:szCs w:val="24"/>
          <w:lang w:val="ka-GE"/>
        </w:rPr>
        <w:br/>
      </w:r>
      <w:proofErr w:type="spellStart"/>
      <w:r w:rsidRPr="00F71918">
        <w:rPr>
          <w:b/>
          <w:bCs w:val="0"/>
          <w:szCs w:val="24"/>
          <w:lang w:val="ka-GE"/>
        </w:rPr>
        <w:t>სარეზოლუციო</w:t>
      </w:r>
      <w:proofErr w:type="spellEnd"/>
      <w:r w:rsidRPr="00F71918">
        <w:rPr>
          <w:b/>
          <w:bCs w:val="0"/>
          <w:szCs w:val="24"/>
          <w:lang w:val="ka-GE"/>
        </w:rPr>
        <w:t xml:space="preserve"> ნაწილი</w:t>
      </w:r>
    </w:p>
    <w:p w14:paraId="2D402040" w14:textId="77777777" w:rsidR="005B58AE" w:rsidRPr="00F71918" w:rsidRDefault="005B58AE" w:rsidP="005B58AE">
      <w:pPr>
        <w:spacing w:after="100" w:afterAutospacing="1" w:line="276" w:lineRule="auto"/>
        <w:ind w:firstLine="284"/>
        <w:rPr>
          <w:rFonts w:eastAsia="Sylfaen"/>
          <w:szCs w:val="24"/>
          <w:lang w:val="ka-GE" w:eastAsia="zh-CN"/>
        </w:rPr>
      </w:pPr>
      <w:r w:rsidRPr="00F71918">
        <w:rPr>
          <w:rFonts w:eastAsia="Sylfaen"/>
          <w:szCs w:val="24"/>
          <w:lang w:val="ka-GE" w:eastAsia="zh-CN"/>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29-ე მუხლის მე-2 პუნქტის, 39-ე მუხლის პირველი პუნქტის „ბ“ ქვეპუნქტის, 43-ე მუხლის პირველი, მე-2, მე-7, მე-8, მე-10 და მე-13 პუნქტების საფუძველზე,</w:t>
      </w:r>
    </w:p>
    <w:p w14:paraId="1021F897" w14:textId="77777777" w:rsidR="005B58AE" w:rsidRPr="00F71918" w:rsidRDefault="005B58AE" w:rsidP="005B58AE">
      <w:pPr>
        <w:spacing w:after="100" w:afterAutospacing="1" w:line="276" w:lineRule="auto"/>
        <w:jc w:val="center"/>
        <w:rPr>
          <w:b/>
          <w:bCs/>
          <w:szCs w:val="24"/>
          <w:lang w:val="ka-GE"/>
        </w:rPr>
      </w:pPr>
      <w:r w:rsidRPr="00F71918">
        <w:rPr>
          <w:b/>
          <w:bCs/>
          <w:szCs w:val="24"/>
          <w:lang w:val="ka-GE"/>
        </w:rPr>
        <w:t>საქართველოს საკონსტიტუციო სასამართლო</w:t>
      </w:r>
      <w:r w:rsidRPr="00F71918">
        <w:rPr>
          <w:b/>
          <w:bCs/>
          <w:szCs w:val="24"/>
          <w:lang w:val="ka-GE"/>
        </w:rPr>
        <w:br/>
        <w:t>ა დ გ ე ნ ს:</w:t>
      </w:r>
    </w:p>
    <w:p w14:paraId="024A7B52" w14:textId="77777777" w:rsidR="005B58AE" w:rsidRPr="00F71918" w:rsidRDefault="005B58AE" w:rsidP="005B58AE">
      <w:pPr>
        <w:numPr>
          <w:ilvl w:val="0"/>
          <w:numId w:val="2"/>
        </w:numPr>
        <w:spacing w:after="0" w:line="276" w:lineRule="auto"/>
        <w:ind w:left="0" w:firstLine="284"/>
        <w:rPr>
          <w:szCs w:val="24"/>
          <w:lang w:val="ka-GE"/>
        </w:rPr>
      </w:pPr>
      <w:r w:rsidRPr="00F71918">
        <w:rPr>
          <w:szCs w:val="24"/>
          <w:lang w:val="ka-GE"/>
        </w:rPr>
        <w:t>შეწყდეს საქმე №1628 კონსტიტუციურ სარჩელზე („საქართველოს სახალხო დამცველი საქართველოს პარლამენტის წინააღმდეგ“).</w:t>
      </w:r>
    </w:p>
    <w:p w14:paraId="7E69B0AF" w14:textId="77777777" w:rsidR="005B58AE" w:rsidRPr="00F71918" w:rsidRDefault="005B58AE" w:rsidP="005B58AE">
      <w:pPr>
        <w:numPr>
          <w:ilvl w:val="0"/>
          <w:numId w:val="2"/>
        </w:numPr>
        <w:spacing w:after="0" w:line="276" w:lineRule="auto"/>
        <w:ind w:left="0" w:firstLine="284"/>
        <w:rPr>
          <w:szCs w:val="24"/>
          <w:lang w:val="ka-GE"/>
        </w:rPr>
      </w:pPr>
      <w:r w:rsidRPr="00F71918">
        <w:rPr>
          <w:szCs w:val="24"/>
          <w:lang w:val="ka-GE"/>
        </w:rPr>
        <w:t>განჩინება საბოლოოა და გასაჩივრებას ან გადასინჯვას არ ექვემდებარება.</w:t>
      </w:r>
    </w:p>
    <w:p w14:paraId="37AC16BF" w14:textId="77777777" w:rsidR="005B58AE" w:rsidRPr="00F71918" w:rsidRDefault="005B58AE" w:rsidP="005B58AE">
      <w:pPr>
        <w:numPr>
          <w:ilvl w:val="0"/>
          <w:numId w:val="2"/>
        </w:numPr>
        <w:spacing w:after="0" w:line="276" w:lineRule="auto"/>
        <w:ind w:left="0" w:firstLine="284"/>
        <w:rPr>
          <w:szCs w:val="24"/>
          <w:lang w:val="ka-GE"/>
        </w:rPr>
      </w:pPr>
      <w:r w:rsidRPr="00F71918">
        <w:rPr>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5FF180D1" w14:textId="77777777" w:rsidR="005B58AE" w:rsidRPr="00F71918" w:rsidRDefault="005B58AE" w:rsidP="005B58AE">
      <w:pPr>
        <w:spacing w:after="0" w:line="276" w:lineRule="auto"/>
        <w:ind w:left="144"/>
        <w:jc w:val="center"/>
        <w:rPr>
          <w:b/>
          <w:bCs/>
          <w:szCs w:val="24"/>
          <w:lang w:val="ka-GE"/>
        </w:rPr>
      </w:pPr>
    </w:p>
    <w:p w14:paraId="4EE7AD30" w14:textId="77777777" w:rsidR="005B58AE" w:rsidRPr="00F71918" w:rsidRDefault="005B58AE" w:rsidP="005B58AE">
      <w:pPr>
        <w:spacing w:after="100" w:afterAutospacing="1" w:line="276" w:lineRule="auto"/>
        <w:ind w:firstLine="284"/>
        <w:rPr>
          <w:b/>
          <w:bCs/>
          <w:szCs w:val="24"/>
          <w:lang w:val="ka-GE"/>
        </w:rPr>
      </w:pPr>
      <w:r w:rsidRPr="00F71918">
        <w:rPr>
          <w:b/>
          <w:bCs/>
          <w:szCs w:val="24"/>
          <w:lang w:val="ka-GE"/>
        </w:rPr>
        <w:t xml:space="preserve">კოლეგიის შემადგენლობა: </w:t>
      </w:r>
      <w:bookmarkEnd w:id="2"/>
    </w:p>
    <w:p w14:paraId="28EBED6B" w14:textId="77777777" w:rsidR="005B58AE" w:rsidRPr="00F71918" w:rsidRDefault="005B58AE" w:rsidP="005B58AE">
      <w:pPr>
        <w:spacing w:after="0" w:line="276" w:lineRule="auto"/>
        <w:ind w:firstLine="284"/>
        <w:rPr>
          <w:szCs w:val="24"/>
          <w:lang w:val="ka-GE"/>
        </w:rPr>
      </w:pPr>
      <w:r w:rsidRPr="00F71918">
        <w:rPr>
          <w:szCs w:val="24"/>
          <w:lang w:val="ka-GE"/>
        </w:rPr>
        <w:lastRenderedPageBreak/>
        <w:t>ვასილ როინიშვილი</w:t>
      </w:r>
    </w:p>
    <w:p w14:paraId="7DFFF9AF" w14:textId="77777777" w:rsidR="005B58AE" w:rsidRPr="00F71918" w:rsidRDefault="005B58AE" w:rsidP="005B58AE">
      <w:pPr>
        <w:spacing w:after="0" w:line="276" w:lineRule="auto"/>
        <w:ind w:firstLine="284"/>
        <w:rPr>
          <w:szCs w:val="24"/>
          <w:lang w:val="ka-GE"/>
        </w:rPr>
      </w:pPr>
    </w:p>
    <w:p w14:paraId="601AAA47" w14:textId="77777777" w:rsidR="005B58AE" w:rsidRPr="00F71918" w:rsidRDefault="005B58AE" w:rsidP="005B58AE">
      <w:pPr>
        <w:spacing w:after="0" w:line="276" w:lineRule="auto"/>
        <w:ind w:firstLine="284"/>
        <w:rPr>
          <w:szCs w:val="24"/>
          <w:lang w:val="ka-GE"/>
        </w:rPr>
      </w:pPr>
    </w:p>
    <w:p w14:paraId="7A0361CC" w14:textId="77777777" w:rsidR="005B58AE" w:rsidRPr="00F71918" w:rsidRDefault="005B58AE" w:rsidP="005B58AE">
      <w:pPr>
        <w:spacing w:after="0" w:line="276" w:lineRule="auto"/>
        <w:ind w:firstLine="284"/>
        <w:rPr>
          <w:szCs w:val="24"/>
          <w:lang w:val="ka-GE"/>
        </w:rPr>
      </w:pPr>
    </w:p>
    <w:p w14:paraId="6ECBC08C" w14:textId="77777777" w:rsidR="005B58AE" w:rsidRDefault="005B58AE" w:rsidP="005B58AE">
      <w:pPr>
        <w:spacing w:after="0" w:line="276" w:lineRule="auto"/>
        <w:ind w:firstLine="284"/>
        <w:rPr>
          <w:szCs w:val="24"/>
          <w:lang w:val="ka-GE"/>
        </w:rPr>
      </w:pPr>
      <w:r w:rsidRPr="00F71918">
        <w:rPr>
          <w:szCs w:val="24"/>
          <w:lang w:val="ka-GE"/>
        </w:rPr>
        <w:t>ევა გოცირიძე</w:t>
      </w:r>
    </w:p>
    <w:p w14:paraId="19A6BB5D" w14:textId="77777777" w:rsidR="00E55066" w:rsidRDefault="00E55066" w:rsidP="005B58AE">
      <w:pPr>
        <w:spacing w:after="0" w:line="276" w:lineRule="auto"/>
        <w:ind w:firstLine="284"/>
        <w:rPr>
          <w:szCs w:val="24"/>
          <w:lang w:val="ka-GE"/>
        </w:rPr>
      </w:pPr>
    </w:p>
    <w:p w14:paraId="2C6EA60B" w14:textId="77777777" w:rsidR="00E55066" w:rsidRDefault="00E55066" w:rsidP="005B58AE">
      <w:pPr>
        <w:spacing w:after="0" w:line="276" w:lineRule="auto"/>
        <w:ind w:firstLine="284"/>
        <w:rPr>
          <w:szCs w:val="24"/>
          <w:lang w:val="ka-GE"/>
        </w:rPr>
      </w:pPr>
    </w:p>
    <w:p w14:paraId="2BE4C3DF" w14:textId="77777777" w:rsidR="00E55066" w:rsidRDefault="00E55066" w:rsidP="005B58AE">
      <w:pPr>
        <w:spacing w:after="0" w:line="276" w:lineRule="auto"/>
        <w:ind w:firstLine="284"/>
        <w:rPr>
          <w:szCs w:val="24"/>
          <w:lang w:val="ka-GE"/>
        </w:rPr>
      </w:pPr>
    </w:p>
    <w:p w14:paraId="023B0D9E" w14:textId="77777777" w:rsidR="00E55066" w:rsidRPr="00F71918" w:rsidRDefault="00E55066" w:rsidP="00E55066">
      <w:pPr>
        <w:pStyle w:val="BodyTextIndent"/>
        <w:spacing w:after="0"/>
        <w:ind w:left="0" w:firstLine="284"/>
        <w:rPr>
          <w:szCs w:val="24"/>
          <w:lang w:val="ka-GE"/>
        </w:rPr>
      </w:pPr>
      <w:r w:rsidRPr="00F71918">
        <w:rPr>
          <w:szCs w:val="24"/>
          <w:lang w:val="ka-GE"/>
        </w:rPr>
        <w:t>გიორგი თევდორაშვილი</w:t>
      </w:r>
    </w:p>
    <w:p w14:paraId="2E862471" w14:textId="77777777" w:rsidR="00E55066" w:rsidRPr="00F71918" w:rsidRDefault="00E55066" w:rsidP="005B58AE">
      <w:pPr>
        <w:spacing w:after="0" w:line="276" w:lineRule="auto"/>
        <w:ind w:firstLine="284"/>
        <w:rPr>
          <w:szCs w:val="24"/>
          <w:lang w:val="ka-GE"/>
        </w:rPr>
      </w:pPr>
    </w:p>
    <w:p w14:paraId="6B30C5D0" w14:textId="77777777" w:rsidR="005B58AE" w:rsidRPr="00F71918" w:rsidRDefault="005B58AE" w:rsidP="005B58AE">
      <w:pPr>
        <w:spacing w:after="0" w:line="276" w:lineRule="auto"/>
        <w:ind w:firstLine="284"/>
        <w:rPr>
          <w:szCs w:val="24"/>
          <w:lang w:val="ka-GE"/>
        </w:rPr>
      </w:pPr>
    </w:p>
    <w:p w14:paraId="4921A756" w14:textId="77777777" w:rsidR="005B58AE" w:rsidRPr="00F71918" w:rsidRDefault="005B58AE" w:rsidP="005B58AE">
      <w:pPr>
        <w:spacing w:after="0" w:line="276" w:lineRule="auto"/>
        <w:ind w:firstLine="284"/>
        <w:rPr>
          <w:szCs w:val="24"/>
          <w:lang w:val="ka-GE"/>
        </w:rPr>
      </w:pPr>
    </w:p>
    <w:p w14:paraId="2B1D61F0" w14:textId="77777777" w:rsidR="005B58AE" w:rsidRPr="00F71918" w:rsidRDefault="005B58AE" w:rsidP="005B58AE">
      <w:pPr>
        <w:spacing w:after="0" w:line="276" w:lineRule="auto"/>
        <w:ind w:firstLine="284"/>
        <w:rPr>
          <w:szCs w:val="24"/>
          <w:lang w:val="ka-GE"/>
        </w:rPr>
      </w:pPr>
      <w:r w:rsidRPr="00F71918">
        <w:rPr>
          <w:szCs w:val="24"/>
          <w:lang w:val="ka-GE"/>
        </w:rPr>
        <w:t>გიორგი კვერენჩხილაძე</w:t>
      </w:r>
    </w:p>
    <w:p w14:paraId="214309E8" w14:textId="77777777" w:rsidR="005B58AE" w:rsidRPr="00F71918" w:rsidRDefault="005B58AE" w:rsidP="005B58AE">
      <w:pPr>
        <w:spacing w:after="0" w:line="276" w:lineRule="auto"/>
        <w:ind w:firstLine="284"/>
        <w:rPr>
          <w:szCs w:val="24"/>
          <w:lang w:val="ka-GE"/>
        </w:rPr>
      </w:pPr>
    </w:p>
    <w:p w14:paraId="23DFDB54" w14:textId="77777777" w:rsidR="005B58AE" w:rsidRPr="00F71918" w:rsidRDefault="005B58AE" w:rsidP="005B58AE">
      <w:pPr>
        <w:spacing w:after="0" w:line="276" w:lineRule="auto"/>
        <w:ind w:firstLine="284"/>
        <w:rPr>
          <w:szCs w:val="24"/>
          <w:lang w:val="ka-GE"/>
        </w:rPr>
      </w:pPr>
    </w:p>
    <w:p w14:paraId="5DEDFB62" w14:textId="77777777" w:rsidR="005B58AE" w:rsidRPr="00F71918" w:rsidRDefault="005B58AE" w:rsidP="005B58AE">
      <w:pPr>
        <w:spacing w:after="0" w:line="276" w:lineRule="auto"/>
        <w:ind w:firstLine="284"/>
        <w:rPr>
          <w:szCs w:val="24"/>
          <w:lang w:val="ka-GE"/>
        </w:rPr>
      </w:pPr>
    </w:p>
    <w:p w14:paraId="0DD1BE97" w14:textId="77777777" w:rsidR="005B58AE" w:rsidRPr="00F71918" w:rsidRDefault="005B58AE" w:rsidP="005B58AE">
      <w:pPr>
        <w:spacing w:after="0"/>
        <w:rPr>
          <w:szCs w:val="24"/>
          <w:lang w:val="ka-GE"/>
        </w:rPr>
      </w:pPr>
    </w:p>
    <w:p w14:paraId="42894E1E" w14:textId="77777777" w:rsidR="00D82621" w:rsidRDefault="00D82621"/>
    <w:sectPr w:rsidR="00D82621" w:rsidSect="005B6F93">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5BC40" w14:textId="77777777" w:rsidR="00BC7799" w:rsidRDefault="00BC7799">
      <w:pPr>
        <w:spacing w:after="0" w:line="240" w:lineRule="auto"/>
      </w:pPr>
      <w:r>
        <w:separator/>
      </w:r>
    </w:p>
  </w:endnote>
  <w:endnote w:type="continuationSeparator" w:id="0">
    <w:p w14:paraId="35C04B35" w14:textId="77777777" w:rsidR="00BC7799" w:rsidRDefault="00BC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638192"/>
      <w:docPartObj>
        <w:docPartGallery w:val="Page Numbers (Bottom of Page)"/>
        <w:docPartUnique/>
      </w:docPartObj>
    </w:sdtPr>
    <w:sdtEndPr>
      <w:rPr>
        <w:noProof/>
        <w:sz w:val="20"/>
        <w:szCs w:val="20"/>
      </w:rPr>
    </w:sdtEndPr>
    <w:sdtContent>
      <w:p w14:paraId="50D73EDB" w14:textId="69645EFD" w:rsidR="00F45061" w:rsidRPr="00F45061" w:rsidRDefault="00F45061">
        <w:pPr>
          <w:pStyle w:val="Footer"/>
          <w:jc w:val="right"/>
          <w:rPr>
            <w:sz w:val="20"/>
            <w:szCs w:val="20"/>
          </w:rPr>
        </w:pPr>
        <w:r w:rsidRPr="00F45061">
          <w:rPr>
            <w:sz w:val="20"/>
            <w:szCs w:val="20"/>
          </w:rPr>
          <w:fldChar w:fldCharType="begin"/>
        </w:r>
        <w:r w:rsidRPr="00F45061">
          <w:rPr>
            <w:sz w:val="20"/>
            <w:szCs w:val="20"/>
          </w:rPr>
          <w:instrText xml:space="preserve"> PAGE   \* MERGEFORMAT </w:instrText>
        </w:r>
        <w:r w:rsidRPr="00F45061">
          <w:rPr>
            <w:sz w:val="20"/>
            <w:szCs w:val="20"/>
          </w:rPr>
          <w:fldChar w:fldCharType="separate"/>
        </w:r>
        <w:r w:rsidR="008F4CD3">
          <w:rPr>
            <w:noProof/>
            <w:sz w:val="20"/>
            <w:szCs w:val="20"/>
          </w:rPr>
          <w:t>2</w:t>
        </w:r>
        <w:r w:rsidRPr="00F45061">
          <w:rPr>
            <w:noProof/>
            <w:sz w:val="20"/>
            <w:szCs w:val="20"/>
          </w:rPr>
          <w:fldChar w:fldCharType="end"/>
        </w:r>
      </w:p>
    </w:sdtContent>
  </w:sdt>
  <w:p w14:paraId="7903D1C7" w14:textId="77777777" w:rsidR="00F45061" w:rsidRDefault="00F45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0CAD3" w14:textId="77777777" w:rsidR="00BC7799" w:rsidRDefault="00BC7799">
      <w:pPr>
        <w:spacing w:after="0" w:line="240" w:lineRule="auto"/>
      </w:pPr>
      <w:r>
        <w:separator/>
      </w:r>
    </w:p>
  </w:footnote>
  <w:footnote w:type="continuationSeparator" w:id="0">
    <w:p w14:paraId="131F0145" w14:textId="77777777" w:rsidR="00BC7799" w:rsidRDefault="00BC77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58B7"/>
    <w:multiLevelType w:val="hybridMultilevel"/>
    <w:tmpl w:val="7DDA8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B4943"/>
    <w:multiLevelType w:val="hybridMultilevel"/>
    <w:tmpl w:val="9B76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C40297"/>
    <w:multiLevelType w:val="hybridMultilevel"/>
    <w:tmpl w:val="9F7CD746"/>
    <w:lvl w:ilvl="0" w:tplc="0407000F">
      <w:start w:val="1"/>
      <w:numFmt w:val="decimal"/>
      <w:lvlText w:val="%1."/>
      <w:lvlJc w:val="left"/>
      <w:pPr>
        <w:ind w:left="810" w:hanging="360"/>
      </w:pPr>
      <w:rPr>
        <w:rFonts w:hint="default"/>
      </w:rPr>
    </w:lvl>
    <w:lvl w:ilvl="1" w:tplc="04070019" w:tentative="1">
      <w:start w:val="1"/>
      <w:numFmt w:val="lowerLetter"/>
      <w:lvlText w:val="%2."/>
      <w:lvlJc w:val="left"/>
      <w:pPr>
        <w:ind w:left="1530" w:hanging="360"/>
      </w:pPr>
    </w:lvl>
    <w:lvl w:ilvl="2" w:tplc="0407001B" w:tentative="1">
      <w:start w:val="1"/>
      <w:numFmt w:val="lowerRoman"/>
      <w:lvlText w:val="%3."/>
      <w:lvlJc w:val="right"/>
      <w:pPr>
        <w:ind w:left="2250" w:hanging="180"/>
      </w:pPr>
    </w:lvl>
    <w:lvl w:ilvl="3" w:tplc="0407000F" w:tentative="1">
      <w:start w:val="1"/>
      <w:numFmt w:val="decimal"/>
      <w:lvlText w:val="%4."/>
      <w:lvlJc w:val="left"/>
      <w:pPr>
        <w:ind w:left="2970" w:hanging="360"/>
      </w:pPr>
    </w:lvl>
    <w:lvl w:ilvl="4" w:tplc="04070019" w:tentative="1">
      <w:start w:val="1"/>
      <w:numFmt w:val="lowerLetter"/>
      <w:lvlText w:val="%5."/>
      <w:lvlJc w:val="left"/>
      <w:pPr>
        <w:ind w:left="3690" w:hanging="360"/>
      </w:pPr>
    </w:lvl>
    <w:lvl w:ilvl="5" w:tplc="0407001B" w:tentative="1">
      <w:start w:val="1"/>
      <w:numFmt w:val="lowerRoman"/>
      <w:lvlText w:val="%6."/>
      <w:lvlJc w:val="right"/>
      <w:pPr>
        <w:ind w:left="4410" w:hanging="180"/>
      </w:pPr>
    </w:lvl>
    <w:lvl w:ilvl="6" w:tplc="0407000F" w:tentative="1">
      <w:start w:val="1"/>
      <w:numFmt w:val="decimal"/>
      <w:lvlText w:val="%7."/>
      <w:lvlJc w:val="left"/>
      <w:pPr>
        <w:ind w:left="5130" w:hanging="360"/>
      </w:pPr>
    </w:lvl>
    <w:lvl w:ilvl="7" w:tplc="04070019" w:tentative="1">
      <w:start w:val="1"/>
      <w:numFmt w:val="lowerLetter"/>
      <w:lvlText w:val="%8."/>
      <w:lvlJc w:val="left"/>
      <w:pPr>
        <w:ind w:left="5850" w:hanging="360"/>
      </w:pPr>
    </w:lvl>
    <w:lvl w:ilvl="8" w:tplc="0407001B" w:tentative="1">
      <w:start w:val="1"/>
      <w:numFmt w:val="lowerRoman"/>
      <w:lvlText w:val="%9."/>
      <w:lvlJc w:val="right"/>
      <w:pPr>
        <w:ind w:left="657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0C"/>
    <w:rsid w:val="000152D7"/>
    <w:rsid w:val="00135580"/>
    <w:rsid w:val="00202C0C"/>
    <w:rsid w:val="003D6D31"/>
    <w:rsid w:val="005B58AE"/>
    <w:rsid w:val="00612243"/>
    <w:rsid w:val="0077162A"/>
    <w:rsid w:val="007A11DB"/>
    <w:rsid w:val="0083114F"/>
    <w:rsid w:val="008F4CD3"/>
    <w:rsid w:val="00907050"/>
    <w:rsid w:val="009D3447"/>
    <w:rsid w:val="00AE2F5B"/>
    <w:rsid w:val="00AF6C1C"/>
    <w:rsid w:val="00BC7799"/>
    <w:rsid w:val="00C17B30"/>
    <w:rsid w:val="00D82621"/>
    <w:rsid w:val="00E44E5D"/>
    <w:rsid w:val="00E55066"/>
    <w:rsid w:val="00E73C11"/>
    <w:rsid w:val="00F4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5A12"/>
  <w15:chartTrackingRefBased/>
  <w15:docId w15:val="{C6D38754-C350-4498-9512-6FD63D96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8AE"/>
    <w:pPr>
      <w:jc w:val="both"/>
    </w:pPr>
    <w:rPr>
      <w:rFonts w:ascii="Sylfaen" w:eastAsia="Calibri" w:hAnsi="Sylfaen" w:cs="Times New Roman"/>
      <w:sz w:val="24"/>
      <w:lang w:val="de-DE"/>
    </w:rPr>
  </w:style>
  <w:style w:type="paragraph" w:styleId="Heading1">
    <w:name w:val="heading 1"/>
    <w:basedOn w:val="Normal"/>
    <w:link w:val="Heading1Char"/>
    <w:uiPriority w:val="9"/>
    <w:qFormat/>
    <w:rsid w:val="005B58AE"/>
    <w:pPr>
      <w:spacing w:before="100" w:beforeAutospacing="1" w:after="100" w:afterAutospacing="1" w:line="240" w:lineRule="auto"/>
      <w:outlineLvl w:val="0"/>
    </w:pPr>
    <w:rPr>
      <w:rFonts w:eastAsia="Times New Roman"/>
      <w:bCs/>
      <w:kern w:val="36"/>
      <w:szCs w:val="4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8AE"/>
    <w:rPr>
      <w:rFonts w:ascii="Sylfaen" w:eastAsia="Times New Roman" w:hAnsi="Sylfaen" w:cs="Times New Roman"/>
      <w:bCs/>
      <w:kern w:val="36"/>
      <w:sz w:val="24"/>
      <w:szCs w:val="48"/>
      <w:lang w:val="de-DE" w:eastAsia="de-DE"/>
    </w:rPr>
  </w:style>
  <w:style w:type="paragraph" w:styleId="BodyTextIndent">
    <w:name w:val="Body Text Indent"/>
    <w:basedOn w:val="Normal"/>
    <w:link w:val="BodyTextIndentChar"/>
    <w:uiPriority w:val="99"/>
    <w:unhideWhenUsed/>
    <w:rsid w:val="005B58AE"/>
    <w:pPr>
      <w:spacing w:after="120" w:line="276" w:lineRule="auto"/>
      <w:ind w:left="360" w:firstLine="567"/>
    </w:pPr>
    <w:rPr>
      <w:lang w:val="en-US"/>
    </w:rPr>
  </w:style>
  <w:style w:type="character" w:customStyle="1" w:styleId="BodyTextIndentChar">
    <w:name w:val="Body Text Indent Char"/>
    <w:basedOn w:val="DefaultParagraphFont"/>
    <w:link w:val="BodyTextIndent"/>
    <w:uiPriority w:val="99"/>
    <w:rsid w:val="005B58AE"/>
    <w:rPr>
      <w:rFonts w:ascii="Sylfaen" w:eastAsia="Calibri" w:hAnsi="Sylfaen" w:cs="Times New Roman"/>
      <w:sz w:val="24"/>
    </w:rPr>
  </w:style>
  <w:style w:type="paragraph" w:styleId="ListParagraph">
    <w:name w:val="List Paragraph"/>
    <w:basedOn w:val="Normal"/>
    <w:qFormat/>
    <w:rsid w:val="005B58AE"/>
    <w:pPr>
      <w:ind w:left="720"/>
      <w:contextualSpacing/>
    </w:pPr>
  </w:style>
  <w:style w:type="paragraph" w:styleId="Footer">
    <w:name w:val="footer"/>
    <w:basedOn w:val="Normal"/>
    <w:link w:val="FooterChar"/>
    <w:uiPriority w:val="99"/>
    <w:unhideWhenUsed/>
    <w:rsid w:val="005B5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8AE"/>
    <w:rPr>
      <w:rFonts w:ascii="Sylfaen" w:eastAsia="Calibri" w:hAnsi="Sylfaen" w:cs="Times New Roman"/>
      <w:sz w:val="24"/>
      <w:lang w:val="de-DE"/>
    </w:rPr>
  </w:style>
  <w:style w:type="paragraph" w:styleId="Header">
    <w:name w:val="header"/>
    <w:basedOn w:val="Normal"/>
    <w:link w:val="HeaderChar"/>
    <w:uiPriority w:val="99"/>
    <w:unhideWhenUsed/>
    <w:rsid w:val="00AF6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C1C"/>
    <w:rPr>
      <w:rFonts w:ascii="Sylfaen" w:eastAsia="Calibri" w:hAnsi="Sylfaen" w:cs="Times New Roman"/>
      <w:sz w:val="24"/>
      <w:lang w:val="de-DE"/>
    </w:rPr>
  </w:style>
  <w:style w:type="paragraph" w:styleId="BalloonText">
    <w:name w:val="Balloon Text"/>
    <w:basedOn w:val="Normal"/>
    <w:link w:val="BalloonTextChar"/>
    <w:uiPriority w:val="99"/>
    <w:semiHidden/>
    <w:unhideWhenUsed/>
    <w:rsid w:val="00AF6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1C"/>
    <w:rPr>
      <w:rFonts w:ascii="Segoe UI" w:eastAsia="Calibr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1075</Words>
  <Characters>6130</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2023-03-15T11:07:00Z</cp:lastPrinted>
  <dcterms:created xsi:type="dcterms:W3CDTF">2023-03-15T09:13:00Z</dcterms:created>
  <dcterms:modified xsi:type="dcterms:W3CDTF">2023-03-16T11:23:00Z</dcterms:modified>
</cp:coreProperties>
</file>