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4B372" w14:textId="045FBA2A" w:rsidR="001A1401" w:rsidRPr="005D64AE" w:rsidRDefault="001A1401" w:rsidP="005D64AE">
      <w:pPr>
        <w:pStyle w:val="Heading1"/>
        <w:spacing w:before="0" w:after="100" w:afterAutospacing="1" w:line="276" w:lineRule="auto"/>
        <w:jc w:val="center"/>
        <w:rPr>
          <w:szCs w:val="24"/>
          <w:lang w:val="ka-GE"/>
        </w:rPr>
      </w:pPr>
      <w:bookmarkStart w:id="0" w:name="_Hlk178824919"/>
      <w:bookmarkStart w:id="1" w:name="_Hlk179334754"/>
      <w:r w:rsidRPr="005D64AE">
        <w:rPr>
          <w:rFonts w:cs="Sylfaen"/>
          <w:bCs/>
          <w:color w:val="auto"/>
          <w:szCs w:val="24"/>
          <w:lang w:val="ka-GE"/>
        </w:rPr>
        <w:t>საქართველოს</w:t>
      </w:r>
      <w:r w:rsidRPr="005D64AE">
        <w:rPr>
          <w:bCs/>
          <w:color w:val="auto"/>
          <w:szCs w:val="24"/>
          <w:lang w:val="ka-GE"/>
        </w:rPr>
        <w:t xml:space="preserve"> </w:t>
      </w:r>
      <w:r w:rsidRPr="005D64AE">
        <w:rPr>
          <w:rFonts w:cs="Sylfaen"/>
          <w:bCs/>
          <w:color w:val="auto"/>
          <w:szCs w:val="24"/>
          <w:lang w:val="ka-GE"/>
        </w:rPr>
        <w:t>საკონსტიტუციო</w:t>
      </w:r>
      <w:r w:rsidRPr="005D64AE">
        <w:rPr>
          <w:bCs/>
          <w:color w:val="auto"/>
          <w:szCs w:val="24"/>
          <w:lang w:val="ka-GE"/>
        </w:rPr>
        <w:t xml:space="preserve"> </w:t>
      </w:r>
      <w:r w:rsidRPr="005D64AE">
        <w:rPr>
          <w:rFonts w:cs="Sylfaen"/>
          <w:bCs/>
          <w:color w:val="auto"/>
          <w:szCs w:val="24"/>
          <w:lang w:val="ka-GE"/>
        </w:rPr>
        <w:t>სასამართლოს</w:t>
      </w:r>
      <w:r w:rsidRPr="005D64AE">
        <w:rPr>
          <w:bCs/>
          <w:color w:val="auto"/>
          <w:szCs w:val="24"/>
          <w:lang w:val="ka-GE"/>
        </w:rPr>
        <w:t xml:space="preserve"> </w:t>
      </w:r>
      <w:r w:rsidRPr="005D64AE">
        <w:rPr>
          <w:rFonts w:cs="Sylfaen"/>
          <w:bCs/>
          <w:color w:val="auto"/>
          <w:szCs w:val="24"/>
          <w:lang w:val="ka-GE"/>
        </w:rPr>
        <w:t xml:space="preserve">მოსამართლეების </w:t>
      </w:r>
      <w:r w:rsidR="00594F4E" w:rsidRPr="005D64AE">
        <w:rPr>
          <w:bCs/>
          <w:color w:val="auto"/>
          <w:szCs w:val="24"/>
          <w:lang w:val="ka-GE"/>
        </w:rPr>
        <w:t>–</w:t>
      </w:r>
      <w:r w:rsidRPr="005D64AE">
        <w:rPr>
          <w:bCs/>
          <w:color w:val="auto"/>
          <w:szCs w:val="24"/>
          <w:lang w:val="ka-GE"/>
        </w:rPr>
        <w:t xml:space="preserve"> გიორგი კვერენჩხილაძის და </w:t>
      </w:r>
      <w:r w:rsidRPr="005D64AE">
        <w:rPr>
          <w:rFonts w:cs="Sylfaen"/>
          <w:bCs/>
          <w:color w:val="auto"/>
          <w:szCs w:val="24"/>
          <w:lang w:val="ka-GE"/>
        </w:rPr>
        <w:t>თეიმურაზ</w:t>
      </w:r>
      <w:r w:rsidRPr="005D64AE">
        <w:rPr>
          <w:bCs/>
          <w:color w:val="auto"/>
          <w:szCs w:val="24"/>
          <w:lang w:val="ka-GE"/>
        </w:rPr>
        <w:t xml:space="preserve"> </w:t>
      </w:r>
      <w:r w:rsidRPr="005D64AE">
        <w:rPr>
          <w:rFonts w:cs="Sylfaen"/>
          <w:bCs/>
          <w:color w:val="auto"/>
          <w:szCs w:val="24"/>
          <w:lang w:val="ka-GE"/>
        </w:rPr>
        <w:t>ტუღუშის განსხვავებული</w:t>
      </w:r>
      <w:r w:rsidRPr="005D64AE">
        <w:rPr>
          <w:bCs/>
          <w:color w:val="auto"/>
          <w:szCs w:val="24"/>
          <w:lang w:val="ka-GE"/>
        </w:rPr>
        <w:t xml:space="preserve"> </w:t>
      </w:r>
      <w:r w:rsidRPr="005D64AE">
        <w:rPr>
          <w:rFonts w:cs="Sylfaen"/>
          <w:bCs/>
          <w:color w:val="auto"/>
          <w:szCs w:val="24"/>
          <w:lang w:val="ka-GE"/>
        </w:rPr>
        <w:t>აზრი</w:t>
      </w:r>
      <w:r w:rsidRPr="005D64AE">
        <w:rPr>
          <w:bCs/>
          <w:color w:val="auto"/>
          <w:szCs w:val="24"/>
          <w:lang w:val="ka-GE"/>
        </w:rPr>
        <w:t xml:space="preserve"> </w:t>
      </w:r>
      <w:r w:rsidRPr="005D64AE">
        <w:rPr>
          <w:rFonts w:cs="Sylfaen"/>
          <w:bCs/>
          <w:color w:val="auto"/>
          <w:szCs w:val="24"/>
          <w:lang w:val="ka-GE"/>
        </w:rPr>
        <w:t>საქართველოს</w:t>
      </w:r>
      <w:r w:rsidRPr="005D64AE">
        <w:rPr>
          <w:bCs/>
          <w:color w:val="auto"/>
          <w:szCs w:val="24"/>
          <w:lang w:val="ka-GE"/>
        </w:rPr>
        <w:t xml:space="preserve"> </w:t>
      </w:r>
      <w:r w:rsidRPr="005D64AE">
        <w:rPr>
          <w:rFonts w:cs="Sylfaen"/>
          <w:bCs/>
          <w:color w:val="auto"/>
          <w:szCs w:val="24"/>
          <w:lang w:val="ka-GE"/>
        </w:rPr>
        <w:t>საკონსტიტუციო</w:t>
      </w:r>
      <w:r w:rsidRPr="005D64AE">
        <w:rPr>
          <w:bCs/>
          <w:color w:val="auto"/>
          <w:szCs w:val="24"/>
          <w:lang w:val="ka-GE"/>
        </w:rPr>
        <w:t xml:space="preserve"> </w:t>
      </w:r>
      <w:r w:rsidRPr="005D64AE">
        <w:rPr>
          <w:rFonts w:cs="Sylfaen"/>
          <w:bCs/>
          <w:color w:val="auto"/>
          <w:szCs w:val="24"/>
          <w:lang w:val="ka-GE"/>
        </w:rPr>
        <w:t>სასამართლოს</w:t>
      </w:r>
      <w:r w:rsidRPr="005D64AE">
        <w:rPr>
          <w:bCs/>
          <w:color w:val="auto"/>
          <w:szCs w:val="24"/>
          <w:lang w:val="ka-GE"/>
        </w:rPr>
        <w:t xml:space="preserve"> 2025 </w:t>
      </w:r>
      <w:bookmarkStart w:id="2" w:name="_Hlk178750836"/>
      <w:r w:rsidRPr="005D64AE">
        <w:rPr>
          <w:rFonts w:cs="Sylfaen"/>
          <w:bCs/>
          <w:color w:val="auto"/>
          <w:szCs w:val="24"/>
          <w:lang w:val="ka-GE"/>
        </w:rPr>
        <w:t>წლის 24 ივნისის</w:t>
      </w:r>
      <w:r w:rsidRPr="005D64AE">
        <w:rPr>
          <w:bCs/>
          <w:color w:val="auto"/>
          <w:szCs w:val="24"/>
          <w:lang w:val="ka-GE"/>
        </w:rPr>
        <w:t xml:space="preserve"> </w:t>
      </w:r>
      <w:r w:rsidRPr="006B4901">
        <w:rPr>
          <w:bCs/>
          <w:color w:val="auto"/>
          <w:szCs w:val="24"/>
          <w:lang w:val="ka-GE"/>
        </w:rPr>
        <w:t>№3/</w:t>
      </w:r>
      <w:r w:rsidR="007B61C1" w:rsidRPr="006B4901">
        <w:rPr>
          <w:bCs/>
          <w:color w:val="auto"/>
          <w:szCs w:val="24"/>
          <w:lang w:val="ka-GE"/>
        </w:rPr>
        <w:t>1</w:t>
      </w:r>
      <w:r w:rsidRPr="006B4901">
        <w:rPr>
          <w:bCs/>
          <w:color w:val="auto"/>
          <w:szCs w:val="24"/>
          <w:lang w:val="ka-GE"/>
        </w:rPr>
        <w:t>-</w:t>
      </w:r>
      <w:r w:rsidR="007B61C1" w:rsidRPr="006B4901">
        <w:rPr>
          <w:bCs/>
          <w:color w:val="auto"/>
          <w:szCs w:val="24"/>
          <w:lang w:val="ka-GE"/>
        </w:rPr>
        <w:t>1</w:t>
      </w:r>
      <w:r w:rsidRPr="006B4901">
        <w:rPr>
          <w:bCs/>
          <w:color w:val="auto"/>
          <w:szCs w:val="24"/>
          <w:lang w:val="ka-GE"/>
        </w:rPr>
        <w:t>/1</w:t>
      </w:r>
      <w:bookmarkEnd w:id="2"/>
      <w:r w:rsidRPr="006B4901">
        <w:rPr>
          <w:bCs/>
          <w:color w:val="auto"/>
          <w:szCs w:val="24"/>
          <w:lang w:val="ka-GE"/>
        </w:rPr>
        <w:t>859,1866</w:t>
      </w:r>
      <w:r w:rsidRPr="005D64AE">
        <w:rPr>
          <w:bCs/>
          <w:color w:val="auto"/>
          <w:szCs w:val="24"/>
          <w:lang w:val="ka-GE"/>
        </w:rPr>
        <w:t xml:space="preserve"> </w:t>
      </w:r>
      <w:r w:rsidRPr="005D64AE">
        <w:rPr>
          <w:rFonts w:cs="Sylfaen"/>
          <w:bCs/>
          <w:color w:val="auto"/>
          <w:szCs w:val="24"/>
          <w:lang w:val="ka-GE"/>
        </w:rPr>
        <w:t>საოქმო ჩანაწერთან</w:t>
      </w:r>
      <w:r w:rsidRPr="005D64AE">
        <w:rPr>
          <w:bCs/>
          <w:color w:val="auto"/>
          <w:szCs w:val="24"/>
          <w:lang w:val="ka-GE"/>
        </w:rPr>
        <w:t xml:space="preserve"> </w:t>
      </w:r>
      <w:r w:rsidRPr="005D64AE">
        <w:rPr>
          <w:rFonts w:cs="Sylfaen"/>
          <w:bCs/>
          <w:color w:val="auto"/>
          <w:szCs w:val="24"/>
          <w:lang w:val="ka-GE"/>
        </w:rPr>
        <w:t>დაკავშირებით</w:t>
      </w:r>
    </w:p>
    <w:p w14:paraId="676504A3" w14:textId="657FD84A" w:rsidR="001A1401" w:rsidRPr="006B4901" w:rsidRDefault="001A1401" w:rsidP="005D64AE">
      <w:pPr>
        <w:pStyle w:val="ListParagraph"/>
        <w:numPr>
          <w:ilvl w:val="0"/>
          <w:numId w:val="1"/>
        </w:numPr>
        <w:spacing w:after="0" w:line="276" w:lineRule="auto"/>
        <w:ind w:left="0" w:firstLine="284"/>
        <w:jc w:val="both"/>
        <w:rPr>
          <w:rFonts w:ascii="Sylfaen" w:hAnsi="Sylfaen" w:cs="Sylfaen"/>
          <w:sz w:val="24"/>
          <w:szCs w:val="24"/>
        </w:rPr>
      </w:pPr>
      <w:r w:rsidRPr="005D64AE">
        <w:rPr>
          <w:rFonts w:ascii="Sylfaen" w:hAnsi="Sylfaen" w:cs="Sylfaen"/>
          <w:sz w:val="24"/>
          <w:szCs w:val="24"/>
        </w:rPr>
        <w:t xml:space="preserve">გამოვხატავთ რა ჩვენი კოლეგებისადმი – საქართველოს საკონსტიტუციო სასამართლოს პლენუმის წევრებისადმი პატივისცემას, იმავდროულად, „საქართველოს საკონსტიტუციო სასამართლოს შესახებ“ საქართველოს ორგანული კანონის 47-ე მუხლის შესაბამისად, გამოვთქვამთ განსხვავებულ აზრს საქართველოს საკონსტიტუციო სასამართლოს 2025 წლის </w:t>
      </w:r>
      <w:r w:rsidRPr="005D64AE">
        <w:rPr>
          <w:rFonts w:ascii="Sylfaen" w:hAnsi="Sylfaen" w:cs="Sylfaen"/>
          <w:bCs/>
          <w:sz w:val="24"/>
          <w:szCs w:val="24"/>
        </w:rPr>
        <w:t xml:space="preserve">24 ივნისის </w:t>
      </w:r>
      <w:r w:rsidRPr="006B4901">
        <w:rPr>
          <w:rFonts w:ascii="Sylfaen" w:hAnsi="Sylfaen" w:cs="Sylfaen"/>
          <w:bCs/>
          <w:sz w:val="24"/>
          <w:szCs w:val="24"/>
        </w:rPr>
        <w:t>№3/</w:t>
      </w:r>
      <w:r w:rsidR="007B61C1" w:rsidRPr="006B4901">
        <w:rPr>
          <w:rFonts w:ascii="Sylfaen" w:hAnsi="Sylfaen" w:cs="Sylfaen"/>
          <w:bCs/>
          <w:sz w:val="24"/>
          <w:szCs w:val="24"/>
        </w:rPr>
        <w:t>1</w:t>
      </w:r>
      <w:r w:rsidRPr="006B4901">
        <w:rPr>
          <w:rFonts w:ascii="Sylfaen" w:hAnsi="Sylfaen" w:cs="Sylfaen"/>
          <w:bCs/>
          <w:sz w:val="24"/>
          <w:szCs w:val="24"/>
        </w:rPr>
        <w:t>-</w:t>
      </w:r>
      <w:r w:rsidR="007B61C1" w:rsidRPr="006B4901">
        <w:rPr>
          <w:rFonts w:ascii="Sylfaen" w:hAnsi="Sylfaen" w:cs="Sylfaen"/>
          <w:bCs/>
          <w:sz w:val="24"/>
          <w:szCs w:val="24"/>
        </w:rPr>
        <w:t>1</w:t>
      </w:r>
      <w:r w:rsidRPr="006B4901">
        <w:rPr>
          <w:rFonts w:ascii="Sylfaen" w:hAnsi="Sylfaen" w:cs="Sylfaen"/>
          <w:bCs/>
          <w:sz w:val="24"/>
          <w:szCs w:val="24"/>
        </w:rPr>
        <w:t>/1859,1866 საოქმო ჩანაწერთან</w:t>
      </w:r>
      <w:r w:rsidRPr="006B4901">
        <w:rPr>
          <w:rFonts w:ascii="Sylfaen" w:hAnsi="Sylfaen" w:cs="Sylfaen"/>
          <w:sz w:val="24"/>
          <w:szCs w:val="24"/>
        </w:rPr>
        <w:t xml:space="preserve"> დაკავშირებით.</w:t>
      </w:r>
    </w:p>
    <w:p w14:paraId="4982F9A0" w14:textId="3D79549F" w:rsidR="00C13483" w:rsidRPr="005D64AE" w:rsidRDefault="001A1401" w:rsidP="005D64AE">
      <w:pPr>
        <w:pStyle w:val="ListParagraph"/>
        <w:numPr>
          <w:ilvl w:val="0"/>
          <w:numId w:val="1"/>
        </w:numPr>
        <w:spacing w:after="0" w:line="276" w:lineRule="auto"/>
        <w:ind w:left="0" w:firstLine="284"/>
        <w:jc w:val="both"/>
        <w:rPr>
          <w:rFonts w:ascii="Sylfaen" w:hAnsi="Sylfaen" w:cs="Sylfaen"/>
          <w:bCs/>
          <w:sz w:val="24"/>
          <w:szCs w:val="24"/>
        </w:rPr>
      </w:pPr>
      <w:r w:rsidRPr="005D64AE">
        <w:rPr>
          <w:rFonts w:ascii="Sylfaen" w:hAnsi="Sylfaen" w:cs="Sylfaen"/>
          <w:bCs/>
          <w:sz w:val="24"/>
          <w:szCs w:val="24"/>
        </w:rPr>
        <w:t>№1859</w:t>
      </w:r>
      <w:r w:rsidR="00C13483" w:rsidRPr="005D64AE">
        <w:rPr>
          <w:rFonts w:ascii="Sylfaen" w:hAnsi="Sylfaen" w:cs="Sylfaen"/>
          <w:bCs/>
          <w:sz w:val="24"/>
          <w:szCs w:val="24"/>
        </w:rPr>
        <w:t xml:space="preserve"> და №1866 </w:t>
      </w:r>
      <w:r w:rsidRPr="005D64AE">
        <w:rPr>
          <w:rFonts w:ascii="Sylfaen" w:hAnsi="Sylfaen" w:cs="Sylfaen"/>
          <w:bCs/>
          <w:sz w:val="24"/>
          <w:szCs w:val="24"/>
        </w:rPr>
        <w:t>კონსტიტუციური სარჩელ</w:t>
      </w:r>
      <w:r w:rsidR="00C13483" w:rsidRPr="005D64AE">
        <w:rPr>
          <w:rFonts w:ascii="Sylfaen" w:hAnsi="Sylfaen" w:cs="Sylfaen"/>
          <w:bCs/>
          <w:sz w:val="24"/>
          <w:szCs w:val="24"/>
        </w:rPr>
        <w:t>ებ</w:t>
      </w:r>
      <w:r w:rsidRPr="005D64AE">
        <w:rPr>
          <w:rFonts w:ascii="Sylfaen" w:hAnsi="Sylfaen" w:cs="Sylfaen"/>
          <w:bCs/>
          <w:sz w:val="24"/>
          <w:szCs w:val="24"/>
        </w:rPr>
        <w:t xml:space="preserve">ით სადავოდ არის გამხდარი „საჯარო სამსახურის შესახებ“ საქართველოს კანონის </w:t>
      </w:r>
      <w:r w:rsidR="004671A8" w:rsidRPr="005D64AE">
        <w:rPr>
          <w:rFonts w:ascii="Sylfaen" w:hAnsi="Sylfaen" w:cs="Sylfaen"/>
          <w:bCs/>
          <w:sz w:val="24"/>
          <w:szCs w:val="24"/>
        </w:rPr>
        <w:t xml:space="preserve">რიგი </w:t>
      </w:r>
      <w:r w:rsidRPr="005D64AE">
        <w:rPr>
          <w:rFonts w:ascii="Sylfaen" w:hAnsi="Sylfaen" w:cs="Sylfaen"/>
          <w:bCs/>
          <w:sz w:val="24"/>
          <w:szCs w:val="24"/>
        </w:rPr>
        <w:t xml:space="preserve">ნორმები, რომლებიც განსაზღვრავს </w:t>
      </w:r>
      <w:r w:rsidR="007B61C1" w:rsidRPr="005D64AE">
        <w:rPr>
          <w:rFonts w:ascii="Sylfaen" w:hAnsi="Sylfaen" w:cs="Sylfaen"/>
          <w:bCs/>
          <w:sz w:val="24"/>
          <w:szCs w:val="24"/>
        </w:rPr>
        <w:t xml:space="preserve">საჯარო სამსახურის სისტემის ისეთ საკითხებს, როგორებიცაა </w:t>
      </w:r>
      <w:r w:rsidRPr="005D64AE">
        <w:rPr>
          <w:rFonts w:ascii="Sylfaen" w:hAnsi="Sylfaen" w:cs="Sylfaen"/>
          <w:bCs/>
          <w:sz w:val="24"/>
          <w:szCs w:val="24"/>
        </w:rPr>
        <w:t>საჯარო დაწესებულების პირველადი სტრუქტურული ერთეულის ხელმძღვანელის სამართლებრივ</w:t>
      </w:r>
      <w:r w:rsidR="007B61C1" w:rsidRPr="005D64AE">
        <w:rPr>
          <w:rFonts w:ascii="Sylfaen" w:hAnsi="Sylfaen" w:cs="Sylfaen"/>
          <w:bCs/>
          <w:sz w:val="24"/>
          <w:szCs w:val="24"/>
        </w:rPr>
        <w:t>ი</w:t>
      </w:r>
      <w:r w:rsidRPr="005D64AE">
        <w:rPr>
          <w:rFonts w:ascii="Sylfaen" w:hAnsi="Sylfaen" w:cs="Sylfaen"/>
          <w:bCs/>
          <w:sz w:val="24"/>
          <w:szCs w:val="24"/>
        </w:rPr>
        <w:t xml:space="preserve"> სტატუს</w:t>
      </w:r>
      <w:r w:rsidR="007B61C1" w:rsidRPr="005D64AE">
        <w:rPr>
          <w:rFonts w:ascii="Sylfaen" w:hAnsi="Sylfaen" w:cs="Sylfaen"/>
          <w:bCs/>
          <w:sz w:val="24"/>
          <w:szCs w:val="24"/>
        </w:rPr>
        <w:t>ი</w:t>
      </w:r>
      <w:r w:rsidR="00C13483" w:rsidRPr="005D64AE">
        <w:rPr>
          <w:rFonts w:ascii="Sylfaen" w:hAnsi="Sylfaen" w:cs="Sylfaen"/>
          <w:bCs/>
          <w:sz w:val="24"/>
          <w:szCs w:val="24"/>
        </w:rPr>
        <w:t xml:space="preserve">, </w:t>
      </w:r>
      <w:r w:rsidRPr="005D64AE">
        <w:rPr>
          <w:rFonts w:ascii="Sylfaen" w:hAnsi="Sylfaen" w:cs="Sylfaen"/>
          <w:bCs/>
          <w:sz w:val="24"/>
          <w:szCs w:val="24"/>
        </w:rPr>
        <w:t>უფლებამოსილების ვადა, უფლებამოსილების შეწყვეტის საფუძვლებ</w:t>
      </w:r>
      <w:r w:rsidR="007B61C1" w:rsidRPr="005D64AE">
        <w:rPr>
          <w:rFonts w:ascii="Sylfaen" w:hAnsi="Sylfaen" w:cs="Sylfaen"/>
          <w:bCs/>
          <w:sz w:val="24"/>
          <w:szCs w:val="24"/>
        </w:rPr>
        <w:t>ი</w:t>
      </w:r>
      <w:r w:rsidRPr="005D64AE">
        <w:rPr>
          <w:rFonts w:ascii="Sylfaen" w:hAnsi="Sylfaen" w:cs="Sylfaen"/>
          <w:bCs/>
          <w:sz w:val="24"/>
          <w:szCs w:val="24"/>
        </w:rPr>
        <w:t xml:space="preserve"> და პირობებ</w:t>
      </w:r>
      <w:r w:rsidR="007B61C1" w:rsidRPr="005D64AE">
        <w:rPr>
          <w:rFonts w:ascii="Sylfaen" w:hAnsi="Sylfaen" w:cs="Sylfaen"/>
          <w:bCs/>
          <w:sz w:val="24"/>
          <w:szCs w:val="24"/>
        </w:rPr>
        <w:t>ი</w:t>
      </w:r>
      <w:r w:rsidRPr="005D64AE">
        <w:rPr>
          <w:rFonts w:ascii="Sylfaen" w:hAnsi="Sylfaen" w:cs="Sylfaen"/>
          <w:bCs/>
          <w:sz w:val="24"/>
          <w:szCs w:val="24"/>
        </w:rPr>
        <w:t xml:space="preserve">. </w:t>
      </w:r>
      <w:r w:rsidR="00AD433C" w:rsidRPr="005D64AE">
        <w:rPr>
          <w:rFonts w:ascii="Sylfaen" w:hAnsi="Sylfaen" w:cs="Sylfaen"/>
          <w:bCs/>
          <w:sz w:val="24"/>
          <w:szCs w:val="24"/>
        </w:rPr>
        <w:t xml:space="preserve">დამატებით, </w:t>
      </w:r>
      <w:r w:rsidR="00C13483" w:rsidRPr="005D64AE">
        <w:rPr>
          <w:rFonts w:ascii="Sylfaen" w:hAnsi="Sylfaen" w:cs="Sylfaen"/>
          <w:bCs/>
          <w:sz w:val="24"/>
          <w:szCs w:val="24"/>
        </w:rPr>
        <w:t>№1859 კონსტიტუციური სარჩელით გასაჩივრებულია იმ რეგულაციების კონსტიტუციურობა,</w:t>
      </w:r>
      <w:r w:rsidRPr="005D64AE">
        <w:rPr>
          <w:rFonts w:ascii="Sylfaen" w:hAnsi="Sylfaen" w:cs="Sylfaen"/>
          <w:bCs/>
          <w:sz w:val="24"/>
          <w:szCs w:val="24"/>
        </w:rPr>
        <w:t xml:space="preserve"> </w:t>
      </w:r>
      <w:r w:rsidR="00C13483" w:rsidRPr="005D64AE">
        <w:rPr>
          <w:rFonts w:ascii="Sylfaen" w:hAnsi="Sylfaen" w:cs="Sylfaen"/>
          <w:bCs/>
          <w:sz w:val="24"/>
          <w:szCs w:val="24"/>
        </w:rPr>
        <w:t>რომლებიც</w:t>
      </w:r>
      <w:r w:rsidRPr="005D64AE">
        <w:rPr>
          <w:rFonts w:ascii="Sylfaen" w:hAnsi="Sylfaen" w:cs="Sylfaen"/>
          <w:bCs/>
          <w:sz w:val="24"/>
          <w:szCs w:val="24"/>
        </w:rPr>
        <w:t xml:space="preserve"> შეეხება საჯარო მოხელის შეფასების წესებსა და არადამაკმაყოფილებელი შეფასების შედეგებს,</w:t>
      </w:r>
      <w:r w:rsidR="00ED4E89" w:rsidRPr="005D64AE">
        <w:rPr>
          <w:rFonts w:ascii="Sylfaen" w:hAnsi="Sylfaen" w:cs="Sylfaen"/>
          <w:bCs/>
          <w:sz w:val="24"/>
          <w:szCs w:val="24"/>
        </w:rPr>
        <w:t xml:space="preserve"> აგრეთვე</w:t>
      </w:r>
      <w:r w:rsidRPr="005D64AE">
        <w:rPr>
          <w:rFonts w:ascii="Sylfaen" w:hAnsi="Sylfaen" w:cs="Sylfaen"/>
          <w:bCs/>
          <w:sz w:val="24"/>
          <w:szCs w:val="24"/>
        </w:rPr>
        <w:t xml:space="preserve"> სხვადასხვა – მათ შორის, რეორგანიზაციის საფუძვლით, საჯარო მოხელის სამსახურიდან გათავისუფლებისა და შესაბამისი სამართლებრივი აქტის სასამართლოში გასაჩივრების საკითხებს.</w:t>
      </w:r>
    </w:p>
    <w:p w14:paraId="7CAB44FB" w14:textId="2F9642B6" w:rsidR="00C13483" w:rsidRPr="005D64AE" w:rsidRDefault="00C13483" w:rsidP="005D64AE">
      <w:pPr>
        <w:pStyle w:val="ListParagraph"/>
        <w:numPr>
          <w:ilvl w:val="0"/>
          <w:numId w:val="1"/>
        </w:numPr>
        <w:spacing w:after="0" w:line="276" w:lineRule="auto"/>
        <w:ind w:left="0" w:firstLine="284"/>
        <w:jc w:val="both"/>
        <w:rPr>
          <w:rFonts w:ascii="Sylfaen" w:hAnsi="Sylfaen" w:cs="Sylfaen"/>
          <w:bCs/>
          <w:sz w:val="24"/>
          <w:szCs w:val="24"/>
        </w:rPr>
      </w:pPr>
      <w:r w:rsidRPr="005D64AE">
        <w:rPr>
          <w:rFonts w:ascii="Sylfaen" w:hAnsi="Sylfaen" w:cs="Sylfaen"/>
          <w:bCs/>
          <w:sz w:val="24"/>
          <w:szCs w:val="24"/>
        </w:rPr>
        <w:t>№1859</w:t>
      </w:r>
      <w:r w:rsidR="007B61C1" w:rsidRPr="005D64AE">
        <w:rPr>
          <w:rFonts w:ascii="Sylfaen" w:hAnsi="Sylfaen" w:cs="Sylfaen"/>
          <w:bCs/>
          <w:sz w:val="24"/>
          <w:szCs w:val="24"/>
        </w:rPr>
        <w:t xml:space="preserve"> და №1866</w:t>
      </w:r>
      <w:r w:rsidRPr="005D64AE">
        <w:rPr>
          <w:rFonts w:ascii="Sylfaen" w:hAnsi="Sylfaen" w:cs="Sylfaen"/>
          <w:bCs/>
          <w:sz w:val="24"/>
          <w:szCs w:val="24"/>
        </w:rPr>
        <w:t xml:space="preserve"> კონსტიტუციური სარჩელ</w:t>
      </w:r>
      <w:r w:rsidR="007B61C1" w:rsidRPr="005D64AE">
        <w:rPr>
          <w:rFonts w:ascii="Sylfaen" w:hAnsi="Sylfaen" w:cs="Sylfaen"/>
          <w:bCs/>
          <w:sz w:val="24"/>
          <w:szCs w:val="24"/>
        </w:rPr>
        <w:t>ებ</w:t>
      </w:r>
      <w:r w:rsidRPr="005D64AE">
        <w:rPr>
          <w:rFonts w:ascii="Sylfaen" w:hAnsi="Sylfaen" w:cs="Sylfaen"/>
          <w:bCs/>
          <w:sz w:val="24"/>
          <w:szCs w:val="24"/>
        </w:rPr>
        <w:t xml:space="preserve">ით </w:t>
      </w:r>
      <w:r w:rsidR="004671A8" w:rsidRPr="005D64AE">
        <w:rPr>
          <w:rFonts w:ascii="Sylfaen" w:hAnsi="Sylfaen" w:cs="Sylfaen"/>
          <w:bCs/>
          <w:sz w:val="24"/>
          <w:szCs w:val="24"/>
        </w:rPr>
        <w:t>გასაჩივრებული</w:t>
      </w:r>
      <w:r w:rsidRPr="005D64AE">
        <w:rPr>
          <w:rFonts w:ascii="Sylfaen" w:hAnsi="Sylfaen" w:cs="Sylfaen"/>
          <w:bCs/>
          <w:sz w:val="24"/>
          <w:szCs w:val="24"/>
        </w:rPr>
        <w:t xml:space="preserve"> ნორმების არაკონსტიტუციურად ცნობა მოთხოვნილია</w:t>
      </w:r>
      <w:r w:rsidR="001A1401" w:rsidRPr="005D64AE">
        <w:rPr>
          <w:rFonts w:ascii="Sylfaen" w:hAnsi="Sylfaen" w:cs="Sylfaen"/>
          <w:bCs/>
          <w:sz w:val="24"/>
          <w:szCs w:val="24"/>
        </w:rPr>
        <w:t xml:space="preserve"> საქართველოს კონსტიტუციის 25-ე მუხლის პირველ პუნქტთან</w:t>
      </w:r>
      <w:r w:rsidR="007B61C1" w:rsidRPr="005D64AE">
        <w:rPr>
          <w:rFonts w:ascii="Sylfaen" w:hAnsi="Sylfaen" w:cs="Sylfaen"/>
          <w:bCs/>
          <w:sz w:val="24"/>
          <w:szCs w:val="24"/>
        </w:rPr>
        <w:t xml:space="preserve"> მიმართებით. </w:t>
      </w:r>
      <w:r w:rsidR="004671A8" w:rsidRPr="005D64AE">
        <w:rPr>
          <w:rFonts w:ascii="Sylfaen" w:hAnsi="Sylfaen" w:cs="Sylfaen"/>
          <w:bCs/>
          <w:sz w:val="24"/>
          <w:szCs w:val="24"/>
        </w:rPr>
        <w:t>დამატებით,</w:t>
      </w:r>
      <w:r w:rsidR="007B61C1" w:rsidRPr="005D64AE">
        <w:rPr>
          <w:rFonts w:ascii="Sylfaen" w:hAnsi="Sylfaen" w:cs="Sylfaen"/>
          <w:bCs/>
          <w:sz w:val="24"/>
          <w:szCs w:val="24"/>
        </w:rPr>
        <w:t xml:space="preserve"> </w:t>
      </w:r>
      <w:r w:rsidR="004671A8" w:rsidRPr="005D64AE">
        <w:rPr>
          <w:rFonts w:ascii="Sylfaen" w:hAnsi="Sylfaen" w:cs="Sylfaen"/>
          <w:bCs/>
          <w:sz w:val="24"/>
          <w:szCs w:val="24"/>
        </w:rPr>
        <w:t xml:space="preserve">№1859 </w:t>
      </w:r>
      <w:r w:rsidR="007B61C1" w:rsidRPr="005D64AE">
        <w:rPr>
          <w:rFonts w:ascii="Sylfaen" w:hAnsi="Sylfaen" w:cs="Sylfaen"/>
          <w:bCs/>
          <w:sz w:val="24"/>
          <w:szCs w:val="24"/>
        </w:rPr>
        <w:t xml:space="preserve">კონსტიტუციური სარჩელის ავტორები </w:t>
      </w:r>
      <w:r w:rsidR="00D22B28">
        <w:rPr>
          <w:rFonts w:ascii="Sylfaen" w:hAnsi="Sylfaen" w:cs="Sylfaen"/>
          <w:bCs/>
          <w:sz w:val="24"/>
          <w:szCs w:val="24"/>
        </w:rPr>
        <w:t>გარკვეული</w:t>
      </w:r>
      <w:r w:rsidR="007B61C1" w:rsidRPr="005D64AE">
        <w:rPr>
          <w:rFonts w:ascii="Sylfaen" w:hAnsi="Sylfaen" w:cs="Sylfaen"/>
          <w:bCs/>
          <w:sz w:val="24"/>
          <w:szCs w:val="24"/>
        </w:rPr>
        <w:t xml:space="preserve"> </w:t>
      </w:r>
      <w:r w:rsidR="004671A8" w:rsidRPr="005D64AE">
        <w:rPr>
          <w:rFonts w:ascii="Sylfaen" w:hAnsi="Sylfaen" w:cs="Sylfaen"/>
          <w:bCs/>
          <w:sz w:val="24"/>
          <w:szCs w:val="24"/>
        </w:rPr>
        <w:t>სადავო</w:t>
      </w:r>
      <w:r w:rsidR="007B61C1" w:rsidRPr="005D64AE">
        <w:rPr>
          <w:rFonts w:ascii="Sylfaen" w:hAnsi="Sylfaen" w:cs="Sylfaen"/>
          <w:bCs/>
          <w:sz w:val="24"/>
          <w:szCs w:val="24"/>
        </w:rPr>
        <w:t xml:space="preserve"> ნორმების არაკონსტიტუციურად ცნობას ითხოვენ</w:t>
      </w:r>
      <w:r w:rsidR="004671A8" w:rsidRPr="005D64AE">
        <w:rPr>
          <w:rFonts w:ascii="Sylfaen" w:hAnsi="Sylfaen" w:cs="Sylfaen"/>
          <w:bCs/>
          <w:sz w:val="24"/>
          <w:szCs w:val="24"/>
        </w:rPr>
        <w:t xml:space="preserve"> </w:t>
      </w:r>
      <w:r w:rsidR="007B61C1" w:rsidRPr="005D64AE">
        <w:rPr>
          <w:rFonts w:ascii="Sylfaen" w:hAnsi="Sylfaen" w:cs="Sylfaen"/>
          <w:bCs/>
          <w:sz w:val="24"/>
          <w:szCs w:val="24"/>
        </w:rPr>
        <w:t>საქართველოს კონსტიტუციის</w:t>
      </w:r>
      <w:r w:rsidR="00D714F7" w:rsidRPr="005D64AE">
        <w:rPr>
          <w:rFonts w:ascii="Sylfaen" w:hAnsi="Sylfaen" w:cs="Sylfaen"/>
          <w:bCs/>
          <w:sz w:val="24"/>
          <w:szCs w:val="24"/>
        </w:rPr>
        <w:t xml:space="preserve"> მე-9 მუხლის პირველ პუნქტთან და</w:t>
      </w:r>
      <w:r w:rsidR="001A1401" w:rsidRPr="005D64AE">
        <w:rPr>
          <w:rFonts w:ascii="Sylfaen" w:hAnsi="Sylfaen" w:cs="Sylfaen"/>
          <w:bCs/>
          <w:sz w:val="24"/>
          <w:szCs w:val="24"/>
        </w:rPr>
        <w:t xml:space="preserve"> 31-ე მუხლის პირველ პუნქტთან მიმართებით.</w:t>
      </w:r>
    </w:p>
    <w:p w14:paraId="19C93268" w14:textId="74997229" w:rsidR="001A1401" w:rsidRPr="005D64AE" w:rsidRDefault="001A1401" w:rsidP="005D64AE">
      <w:pPr>
        <w:pStyle w:val="ListParagraph"/>
        <w:numPr>
          <w:ilvl w:val="0"/>
          <w:numId w:val="1"/>
        </w:numPr>
        <w:spacing w:after="0" w:line="276" w:lineRule="auto"/>
        <w:ind w:left="0" w:firstLine="284"/>
        <w:jc w:val="both"/>
        <w:rPr>
          <w:rFonts w:ascii="Sylfaen" w:hAnsi="Sylfaen" w:cs="Sylfaen"/>
          <w:bCs/>
          <w:sz w:val="24"/>
          <w:szCs w:val="24"/>
        </w:rPr>
      </w:pPr>
      <w:r w:rsidRPr="005D64AE">
        <w:rPr>
          <w:rFonts w:ascii="Sylfaen" w:hAnsi="Sylfaen" w:cs="Sylfaen"/>
          <w:bCs/>
          <w:sz w:val="24"/>
          <w:szCs w:val="24"/>
        </w:rPr>
        <w:t>მოსარჩელე</w:t>
      </w:r>
      <w:r w:rsidR="00481311">
        <w:rPr>
          <w:rFonts w:ascii="Sylfaen" w:hAnsi="Sylfaen" w:cs="Sylfaen"/>
          <w:bCs/>
          <w:sz w:val="24"/>
          <w:szCs w:val="24"/>
        </w:rPr>
        <w:t>ები</w:t>
      </w:r>
      <w:r w:rsidR="00CB3CF7">
        <w:rPr>
          <w:rFonts w:ascii="Sylfaen" w:hAnsi="Sylfaen" w:cs="Sylfaen"/>
          <w:bCs/>
          <w:sz w:val="24"/>
          <w:szCs w:val="24"/>
        </w:rPr>
        <w:t>ს</w:t>
      </w:r>
      <w:r w:rsidR="00481311">
        <w:rPr>
          <w:rFonts w:ascii="Sylfaen" w:hAnsi="Sylfaen" w:cs="Sylfaen"/>
          <w:bCs/>
          <w:sz w:val="24"/>
          <w:szCs w:val="24"/>
        </w:rPr>
        <w:t xml:space="preserve"> </w:t>
      </w:r>
      <w:r w:rsidRPr="005D64AE">
        <w:rPr>
          <w:rFonts w:ascii="Sylfaen" w:hAnsi="Sylfaen" w:cs="Sylfaen"/>
          <w:bCs/>
          <w:sz w:val="24"/>
          <w:szCs w:val="24"/>
        </w:rPr>
        <w:t xml:space="preserve">პოზიციით, </w:t>
      </w:r>
      <w:r w:rsidR="00D714F7" w:rsidRPr="005D64AE">
        <w:rPr>
          <w:rFonts w:ascii="Sylfaen" w:hAnsi="Sylfaen" w:cs="Sylfaen"/>
          <w:bCs/>
          <w:sz w:val="24"/>
          <w:szCs w:val="24"/>
        </w:rPr>
        <w:t>სადავო</w:t>
      </w:r>
      <w:r w:rsidRPr="005D64AE">
        <w:rPr>
          <w:rFonts w:ascii="Sylfaen" w:hAnsi="Sylfaen" w:cs="Sylfaen"/>
          <w:bCs/>
          <w:sz w:val="24"/>
          <w:szCs w:val="24"/>
        </w:rPr>
        <w:t xml:space="preserve"> ნორმები თვითმიზნური ხასიათისაა, ზღუდავს საჯარო მოხელე</w:t>
      </w:r>
      <w:r w:rsidR="00D714F7" w:rsidRPr="005D64AE">
        <w:rPr>
          <w:rFonts w:ascii="Sylfaen" w:hAnsi="Sylfaen" w:cs="Sylfaen"/>
          <w:bCs/>
          <w:sz w:val="24"/>
          <w:szCs w:val="24"/>
        </w:rPr>
        <w:t>ების</w:t>
      </w:r>
      <w:r w:rsidRPr="005D64AE">
        <w:rPr>
          <w:rFonts w:ascii="Sylfaen" w:hAnsi="Sylfaen" w:cs="Sylfaen"/>
          <w:bCs/>
          <w:sz w:val="24"/>
          <w:szCs w:val="24"/>
        </w:rPr>
        <w:t xml:space="preserve">, მათ შორის, </w:t>
      </w:r>
      <w:r w:rsidR="00BC5CD5" w:rsidRPr="005D64AE">
        <w:rPr>
          <w:rFonts w:ascii="Sylfaen" w:hAnsi="Sylfaen" w:cs="Sylfaen"/>
          <w:bCs/>
          <w:sz w:val="24"/>
          <w:szCs w:val="24"/>
        </w:rPr>
        <w:t xml:space="preserve">საჯარო დაწესებულების </w:t>
      </w:r>
      <w:r w:rsidRPr="005D64AE">
        <w:rPr>
          <w:rFonts w:ascii="Sylfaen" w:hAnsi="Sylfaen" w:cs="Sylfaen"/>
          <w:bCs/>
          <w:sz w:val="24"/>
          <w:szCs w:val="24"/>
        </w:rPr>
        <w:t>პირველადი სტრუქტურული ერთეულების ხელმძღვანელების</w:t>
      </w:r>
      <w:r w:rsidR="00D714F7" w:rsidRPr="005D64AE">
        <w:rPr>
          <w:rFonts w:ascii="Sylfaen" w:hAnsi="Sylfaen" w:cs="Sylfaen"/>
          <w:bCs/>
          <w:sz w:val="24"/>
          <w:szCs w:val="24"/>
        </w:rPr>
        <w:t xml:space="preserve"> </w:t>
      </w:r>
      <w:r w:rsidRPr="005D64AE">
        <w:rPr>
          <w:rFonts w:ascii="Sylfaen" w:hAnsi="Sylfaen" w:cs="Sylfaen"/>
          <w:bCs/>
          <w:sz w:val="24"/>
          <w:szCs w:val="24"/>
        </w:rPr>
        <w:t>დამოუკიდებლობასა და ნეიტრალიტეტს.</w:t>
      </w:r>
      <w:r w:rsidRPr="005D64AE">
        <w:rPr>
          <w:rFonts w:ascii="Sylfaen" w:hAnsi="Sylfaen" w:cs="Sylfaen"/>
          <w:sz w:val="24"/>
          <w:szCs w:val="24"/>
        </w:rPr>
        <w:t xml:space="preserve"> </w:t>
      </w:r>
      <w:r w:rsidRPr="005D64AE">
        <w:rPr>
          <w:rFonts w:ascii="Sylfaen" w:hAnsi="Sylfaen" w:cs="Sylfaen"/>
          <w:bCs/>
          <w:sz w:val="24"/>
          <w:szCs w:val="24"/>
        </w:rPr>
        <w:t xml:space="preserve">№1859 კონსტიტუციური სარჩელის ავტორები არიან მოქმედი და ყოფილი საჯარო მოხელეები, რომლებზეც გავრცელდა </w:t>
      </w:r>
      <w:r w:rsidR="00A263DF" w:rsidRPr="005D64AE">
        <w:rPr>
          <w:rFonts w:ascii="Sylfaen" w:hAnsi="Sylfaen" w:cs="Sylfaen"/>
          <w:bCs/>
          <w:sz w:val="24"/>
          <w:szCs w:val="24"/>
        </w:rPr>
        <w:t xml:space="preserve">ან შესაძლოა გავრცელდეს </w:t>
      </w:r>
      <w:r w:rsidRPr="005D64AE">
        <w:rPr>
          <w:rFonts w:ascii="Sylfaen" w:hAnsi="Sylfaen" w:cs="Sylfaen"/>
          <w:bCs/>
          <w:sz w:val="24"/>
          <w:szCs w:val="24"/>
        </w:rPr>
        <w:t xml:space="preserve">სადავო ნორმებით დადგენილი </w:t>
      </w:r>
      <w:r w:rsidR="00BC5CD5" w:rsidRPr="005D64AE">
        <w:rPr>
          <w:rFonts w:ascii="Sylfaen" w:hAnsi="Sylfaen" w:cs="Sylfaen"/>
          <w:bCs/>
          <w:sz w:val="24"/>
          <w:szCs w:val="24"/>
        </w:rPr>
        <w:t>სამართლებრივი წესრიგი</w:t>
      </w:r>
      <w:r w:rsidR="00A263DF" w:rsidRPr="005D64AE">
        <w:rPr>
          <w:rFonts w:ascii="Sylfaen" w:hAnsi="Sylfaen" w:cs="Sylfaen"/>
          <w:bCs/>
          <w:sz w:val="24"/>
          <w:szCs w:val="24"/>
        </w:rPr>
        <w:t>.</w:t>
      </w:r>
      <w:r w:rsidRPr="005D64AE">
        <w:rPr>
          <w:rFonts w:ascii="Sylfaen" w:hAnsi="Sylfaen" w:cs="Sylfaen"/>
          <w:bCs/>
          <w:sz w:val="24"/>
          <w:szCs w:val="24"/>
        </w:rPr>
        <w:t xml:space="preserve"> №1866 კონსტიტუციური სარჩელის ავტორი კი 2016 წლის სექტემბრიდან იკავებდა საქართველოს საკონსტიტუციო სასამართლოს სამართლებრივი უზრუნველყოფისა და კვლევების დეპარტამენტის უფროსის პოზიციას</w:t>
      </w:r>
      <w:r w:rsidR="00881601" w:rsidRPr="005D64AE">
        <w:rPr>
          <w:rFonts w:ascii="Sylfaen" w:hAnsi="Sylfaen" w:cs="Sylfaen"/>
          <w:bCs/>
          <w:sz w:val="24"/>
          <w:szCs w:val="24"/>
        </w:rPr>
        <w:t>, რომელიც,</w:t>
      </w:r>
      <w:r w:rsidRPr="005D64AE">
        <w:rPr>
          <w:rFonts w:ascii="Sylfaen" w:hAnsi="Sylfaen" w:cs="Sylfaen"/>
          <w:bCs/>
          <w:sz w:val="24"/>
          <w:szCs w:val="24"/>
        </w:rPr>
        <w:t xml:space="preserve"> </w:t>
      </w:r>
      <w:r w:rsidRPr="005D64AE">
        <w:rPr>
          <w:rFonts w:ascii="Sylfaen" w:hAnsi="Sylfaen" w:cs="Sylfaen"/>
          <w:bCs/>
          <w:sz w:val="24"/>
          <w:szCs w:val="24"/>
        </w:rPr>
        <w:lastRenderedPageBreak/>
        <w:t>სადავო ნორმების საფუძველზე, მიჩნეულ იქნა ადმინისტრაციული ხელშეკრულებით დასაქმებულ პირად და შეუწყდა უფლებამოსილება.</w:t>
      </w:r>
    </w:p>
    <w:p w14:paraId="26B45F90" w14:textId="7186B97C" w:rsidR="00B240A8" w:rsidRPr="005D64AE" w:rsidRDefault="001A1401" w:rsidP="005D64AE">
      <w:pPr>
        <w:pStyle w:val="ListParagraph"/>
        <w:numPr>
          <w:ilvl w:val="0"/>
          <w:numId w:val="1"/>
        </w:numPr>
        <w:spacing w:after="0" w:line="276" w:lineRule="auto"/>
        <w:ind w:left="0" w:firstLine="284"/>
        <w:jc w:val="both"/>
        <w:rPr>
          <w:rFonts w:ascii="Sylfaen" w:hAnsi="Sylfaen" w:cs="Sylfaen"/>
          <w:sz w:val="24"/>
          <w:szCs w:val="24"/>
        </w:rPr>
      </w:pPr>
      <w:r w:rsidRPr="006B4901">
        <w:rPr>
          <w:rFonts w:ascii="Sylfaen" w:hAnsi="Sylfaen" w:cs="Sylfaen"/>
          <w:bCs/>
          <w:sz w:val="24"/>
          <w:szCs w:val="24"/>
        </w:rPr>
        <w:t>№3</w:t>
      </w:r>
      <w:r w:rsidR="00A263DF" w:rsidRPr="006B4901">
        <w:rPr>
          <w:rFonts w:ascii="Sylfaen" w:hAnsi="Sylfaen" w:cs="Sylfaen"/>
          <w:bCs/>
          <w:sz w:val="24"/>
          <w:szCs w:val="24"/>
        </w:rPr>
        <w:t>/1</w:t>
      </w:r>
      <w:r w:rsidRPr="006B4901">
        <w:rPr>
          <w:rFonts w:ascii="Sylfaen" w:hAnsi="Sylfaen" w:cs="Sylfaen"/>
          <w:bCs/>
          <w:sz w:val="24"/>
          <w:szCs w:val="24"/>
        </w:rPr>
        <w:t>-</w:t>
      </w:r>
      <w:r w:rsidR="00A263DF" w:rsidRPr="006B4901">
        <w:rPr>
          <w:rFonts w:ascii="Sylfaen" w:hAnsi="Sylfaen" w:cs="Sylfaen"/>
          <w:bCs/>
          <w:sz w:val="24"/>
          <w:szCs w:val="24"/>
        </w:rPr>
        <w:t>1</w:t>
      </w:r>
      <w:r w:rsidRPr="006B4901">
        <w:rPr>
          <w:rFonts w:ascii="Sylfaen" w:hAnsi="Sylfaen" w:cs="Sylfaen"/>
          <w:bCs/>
          <w:sz w:val="24"/>
          <w:szCs w:val="24"/>
        </w:rPr>
        <w:t>/1859,1866</w:t>
      </w:r>
      <w:r w:rsidRPr="005D64AE">
        <w:rPr>
          <w:rFonts w:ascii="Sylfaen" w:hAnsi="Sylfaen" w:cs="Sylfaen"/>
          <w:bCs/>
          <w:sz w:val="24"/>
          <w:szCs w:val="24"/>
        </w:rPr>
        <w:t xml:space="preserve"> საოქმო ჩანაწერით, საკონსტიტუციო სასამართლოს პლენუმმა</w:t>
      </w:r>
      <w:r w:rsidR="00B240A8" w:rsidRPr="005D64AE">
        <w:rPr>
          <w:rFonts w:ascii="Sylfaen" w:hAnsi="Sylfaen" w:cs="Sylfaen"/>
          <w:bCs/>
          <w:sz w:val="24"/>
          <w:szCs w:val="24"/>
        </w:rPr>
        <w:t xml:space="preserve"> </w:t>
      </w:r>
      <w:r w:rsidRPr="005D64AE">
        <w:rPr>
          <w:rFonts w:ascii="Sylfaen" w:hAnsi="Sylfaen" w:cs="Sylfaen"/>
          <w:bCs/>
          <w:sz w:val="24"/>
          <w:szCs w:val="24"/>
        </w:rPr>
        <w:t>გაიზიარა მოსამართლ</w:t>
      </w:r>
      <w:r w:rsidR="004671A8" w:rsidRPr="005D64AE">
        <w:rPr>
          <w:rFonts w:ascii="Sylfaen" w:hAnsi="Sylfaen" w:cs="Sylfaen"/>
          <w:bCs/>
          <w:sz w:val="24"/>
          <w:szCs w:val="24"/>
        </w:rPr>
        <w:t>ე</w:t>
      </w:r>
      <w:r w:rsidRPr="005D64AE">
        <w:rPr>
          <w:rFonts w:ascii="Sylfaen" w:hAnsi="Sylfaen" w:cs="Sylfaen"/>
          <w:bCs/>
          <w:sz w:val="24"/>
          <w:szCs w:val="24"/>
        </w:rPr>
        <w:t xml:space="preserve"> მანანა კობახიძის შუამდგომლობა</w:t>
      </w:r>
      <w:r w:rsidR="00B240A8" w:rsidRPr="005D64AE">
        <w:rPr>
          <w:rFonts w:ascii="Sylfaen" w:hAnsi="Sylfaen" w:cs="Sylfaen"/>
          <w:bCs/>
          <w:sz w:val="24"/>
          <w:szCs w:val="24"/>
        </w:rPr>
        <w:t>ში ასახული არგუმენტები,</w:t>
      </w:r>
      <w:r w:rsidRPr="005D64AE">
        <w:rPr>
          <w:rFonts w:ascii="Sylfaen" w:hAnsi="Sylfaen" w:cs="Sylfaen"/>
          <w:bCs/>
          <w:sz w:val="24"/>
          <w:szCs w:val="24"/>
        </w:rPr>
        <w:t xml:space="preserve"> №1859 და №1866 კონსტიტუციური სარჩელების პლენუმზე განხილვის თაობაზე</w:t>
      </w:r>
      <w:r w:rsidR="00B240A8" w:rsidRPr="005D64AE">
        <w:rPr>
          <w:rFonts w:ascii="Sylfaen" w:hAnsi="Sylfaen" w:cs="Sylfaen"/>
          <w:bCs/>
          <w:sz w:val="24"/>
          <w:szCs w:val="24"/>
        </w:rPr>
        <w:t xml:space="preserve"> და მიიჩნია, რომ მითითებული</w:t>
      </w:r>
      <w:r w:rsidRPr="005D64AE">
        <w:rPr>
          <w:rFonts w:ascii="Sylfaen" w:hAnsi="Sylfaen" w:cs="Sylfaen"/>
          <w:bCs/>
          <w:sz w:val="24"/>
          <w:szCs w:val="24"/>
        </w:rPr>
        <w:t xml:space="preserve"> კონსტიტუციური სარჩელები, თავიანთი შინაარსით, წარმოშობდა საქართველოს კონსტიტუციის</w:t>
      </w:r>
      <w:r w:rsidR="00B240A8" w:rsidRPr="005D64AE">
        <w:rPr>
          <w:rFonts w:ascii="Sylfaen" w:hAnsi="Sylfaen" w:cs="Sylfaen"/>
          <w:bCs/>
          <w:sz w:val="24"/>
          <w:szCs w:val="24"/>
        </w:rPr>
        <w:t xml:space="preserve"> განმარტების ან/და გამოყენების იშვიათ ან/და განსაკუთრებით მნიშვნელოვან სამართლებრივ პრობლემას. შესაბამისად, </w:t>
      </w:r>
      <w:r w:rsidR="00F94D09" w:rsidRPr="005D64AE">
        <w:rPr>
          <w:rFonts w:ascii="Sylfaen" w:hAnsi="Sylfaen" w:cs="Sylfaen"/>
          <w:bCs/>
          <w:sz w:val="24"/>
          <w:szCs w:val="24"/>
        </w:rPr>
        <w:t>დასახელებული საოქმო ჩანაწერით,</w:t>
      </w:r>
      <w:r w:rsidR="00B240A8" w:rsidRPr="005D64AE">
        <w:rPr>
          <w:rFonts w:ascii="Sylfaen" w:hAnsi="Sylfaen" w:cs="Sylfaen"/>
          <w:bCs/>
          <w:sz w:val="24"/>
          <w:szCs w:val="24"/>
        </w:rPr>
        <w:t xml:space="preserve"> </w:t>
      </w:r>
      <w:r w:rsidRPr="005D64AE">
        <w:rPr>
          <w:rFonts w:ascii="Sylfaen" w:hAnsi="Sylfaen" w:cs="Sylfaen"/>
          <w:bCs/>
          <w:sz w:val="24"/>
          <w:szCs w:val="24"/>
        </w:rPr>
        <w:t>№1859 და №1866 კონსტიტუციური სარჩელები</w:t>
      </w:r>
      <w:r w:rsidR="00F94D09" w:rsidRPr="005D64AE">
        <w:rPr>
          <w:rFonts w:ascii="Sylfaen" w:hAnsi="Sylfaen" w:cs="Sylfaen"/>
          <w:bCs/>
          <w:sz w:val="24"/>
          <w:szCs w:val="24"/>
        </w:rPr>
        <w:t>, მიღებულ იქნა</w:t>
      </w:r>
      <w:r w:rsidR="00B240A8" w:rsidRPr="005D64AE">
        <w:rPr>
          <w:rFonts w:ascii="Sylfaen" w:hAnsi="Sylfaen" w:cs="Sylfaen"/>
          <w:bCs/>
          <w:sz w:val="24"/>
          <w:szCs w:val="24"/>
        </w:rPr>
        <w:t xml:space="preserve"> პლენუმზე განსახილველად. </w:t>
      </w:r>
    </w:p>
    <w:p w14:paraId="7E83457A" w14:textId="7DC666CF" w:rsidR="001D5848" w:rsidRPr="005D64AE" w:rsidRDefault="008D1359" w:rsidP="005D64AE">
      <w:pPr>
        <w:pStyle w:val="ListParagraph"/>
        <w:numPr>
          <w:ilvl w:val="0"/>
          <w:numId w:val="1"/>
        </w:numPr>
        <w:spacing w:after="0" w:line="276" w:lineRule="auto"/>
        <w:ind w:left="0" w:firstLine="284"/>
        <w:jc w:val="both"/>
        <w:rPr>
          <w:rFonts w:ascii="Sylfaen" w:hAnsi="Sylfaen" w:cs="Sylfaen"/>
          <w:bCs/>
          <w:sz w:val="24"/>
          <w:szCs w:val="24"/>
        </w:rPr>
      </w:pPr>
      <w:r w:rsidRPr="005D64AE">
        <w:rPr>
          <w:rFonts w:ascii="Sylfaen" w:hAnsi="Sylfaen" w:cs="Sylfaen"/>
          <w:bCs/>
          <w:sz w:val="24"/>
          <w:szCs w:val="24"/>
        </w:rPr>
        <w:t xml:space="preserve">ჩვენმა კოლეგებმა, </w:t>
      </w:r>
      <w:r w:rsidR="00B240A8" w:rsidRPr="005D64AE">
        <w:rPr>
          <w:rFonts w:ascii="Sylfaen" w:hAnsi="Sylfaen" w:cs="Sylfaen"/>
          <w:bCs/>
          <w:sz w:val="24"/>
          <w:szCs w:val="24"/>
        </w:rPr>
        <w:t xml:space="preserve">№1859 და №1866 კონსტიტუციური სარჩელების </w:t>
      </w:r>
      <w:r w:rsidR="002A6AF9">
        <w:rPr>
          <w:rFonts w:ascii="Sylfaen" w:hAnsi="Sylfaen" w:cs="Sylfaen"/>
          <w:bCs/>
          <w:sz w:val="24"/>
          <w:szCs w:val="24"/>
        </w:rPr>
        <w:t xml:space="preserve">საკონსტიტუციო სასამართლოს </w:t>
      </w:r>
      <w:r w:rsidR="00B240A8" w:rsidRPr="005D64AE">
        <w:rPr>
          <w:rFonts w:ascii="Sylfaen" w:hAnsi="Sylfaen" w:cs="Sylfaen"/>
          <w:bCs/>
          <w:sz w:val="24"/>
          <w:szCs w:val="24"/>
        </w:rPr>
        <w:t xml:space="preserve">პლენუმზე განსახილველად მიღების საჭიროების დასაბუთება დააფუძნეს შემდეგ </w:t>
      </w:r>
      <w:r w:rsidR="002A6AF9">
        <w:rPr>
          <w:rFonts w:ascii="Sylfaen" w:hAnsi="Sylfaen" w:cs="Sylfaen"/>
          <w:bCs/>
          <w:sz w:val="24"/>
          <w:szCs w:val="24"/>
        </w:rPr>
        <w:t>არგუმენტებს:</w:t>
      </w:r>
      <w:r w:rsidR="00B240A8" w:rsidRPr="005D64AE">
        <w:rPr>
          <w:rFonts w:ascii="Sylfaen" w:hAnsi="Sylfaen" w:cs="Sylfaen"/>
          <w:bCs/>
          <w:sz w:val="24"/>
          <w:szCs w:val="24"/>
        </w:rPr>
        <w:t xml:space="preserve"> (ა) </w:t>
      </w:r>
      <w:r w:rsidR="00BA138A" w:rsidRPr="005D64AE">
        <w:rPr>
          <w:rFonts w:ascii="Sylfaen" w:hAnsi="Sylfaen" w:cs="Sylfaen"/>
          <w:bCs/>
          <w:sz w:val="24"/>
          <w:szCs w:val="24"/>
        </w:rPr>
        <w:t xml:space="preserve">კონსტიტუციურ სარჩელებში წამოჭრილი საკითხები დაკავშირებულია საჯარო სამსახურის კონცეფციის მნიშვნელოვან სისტემურ ცვლილებასთან, რაც შესაძლოა, კითხვის ნიშნის ქვეშ აყენებდეს მოქმედი საჯარო სამსახურის სამართლებრივი მოდელის </w:t>
      </w:r>
      <w:r w:rsidR="00967F8B" w:rsidRPr="005D64AE">
        <w:rPr>
          <w:rFonts w:ascii="Sylfaen" w:hAnsi="Sylfaen" w:cs="Sylfaen"/>
          <w:bCs/>
          <w:sz w:val="24"/>
          <w:szCs w:val="24"/>
        </w:rPr>
        <w:t>კონსტიტუციურობას</w:t>
      </w:r>
      <w:r w:rsidR="00E66307">
        <w:rPr>
          <w:rFonts w:ascii="Sylfaen" w:hAnsi="Sylfaen" w:cs="Sylfaen"/>
          <w:bCs/>
          <w:sz w:val="24"/>
          <w:szCs w:val="24"/>
        </w:rPr>
        <w:t xml:space="preserve">, რაც </w:t>
      </w:r>
      <w:r w:rsidR="00BA138A" w:rsidRPr="005D64AE">
        <w:rPr>
          <w:rFonts w:ascii="Sylfaen" w:hAnsi="Sylfaen" w:cs="Sylfaen"/>
          <w:bCs/>
          <w:sz w:val="24"/>
          <w:szCs w:val="24"/>
        </w:rPr>
        <w:t xml:space="preserve">საჭიროებს სკრუპულოზურ შემოწმებას საქართველოს კონსტიტუციის სხვადასხვა მუხლთან მიმართებით (იხ., </w:t>
      </w:r>
      <w:r w:rsidR="00BA138A" w:rsidRPr="006B4901">
        <w:rPr>
          <w:rFonts w:ascii="Sylfaen" w:hAnsi="Sylfaen" w:cs="Sylfaen"/>
          <w:bCs/>
          <w:sz w:val="24"/>
          <w:szCs w:val="24"/>
        </w:rPr>
        <w:t>№3/1-1/1859,1866</w:t>
      </w:r>
      <w:r w:rsidR="00BA138A" w:rsidRPr="005D64AE">
        <w:rPr>
          <w:rFonts w:ascii="Sylfaen" w:hAnsi="Sylfaen" w:cs="Sylfaen"/>
          <w:bCs/>
          <w:sz w:val="24"/>
          <w:szCs w:val="24"/>
        </w:rPr>
        <w:t xml:space="preserve"> საოქმო ჩანაწერის სამოტივაციო ნაწილის მე-2 პარაგრაფი); (ბ) წინამდებარე საქმე</w:t>
      </w:r>
      <w:r w:rsidR="00711A52" w:rsidRPr="005D64AE">
        <w:rPr>
          <w:rFonts w:ascii="Sylfaen" w:hAnsi="Sylfaen" w:cs="Sylfaen"/>
          <w:bCs/>
          <w:sz w:val="24"/>
          <w:szCs w:val="24"/>
        </w:rPr>
        <w:t>ებ</w:t>
      </w:r>
      <w:r w:rsidR="00BA138A" w:rsidRPr="005D64AE">
        <w:rPr>
          <w:rFonts w:ascii="Sylfaen" w:hAnsi="Sylfaen" w:cs="Sylfaen"/>
          <w:bCs/>
          <w:sz w:val="24"/>
          <w:szCs w:val="24"/>
        </w:rPr>
        <w:t>ში გამოსარკვევია სადავო ნორმების მასშტაბური ზეგავლენის პოტენციალი საჯარო თანამდებობის დაკავებისა და</w:t>
      </w:r>
      <w:r w:rsidR="00E34F52" w:rsidRPr="005D64AE">
        <w:rPr>
          <w:rFonts w:ascii="Sylfaen" w:hAnsi="Sylfaen" w:cs="Sylfaen"/>
          <w:bCs/>
          <w:sz w:val="24"/>
          <w:szCs w:val="24"/>
        </w:rPr>
        <w:t xml:space="preserve"> </w:t>
      </w:r>
      <w:r w:rsidR="00D55141" w:rsidRPr="005D64AE">
        <w:rPr>
          <w:rFonts w:ascii="Sylfaen" w:hAnsi="Sylfaen" w:cs="Sylfaen"/>
          <w:bCs/>
          <w:sz w:val="24"/>
          <w:szCs w:val="24"/>
        </w:rPr>
        <w:t xml:space="preserve">საქმიანობის </w:t>
      </w:r>
      <w:r w:rsidR="00BA138A" w:rsidRPr="005D64AE">
        <w:rPr>
          <w:rFonts w:ascii="Sylfaen" w:hAnsi="Sylfaen" w:cs="Sylfaen"/>
          <w:bCs/>
          <w:sz w:val="24"/>
          <w:szCs w:val="24"/>
        </w:rPr>
        <w:t>შეუფერხებლად განხორციელების კონსტიტუციურ უფლებ</w:t>
      </w:r>
      <w:r w:rsidR="00D55141" w:rsidRPr="005D64AE">
        <w:rPr>
          <w:rFonts w:ascii="Sylfaen" w:hAnsi="Sylfaen" w:cs="Sylfaen"/>
          <w:bCs/>
          <w:sz w:val="24"/>
          <w:szCs w:val="24"/>
        </w:rPr>
        <w:t xml:space="preserve">ებზე (იხ., </w:t>
      </w:r>
      <w:r w:rsidR="00D55141" w:rsidRPr="006B4901">
        <w:rPr>
          <w:rFonts w:ascii="Sylfaen" w:hAnsi="Sylfaen" w:cs="Sylfaen"/>
          <w:bCs/>
          <w:sz w:val="24"/>
          <w:szCs w:val="24"/>
        </w:rPr>
        <w:t>№3/1-1/1859,1866</w:t>
      </w:r>
      <w:r w:rsidR="00D55141" w:rsidRPr="005D64AE">
        <w:rPr>
          <w:rFonts w:ascii="Sylfaen" w:hAnsi="Sylfaen" w:cs="Sylfaen"/>
          <w:bCs/>
          <w:sz w:val="24"/>
          <w:szCs w:val="24"/>
        </w:rPr>
        <w:t xml:space="preserve"> საოქმო ჩანაწერის სამოტივაციო ნაწილის მე-3 პარაგრაფი); (გ) </w:t>
      </w:r>
      <w:r w:rsidR="00E728D8" w:rsidRPr="005D64AE">
        <w:rPr>
          <w:rFonts w:ascii="Sylfaen" w:hAnsi="Sylfaen" w:cs="Sylfaen"/>
          <w:bCs/>
          <w:sz w:val="24"/>
          <w:szCs w:val="24"/>
        </w:rPr>
        <w:t xml:space="preserve">განსაკუთრებით კომპლექსურ </w:t>
      </w:r>
      <w:proofErr w:type="spellStart"/>
      <w:r w:rsidR="00E728D8" w:rsidRPr="005D64AE">
        <w:rPr>
          <w:rFonts w:ascii="Sylfaen" w:hAnsi="Sylfaen" w:cs="Sylfaen"/>
          <w:bCs/>
          <w:sz w:val="24"/>
          <w:szCs w:val="24"/>
        </w:rPr>
        <w:t>კონსტიტუციურსამართლებრივ</w:t>
      </w:r>
      <w:proofErr w:type="spellEnd"/>
      <w:r w:rsidR="00E728D8" w:rsidRPr="005D64AE">
        <w:rPr>
          <w:rFonts w:ascii="Sylfaen" w:hAnsi="Sylfaen" w:cs="Sylfaen"/>
          <w:bCs/>
          <w:sz w:val="24"/>
          <w:szCs w:val="24"/>
        </w:rPr>
        <w:t xml:space="preserve"> ანალიზს საჭიროებს იმ საკითხის გადაწყვეტა</w:t>
      </w:r>
      <w:r w:rsidR="00711A52" w:rsidRPr="005D64AE">
        <w:rPr>
          <w:rFonts w:ascii="Sylfaen" w:hAnsi="Sylfaen" w:cs="Sylfaen"/>
          <w:bCs/>
          <w:sz w:val="24"/>
          <w:szCs w:val="24"/>
        </w:rPr>
        <w:t>,</w:t>
      </w:r>
      <w:r w:rsidR="00E728D8" w:rsidRPr="005D64AE">
        <w:rPr>
          <w:rFonts w:ascii="Sylfaen" w:hAnsi="Sylfaen" w:cs="Sylfaen"/>
          <w:bCs/>
          <w:sz w:val="24"/>
          <w:szCs w:val="24"/>
        </w:rPr>
        <w:t xml:space="preserve"> წარმოადგენს თუ არა საჯარო დაწესებულების პირველადი სტრუქტურული ერთეულის ხელმძღვანელის თანამდებობიდან გათავისუფლების </w:t>
      </w:r>
      <w:r w:rsidR="00B81A48">
        <w:rPr>
          <w:rFonts w:ascii="Sylfaen" w:hAnsi="Sylfaen" w:cs="Sylfaen"/>
          <w:bCs/>
          <w:sz w:val="24"/>
          <w:szCs w:val="24"/>
        </w:rPr>
        <w:t>მარეგლამენტირებელი</w:t>
      </w:r>
      <w:r w:rsidR="00E728D8" w:rsidRPr="005D64AE">
        <w:rPr>
          <w:rFonts w:ascii="Sylfaen" w:hAnsi="Sylfaen" w:cs="Sylfaen"/>
          <w:bCs/>
          <w:sz w:val="24"/>
          <w:szCs w:val="24"/>
        </w:rPr>
        <w:t xml:space="preserve"> ნორმები საქართველოს საკონსტიტუციო სასამართლოს </w:t>
      </w:r>
      <w:r w:rsidR="00E728D8" w:rsidRPr="005D64AE">
        <w:rPr>
          <w:rFonts w:ascii="Sylfaen" w:hAnsi="Sylfaen"/>
          <w:sz w:val="24"/>
          <w:szCs w:val="24"/>
        </w:rPr>
        <w:t>2017 წლის 17 ოქტომბრის №3/5/626 გადაწყვეტილები</w:t>
      </w:r>
      <w:r w:rsidR="00E34F52" w:rsidRPr="005D64AE">
        <w:rPr>
          <w:rFonts w:ascii="Sylfaen" w:hAnsi="Sylfaen"/>
          <w:sz w:val="24"/>
          <w:szCs w:val="24"/>
        </w:rPr>
        <w:t>ს</w:t>
      </w:r>
      <w:r w:rsidR="00E728D8" w:rsidRPr="005D64AE">
        <w:rPr>
          <w:rFonts w:ascii="Sylfaen" w:hAnsi="Sylfaen"/>
          <w:sz w:val="24"/>
          <w:szCs w:val="24"/>
        </w:rPr>
        <w:t xml:space="preserve"> </w:t>
      </w:r>
      <w:r w:rsidR="00711A52" w:rsidRPr="005D64AE">
        <w:rPr>
          <w:rFonts w:ascii="Sylfaen" w:hAnsi="Sylfaen" w:cs="Sylfaen"/>
          <w:bCs/>
          <w:sz w:val="24"/>
          <w:szCs w:val="24"/>
        </w:rPr>
        <w:t>დამძლევ ნორმებს</w:t>
      </w:r>
      <w:r w:rsidR="00E728D8" w:rsidRPr="005D64AE">
        <w:rPr>
          <w:rFonts w:ascii="Sylfaen" w:hAnsi="Sylfaen" w:cs="Sylfaen"/>
          <w:bCs/>
          <w:sz w:val="24"/>
          <w:szCs w:val="24"/>
        </w:rPr>
        <w:t xml:space="preserve"> (იხ., </w:t>
      </w:r>
      <w:r w:rsidR="00E728D8" w:rsidRPr="006B4901">
        <w:rPr>
          <w:rFonts w:ascii="Sylfaen" w:hAnsi="Sylfaen" w:cs="Sylfaen"/>
          <w:bCs/>
          <w:sz w:val="24"/>
          <w:szCs w:val="24"/>
        </w:rPr>
        <w:t>№3/1-1/1859,1866</w:t>
      </w:r>
      <w:r w:rsidR="00E728D8" w:rsidRPr="005D64AE">
        <w:rPr>
          <w:rFonts w:ascii="Sylfaen" w:hAnsi="Sylfaen" w:cs="Sylfaen"/>
          <w:bCs/>
          <w:sz w:val="24"/>
          <w:szCs w:val="24"/>
        </w:rPr>
        <w:t xml:space="preserve"> საოქმო ჩანაწერის სამოტივაციო ნაწილის მე-4 პარაგრაფი). საკონსტიტუციო სასამართლოს პლენუმის მოსაზრებით, ხსენებულ საკითხებ</w:t>
      </w:r>
      <w:r w:rsidR="001D5848" w:rsidRPr="005D64AE">
        <w:rPr>
          <w:rFonts w:ascii="Sylfaen" w:hAnsi="Sylfaen" w:cs="Sylfaen"/>
          <w:bCs/>
          <w:sz w:val="24"/>
          <w:szCs w:val="24"/>
        </w:rPr>
        <w:t xml:space="preserve">ზე პასუხის გაცემა მოითხოვს საჯარო სამსახურის სისტემის უპრეცედენტოდ ფართო კონტექსტში გაანალიზებას – როგორც ფუნდამენტური პრინციპების ჭრილში, რომლებიც აყალიბებს მთლიანად საჯარო სამსახურის მოდელს, აგრეთვე ყველა საჯარო მოხელის გარანტიების </w:t>
      </w:r>
      <w:proofErr w:type="spellStart"/>
      <w:r w:rsidR="001D5848" w:rsidRPr="005D64AE">
        <w:rPr>
          <w:rFonts w:ascii="Sylfaen" w:hAnsi="Sylfaen" w:cs="Sylfaen"/>
          <w:bCs/>
          <w:sz w:val="24"/>
          <w:szCs w:val="24"/>
        </w:rPr>
        <w:t>კონსტიტუციურსამართლებრივ</w:t>
      </w:r>
      <w:proofErr w:type="spellEnd"/>
      <w:r w:rsidR="001D5848" w:rsidRPr="005D64AE">
        <w:rPr>
          <w:rFonts w:ascii="Sylfaen" w:hAnsi="Sylfaen" w:cs="Sylfaen"/>
          <w:bCs/>
          <w:sz w:val="24"/>
          <w:szCs w:val="24"/>
        </w:rPr>
        <w:t xml:space="preserve"> </w:t>
      </w:r>
      <w:r w:rsidR="00A02ADA" w:rsidRPr="005D64AE">
        <w:rPr>
          <w:rFonts w:ascii="Sylfaen" w:hAnsi="Sylfaen" w:cs="Sylfaen"/>
          <w:bCs/>
          <w:sz w:val="24"/>
          <w:szCs w:val="24"/>
        </w:rPr>
        <w:t>პრიზმაში</w:t>
      </w:r>
      <w:r w:rsidR="001D5848" w:rsidRPr="005D64AE">
        <w:rPr>
          <w:rFonts w:ascii="Sylfaen" w:hAnsi="Sylfaen" w:cs="Sylfaen"/>
          <w:bCs/>
          <w:sz w:val="24"/>
          <w:szCs w:val="24"/>
        </w:rPr>
        <w:t xml:space="preserve"> განხილვას, რაც ადასტურებს საქმის კომპლექსურობას, სერიოზულობასა და კონსტიტუციურობის შეფასების მაღალ სირთულეს (იხ., </w:t>
      </w:r>
      <w:r w:rsidR="001D5848" w:rsidRPr="006B4901">
        <w:rPr>
          <w:rFonts w:ascii="Sylfaen" w:hAnsi="Sylfaen" w:cs="Sylfaen"/>
          <w:bCs/>
          <w:sz w:val="24"/>
          <w:szCs w:val="24"/>
        </w:rPr>
        <w:t>№3/1-1/1859,1866</w:t>
      </w:r>
      <w:r w:rsidR="001D5848" w:rsidRPr="005D64AE">
        <w:rPr>
          <w:rFonts w:ascii="Sylfaen" w:hAnsi="Sylfaen" w:cs="Sylfaen"/>
          <w:bCs/>
          <w:sz w:val="24"/>
          <w:szCs w:val="24"/>
        </w:rPr>
        <w:t xml:space="preserve"> საოქმო ჩანაწერის სამოტივაციო ნაწილის მე-5 პარაგრაფი).</w:t>
      </w:r>
    </w:p>
    <w:p w14:paraId="3A508B50" w14:textId="35C4BF76" w:rsidR="00F13FBB" w:rsidRPr="00F13FBB" w:rsidRDefault="001A1401" w:rsidP="00F13FBB">
      <w:pPr>
        <w:pStyle w:val="ListParagraph"/>
        <w:numPr>
          <w:ilvl w:val="0"/>
          <w:numId w:val="1"/>
        </w:numPr>
        <w:spacing w:after="0" w:line="276" w:lineRule="auto"/>
        <w:ind w:left="0" w:firstLine="284"/>
        <w:jc w:val="both"/>
        <w:rPr>
          <w:rFonts w:ascii="Sylfaen" w:hAnsi="Sylfaen" w:cs="Sylfaen"/>
          <w:bCs/>
          <w:sz w:val="24"/>
          <w:szCs w:val="24"/>
        </w:rPr>
      </w:pPr>
      <w:r w:rsidRPr="005D64AE">
        <w:rPr>
          <w:rFonts w:ascii="Sylfaen" w:hAnsi="Sylfaen" w:cs="Sylfaen"/>
          <w:bCs/>
          <w:sz w:val="24"/>
          <w:szCs w:val="24"/>
        </w:rPr>
        <w:lastRenderedPageBreak/>
        <w:t>განსხვავებული აზრის ავტორებ</w:t>
      </w:r>
      <w:r w:rsidR="00227847" w:rsidRPr="005D64AE">
        <w:rPr>
          <w:rFonts w:ascii="Sylfaen" w:hAnsi="Sylfaen" w:cs="Sylfaen"/>
          <w:bCs/>
          <w:sz w:val="24"/>
          <w:szCs w:val="24"/>
        </w:rPr>
        <w:t>ი მივიჩნევთ,</w:t>
      </w:r>
      <w:r w:rsidRPr="005D64AE">
        <w:rPr>
          <w:rFonts w:ascii="Sylfaen" w:hAnsi="Sylfaen" w:cs="Sylfaen"/>
          <w:bCs/>
          <w:sz w:val="24"/>
          <w:szCs w:val="24"/>
        </w:rPr>
        <w:t xml:space="preserve"> რომ </w:t>
      </w:r>
      <w:r w:rsidR="00227847" w:rsidRPr="005D64AE">
        <w:rPr>
          <w:rFonts w:ascii="Sylfaen" w:hAnsi="Sylfaen" w:cs="Sylfaen"/>
          <w:bCs/>
          <w:sz w:val="24"/>
          <w:szCs w:val="24"/>
        </w:rPr>
        <w:t>წარმოდგენილი არგუმენტები, არც ცალკე აღებული და არც ერთმანეთთან ურთიერთკავშირში</w:t>
      </w:r>
      <w:r w:rsidR="00977BBA" w:rsidRPr="005D64AE">
        <w:rPr>
          <w:rFonts w:ascii="Sylfaen" w:hAnsi="Sylfaen" w:cs="Sylfaen"/>
          <w:bCs/>
          <w:sz w:val="24"/>
          <w:szCs w:val="24"/>
        </w:rPr>
        <w:t xml:space="preserve"> განხილული, </w:t>
      </w:r>
      <w:r w:rsidR="00227847" w:rsidRPr="005D64AE">
        <w:rPr>
          <w:rFonts w:ascii="Sylfaen" w:hAnsi="Sylfaen" w:cs="Sylfaen"/>
          <w:bCs/>
          <w:sz w:val="24"/>
          <w:szCs w:val="24"/>
        </w:rPr>
        <w:t>არ ქმნიდა</w:t>
      </w:r>
      <w:r w:rsidR="00FE60D5" w:rsidRPr="005D64AE">
        <w:rPr>
          <w:rFonts w:ascii="Sylfaen" w:hAnsi="Sylfaen" w:cs="Sylfaen"/>
          <w:bCs/>
          <w:sz w:val="24"/>
          <w:szCs w:val="24"/>
        </w:rPr>
        <w:t xml:space="preserve"> </w:t>
      </w:r>
      <w:r w:rsidR="00227847" w:rsidRPr="005D64AE">
        <w:rPr>
          <w:rFonts w:ascii="Sylfaen" w:hAnsi="Sylfaen" w:cs="Sylfaen"/>
          <w:bCs/>
          <w:sz w:val="24"/>
          <w:szCs w:val="24"/>
        </w:rPr>
        <w:t>საკონსტიტუციო სასამართლოს კოლეგიის განსჯადი საქმის პლენუმ</w:t>
      </w:r>
      <w:r w:rsidR="00FE60D5" w:rsidRPr="005D64AE">
        <w:rPr>
          <w:rFonts w:ascii="Sylfaen" w:hAnsi="Sylfaen" w:cs="Sylfaen"/>
          <w:bCs/>
          <w:sz w:val="24"/>
          <w:szCs w:val="24"/>
        </w:rPr>
        <w:t>ზე განსახილველად გადაცემის</w:t>
      </w:r>
      <w:r w:rsidR="00227847" w:rsidRPr="005D64AE">
        <w:rPr>
          <w:rFonts w:ascii="Sylfaen" w:hAnsi="Sylfaen" w:cs="Sylfaen"/>
          <w:bCs/>
          <w:sz w:val="24"/>
          <w:szCs w:val="24"/>
        </w:rPr>
        <w:t xml:space="preserve"> </w:t>
      </w:r>
      <w:r w:rsidR="000843E4" w:rsidRPr="005D64AE">
        <w:rPr>
          <w:rFonts w:ascii="Sylfaen" w:hAnsi="Sylfaen" w:cs="Sylfaen"/>
          <w:bCs/>
          <w:sz w:val="24"/>
          <w:szCs w:val="24"/>
        </w:rPr>
        <w:t xml:space="preserve">საკმარის სამართლებრივ საფუძველს, რის გამოც, </w:t>
      </w:r>
      <w:r w:rsidR="00F13FBB">
        <w:rPr>
          <w:rFonts w:ascii="Sylfaen" w:hAnsi="Sylfaen" w:cs="Sylfaen"/>
          <w:bCs/>
          <w:sz w:val="24"/>
          <w:szCs w:val="24"/>
        </w:rPr>
        <w:t>საკონსტიტუციო სასამართლოს</w:t>
      </w:r>
      <w:r w:rsidR="00227847" w:rsidRPr="005D64AE">
        <w:rPr>
          <w:rFonts w:ascii="Sylfaen" w:hAnsi="Sylfaen" w:cs="Sylfaen"/>
          <w:bCs/>
          <w:sz w:val="24"/>
          <w:szCs w:val="24"/>
        </w:rPr>
        <w:t xml:space="preserve"> </w:t>
      </w:r>
      <w:r w:rsidR="00F13FBB">
        <w:rPr>
          <w:rFonts w:ascii="Sylfaen" w:hAnsi="Sylfaen" w:cs="Sylfaen"/>
          <w:bCs/>
          <w:sz w:val="24"/>
          <w:szCs w:val="24"/>
        </w:rPr>
        <w:t>პლენუმს,</w:t>
      </w:r>
      <w:r w:rsidR="00227847" w:rsidRPr="005D64AE">
        <w:rPr>
          <w:rFonts w:ascii="Sylfaen" w:hAnsi="Sylfaen" w:cs="Sylfaen"/>
          <w:bCs/>
          <w:sz w:val="24"/>
          <w:szCs w:val="24"/>
        </w:rPr>
        <w:t xml:space="preserve"> №1859 და №1866 კონსტიტუციური სარჩელებ</w:t>
      </w:r>
      <w:r w:rsidR="00FA4A56" w:rsidRPr="005D64AE">
        <w:rPr>
          <w:rFonts w:ascii="Sylfaen" w:hAnsi="Sylfaen" w:cs="Sylfaen"/>
          <w:bCs/>
          <w:sz w:val="24"/>
          <w:szCs w:val="24"/>
        </w:rPr>
        <w:t>ი</w:t>
      </w:r>
      <w:r w:rsidR="00F13FBB">
        <w:rPr>
          <w:rFonts w:ascii="Sylfaen" w:hAnsi="Sylfaen" w:cs="Sylfaen"/>
          <w:bCs/>
          <w:sz w:val="24"/>
          <w:szCs w:val="24"/>
        </w:rPr>
        <w:t>,</w:t>
      </w:r>
      <w:r w:rsidR="00227847" w:rsidRPr="005D64AE">
        <w:rPr>
          <w:rFonts w:ascii="Sylfaen" w:hAnsi="Sylfaen" w:cs="Sylfaen"/>
          <w:bCs/>
          <w:sz w:val="24"/>
          <w:szCs w:val="24"/>
        </w:rPr>
        <w:t xml:space="preserve"> პლენუმზე განსახილველად</w:t>
      </w:r>
      <w:r w:rsidR="00F13FBB">
        <w:rPr>
          <w:rFonts w:ascii="Sylfaen" w:hAnsi="Sylfaen" w:cs="Sylfaen"/>
          <w:bCs/>
          <w:sz w:val="24"/>
          <w:szCs w:val="24"/>
        </w:rPr>
        <w:t xml:space="preserve"> არ უნდა მიეღო. </w:t>
      </w:r>
    </w:p>
    <w:p w14:paraId="3ED89616" w14:textId="77FF697C" w:rsidR="009C173B" w:rsidRPr="005D64AE" w:rsidRDefault="009C173B" w:rsidP="005D64AE">
      <w:pPr>
        <w:pStyle w:val="ListParagraph"/>
        <w:numPr>
          <w:ilvl w:val="0"/>
          <w:numId w:val="1"/>
        </w:numPr>
        <w:spacing w:after="0" w:line="276" w:lineRule="auto"/>
        <w:ind w:left="0" w:firstLine="284"/>
        <w:jc w:val="both"/>
        <w:rPr>
          <w:rFonts w:ascii="Sylfaen" w:hAnsi="Sylfaen" w:cs="Sylfaen"/>
          <w:bCs/>
          <w:sz w:val="24"/>
          <w:szCs w:val="24"/>
        </w:rPr>
      </w:pPr>
      <w:r w:rsidRPr="005D64AE">
        <w:rPr>
          <w:rFonts w:ascii="Sylfaen" w:hAnsi="Sylfaen" w:cs="Sylfaen"/>
          <w:bCs/>
          <w:sz w:val="24"/>
          <w:szCs w:val="24"/>
        </w:rPr>
        <w:t>№1859 და №1866 კონსტიტუციური სარჩელების</w:t>
      </w:r>
      <w:r w:rsidR="008B5052">
        <w:rPr>
          <w:rFonts w:ascii="Sylfaen" w:hAnsi="Sylfaen" w:cs="Sylfaen"/>
          <w:bCs/>
          <w:sz w:val="24"/>
          <w:szCs w:val="24"/>
        </w:rPr>
        <w:t xml:space="preserve"> საკონსტიტუციო სასამართლოს</w:t>
      </w:r>
      <w:r w:rsidRPr="005D64AE">
        <w:rPr>
          <w:rFonts w:ascii="Sylfaen" w:hAnsi="Sylfaen" w:cs="Sylfaen"/>
          <w:bCs/>
          <w:sz w:val="24"/>
          <w:szCs w:val="24"/>
        </w:rPr>
        <w:t xml:space="preserve"> პლენუმზე განსახილველად მიღების </w:t>
      </w:r>
      <w:r w:rsidR="002A6AF9">
        <w:rPr>
          <w:rFonts w:ascii="Sylfaen" w:hAnsi="Sylfaen" w:cs="Sylfaen"/>
          <w:bCs/>
          <w:sz w:val="24"/>
          <w:szCs w:val="24"/>
        </w:rPr>
        <w:t>უსაფუძვლობის დასაბუთების მიზნით,</w:t>
      </w:r>
      <w:r w:rsidRPr="005D64AE">
        <w:rPr>
          <w:rFonts w:ascii="Sylfaen" w:hAnsi="Sylfaen" w:cs="Sylfaen"/>
          <w:bCs/>
          <w:sz w:val="24"/>
          <w:szCs w:val="24"/>
        </w:rPr>
        <w:t xml:space="preserve"> უპირველეს ყოვლისა, საჭიროდ მივიჩნევთ, ყურადღება გავამახვილოთ „საქართველოს საკონსტიტუციო სასამართლოს შესახებ“ საქართველოს ორგანული კანონით განსაზღვრულ იმ ნორმატიულ </w:t>
      </w:r>
      <w:r w:rsidR="008F7605">
        <w:rPr>
          <w:rFonts w:ascii="Sylfaen" w:hAnsi="Sylfaen" w:cs="Sylfaen"/>
          <w:bCs/>
          <w:sz w:val="24"/>
          <w:szCs w:val="24"/>
        </w:rPr>
        <w:t>წესრიგზე,</w:t>
      </w:r>
      <w:r w:rsidRPr="005D64AE">
        <w:rPr>
          <w:rFonts w:ascii="Sylfaen" w:hAnsi="Sylfaen" w:cs="Sylfaen"/>
          <w:bCs/>
          <w:sz w:val="24"/>
          <w:szCs w:val="24"/>
        </w:rPr>
        <w:t xml:space="preserve"> რომელიც </w:t>
      </w:r>
      <w:r w:rsidR="008F7605">
        <w:rPr>
          <w:rFonts w:ascii="Sylfaen" w:hAnsi="Sylfaen" w:cs="Sylfaen"/>
          <w:bCs/>
          <w:sz w:val="24"/>
          <w:szCs w:val="24"/>
        </w:rPr>
        <w:t>განსაზღვრავს</w:t>
      </w:r>
      <w:r w:rsidRPr="005D64AE">
        <w:rPr>
          <w:rFonts w:ascii="Sylfaen" w:hAnsi="Sylfaen" w:cs="Sylfaen"/>
          <w:bCs/>
          <w:sz w:val="24"/>
          <w:szCs w:val="24"/>
        </w:rPr>
        <w:t xml:space="preserve"> საკონსტიტუციო სასამართლოს პლენუმსა და კოლეგიებს შორის უფლებამოსილებ</w:t>
      </w:r>
      <w:r w:rsidR="008F354E" w:rsidRPr="005D64AE">
        <w:rPr>
          <w:rFonts w:ascii="Sylfaen" w:hAnsi="Sylfaen" w:cs="Sylfaen"/>
          <w:bCs/>
          <w:sz w:val="24"/>
          <w:szCs w:val="24"/>
        </w:rPr>
        <w:t>ების გამიჯვნის საკითხს, განსჯადობის ფარგლებს</w:t>
      </w:r>
      <w:r w:rsidR="00481311">
        <w:rPr>
          <w:rFonts w:ascii="Sylfaen" w:hAnsi="Sylfaen" w:cs="Sylfaen"/>
          <w:bCs/>
          <w:sz w:val="24"/>
          <w:szCs w:val="24"/>
        </w:rPr>
        <w:t>ა</w:t>
      </w:r>
      <w:r w:rsidR="008F354E" w:rsidRPr="005D64AE">
        <w:rPr>
          <w:rFonts w:ascii="Sylfaen" w:hAnsi="Sylfaen" w:cs="Sylfaen"/>
          <w:bCs/>
          <w:sz w:val="24"/>
          <w:szCs w:val="24"/>
        </w:rPr>
        <w:t xml:space="preserve"> და კოლეგიის</w:t>
      </w:r>
      <w:r w:rsidR="00F06A54" w:rsidRPr="005D64AE">
        <w:rPr>
          <w:rFonts w:ascii="Sylfaen" w:hAnsi="Sylfaen" w:cs="Sylfaen"/>
          <w:bCs/>
          <w:sz w:val="24"/>
          <w:szCs w:val="24"/>
        </w:rPr>
        <w:t>/კოლეგიის წევრის</w:t>
      </w:r>
      <w:r w:rsidR="008F354E" w:rsidRPr="005D64AE">
        <w:rPr>
          <w:rFonts w:ascii="Sylfaen" w:hAnsi="Sylfaen" w:cs="Sylfaen"/>
          <w:bCs/>
          <w:sz w:val="24"/>
          <w:szCs w:val="24"/>
        </w:rPr>
        <w:t xml:space="preserve"> მიერ საქმეების პლენუმ</w:t>
      </w:r>
      <w:r w:rsidR="00F06A54" w:rsidRPr="005D64AE">
        <w:rPr>
          <w:rFonts w:ascii="Sylfaen" w:hAnsi="Sylfaen" w:cs="Sylfaen"/>
          <w:bCs/>
          <w:sz w:val="24"/>
          <w:szCs w:val="24"/>
        </w:rPr>
        <w:t>ზე განსახილველად</w:t>
      </w:r>
      <w:r w:rsidR="008F354E" w:rsidRPr="005D64AE">
        <w:rPr>
          <w:rFonts w:ascii="Sylfaen" w:hAnsi="Sylfaen" w:cs="Sylfaen"/>
          <w:bCs/>
          <w:sz w:val="24"/>
          <w:szCs w:val="24"/>
        </w:rPr>
        <w:t xml:space="preserve"> გადაცემის/</w:t>
      </w:r>
      <w:r w:rsidR="00F06A54" w:rsidRPr="005D64AE">
        <w:rPr>
          <w:rFonts w:ascii="Sylfaen" w:hAnsi="Sylfaen" w:cs="Sylfaen"/>
          <w:bCs/>
          <w:sz w:val="24"/>
          <w:szCs w:val="24"/>
        </w:rPr>
        <w:t xml:space="preserve">პლენუმის მიერ </w:t>
      </w:r>
      <w:r w:rsidR="008F354E" w:rsidRPr="005D64AE">
        <w:rPr>
          <w:rFonts w:ascii="Sylfaen" w:hAnsi="Sylfaen" w:cs="Sylfaen"/>
          <w:bCs/>
          <w:sz w:val="24"/>
          <w:szCs w:val="24"/>
        </w:rPr>
        <w:t>პლენუმზე განსახილველად მიღების საფუძვლებს.</w:t>
      </w:r>
    </w:p>
    <w:p w14:paraId="6213AC39" w14:textId="31754131" w:rsidR="000E2098" w:rsidRPr="005D64AE" w:rsidRDefault="00F06A54" w:rsidP="005D64AE">
      <w:pPr>
        <w:pStyle w:val="ListParagraph"/>
        <w:numPr>
          <w:ilvl w:val="0"/>
          <w:numId w:val="1"/>
        </w:numPr>
        <w:spacing w:after="0" w:line="276" w:lineRule="auto"/>
        <w:ind w:left="0" w:firstLine="284"/>
        <w:jc w:val="both"/>
        <w:rPr>
          <w:rFonts w:ascii="Sylfaen" w:hAnsi="Sylfaen" w:cs="Sylfaen"/>
          <w:bCs/>
          <w:sz w:val="24"/>
          <w:szCs w:val="24"/>
        </w:rPr>
      </w:pPr>
      <w:r w:rsidRPr="005D64AE">
        <w:rPr>
          <w:rFonts w:ascii="Sylfaen" w:hAnsi="Sylfaen" w:cs="Sylfaen"/>
          <w:bCs/>
          <w:sz w:val="24"/>
          <w:szCs w:val="24"/>
        </w:rPr>
        <w:t xml:space="preserve">„საქართველოს საკონსტიტუციო სასამართლოს შესახებ“ საქართველოს ორგანული კანონის 21-ე მუხლის პირველი და მე-2 პუნქტები </w:t>
      </w:r>
      <w:r w:rsidR="00EC1912" w:rsidRPr="005D64AE">
        <w:rPr>
          <w:rFonts w:ascii="Sylfaen" w:hAnsi="Sylfaen" w:cs="Sylfaen"/>
          <w:bCs/>
          <w:sz w:val="24"/>
          <w:szCs w:val="24"/>
        </w:rPr>
        <w:t>დეტალურად</w:t>
      </w:r>
      <w:r w:rsidRPr="005D64AE">
        <w:rPr>
          <w:rFonts w:ascii="Sylfaen" w:hAnsi="Sylfaen" w:cs="Sylfaen"/>
          <w:bCs/>
          <w:sz w:val="24"/>
          <w:szCs w:val="24"/>
        </w:rPr>
        <w:t xml:space="preserve"> აწესრიგებს და სახელდებით ჩამოთვლის საკონსტიტუციო სასამართლოს პლენუმისა და კოლეგიის განსჯად საქმეებს და, ამ გზით, ადგენს</w:t>
      </w:r>
      <w:r w:rsidR="00481311">
        <w:rPr>
          <w:rFonts w:ascii="Sylfaen" w:hAnsi="Sylfaen" w:cs="Sylfaen"/>
          <w:bCs/>
          <w:sz w:val="24"/>
          <w:szCs w:val="24"/>
        </w:rPr>
        <w:t xml:space="preserve"> შიდაინსტიტუციური</w:t>
      </w:r>
      <w:r w:rsidRPr="005D64AE">
        <w:rPr>
          <w:rFonts w:ascii="Sylfaen" w:hAnsi="Sylfaen" w:cs="Sylfaen"/>
          <w:bCs/>
          <w:sz w:val="24"/>
          <w:szCs w:val="24"/>
        </w:rPr>
        <w:t xml:space="preserve"> განსჯადობის საზღვრებს</w:t>
      </w:r>
      <w:r w:rsidR="00340CDB">
        <w:rPr>
          <w:rFonts w:ascii="Sylfaen" w:hAnsi="Sylfaen" w:cs="Sylfaen"/>
          <w:bCs/>
          <w:sz w:val="24"/>
          <w:szCs w:val="24"/>
        </w:rPr>
        <w:t xml:space="preserve">. </w:t>
      </w:r>
      <w:r w:rsidRPr="005D64AE">
        <w:rPr>
          <w:rFonts w:ascii="Sylfaen" w:hAnsi="Sylfaen" w:cs="Sylfaen"/>
          <w:bCs/>
          <w:sz w:val="24"/>
          <w:szCs w:val="24"/>
        </w:rPr>
        <w:t xml:space="preserve">აღნიშნული </w:t>
      </w:r>
      <w:r w:rsidR="00EC1912" w:rsidRPr="005D64AE">
        <w:rPr>
          <w:rFonts w:ascii="Sylfaen" w:hAnsi="Sylfaen" w:cs="Sylfaen"/>
          <w:bCs/>
          <w:sz w:val="24"/>
          <w:szCs w:val="24"/>
        </w:rPr>
        <w:t>რეგულირება ემსახურება</w:t>
      </w:r>
      <w:r w:rsidR="001F3529">
        <w:rPr>
          <w:rFonts w:ascii="Sylfaen" w:hAnsi="Sylfaen" w:cs="Sylfaen"/>
          <w:bCs/>
          <w:sz w:val="24"/>
          <w:szCs w:val="24"/>
        </w:rPr>
        <w:t>,</w:t>
      </w:r>
      <w:r w:rsidR="00EC1912" w:rsidRPr="005D64AE">
        <w:rPr>
          <w:rFonts w:ascii="Sylfaen" w:hAnsi="Sylfaen" w:cs="Sylfaen"/>
          <w:bCs/>
          <w:sz w:val="24"/>
          <w:szCs w:val="24"/>
        </w:rPr>
        <w:t xml:space="preserve"> </w:t>
      </w:r>
      <w:r w:rsidRPr="005D64AE">
        <w:rPr>
          <w:rFonts w:ascii="Sylfaen" w:hAnsi="Sylfaen" w:cs="Sylfaen"/>
          <w:bCs/>
          <w:sz w:val="24"/>
          <w:szCs w:val="24"/>
        </w:rPr>
        <w:t xml:space="preserve">საკონსტიტუციო სასამართლოს </w:t>
      </w:r>
      <w:r w:rsidR="004671A8" w:rsidRPr="005D64AE">
        <w:rPr>
          <w:rFonts w:ascii="Sylfaen" w:hAnsi="Sylfaen" w:cs="Sylfaen"/>
          <w:bCs/>
          <w:sz w:val="24"/>
          <w:szCs w:val="24"/>
        </w:rPr>
        <w:t>კომპეტენციების</w:t>
      </w:r>
      <w:r w:rsidRPr="005D64AE">
        <w:rPr>
          <w:rFonts w:ascii="Sylfaen" w:hAnsi="Sylfaen" w:cs="Sylfaen"/>
          <w:bCs/>
          <w:sz w:val="24"/>
          <w:szCs w:val="24"/>
        </w:rPr>
        <w:t xml:space="preserve"> ფარგლებში, </w:t>
      </w:r>
      <w:proofErr w:type="spellStart"/>
      <w:r w:rsidRPr="005D64AE">
        <w:rPr>
          <w:rFonts w:ascii="Sylfaen" w:hAnsi="Sylfaen" w:cs="Sylfaen"/>
          <w:bCs/>
          <w:sz w:val="24"/>
          <w:szCs w:val="24"/>
        </w:rPr>
        <w:t>პლენუმსა</w:t>
      </w:r>
      <w:proofErr w:type="spellEnd"/>
      <w:r w:rsidRPr="005D64AE">
        <w:rPr>
          <w:rFonts w:ascii="Sylfaen" w:hAnsi="Sylfaen" w:cs="Sylfaen"/>
          <w:bCs/>
          <w:sz w:val="24"/>
          <w:szCs w:val="24"/>
        </w:rPr>
        <w:t xml:space="preserve"> და კოლეგიებს შორის საქმეების ფუნქციურ განაწილებას, რაც აუცილებელია</w:t>
      </w:r>
      <w:r w:rsidR="003A78B1" w:rsidRPr="005D64AE">
        <w:rPr>
          <w:rFonts w:ascii="Sylfaen" w:hAnsi="Sylfaen" w:cs="Sylfaen"/>
          <w:bCs/>
          <w:sz w:val="24"/>
          <w:szCs w:val="24"/>
        </w:rPr>
        <w:t xml:space="preserve"> </w:t>
      </w:r>
      <w:r w:rsidRPr="005D64AE">
        <w:rPr>
          <w:rFonts w:ascii="Sylfaen" w:hAnsi="Sylfaen" w:cs="Sylfaen"/>
          <w:bCs/>
          <w:sz w:val="24"/>
          <w:szCs w:val="24"/>
        </w:rPr>
        <w:t xml:space="preserve">საკონსტიტუციო სასამართლოს </w:t>
      </w:r>
      <w:r w:rsidR="00C1582A" w:rsidRPr="005D64AE">
        <w:rPr>
          <w:rFonts w:ascii="Sylfaen" w:hAnsi="Sylfaen" w:cs="Sylfaen"/>
          <w:bCs/>
          <w:sz w:val="24"/>
          <w:szCs w:val="24"/>
        </w:rPr>
        <w:t>საქმიანობის</w:t>
      </w:r>
      <w:r w:rsidRPr="005D64AE">
        <w:rPr>
          <w:rFonts w:ascii="Sylfaen" w:hAnsi="Sylfaen" w:cs="Sylfaen"/>
          <w:bCs/>
          <w:sz w:val="24"/>
          <w:szCs w:val="24"/>
        </w:rPr>
        <w:t xml:space="preserve"> ეფექტიანობის,</w:t>
      </w:r>
      <w:r w:rsidR="003A78B1" w:rsidRPr="005D64AE">
        <w:rPr>
          <w:rFonts w:ascii="Sylfaen" w:hAnsi="Sylfaen" w:cs="Sylfaen"/>
          <w:bCs/>
          <w:sz w:val="24"/>
          <w:szCs w:val="24"/>
        </w:rPr>
        <w:t xml:space="preserve"> </w:t>
      </w:r>
      <w:r w:rsidRPr="005D64AE">
        <w:rPr>
          <w:rFonts w:ascii="Sylfaen" w:hAnsi="Sylfaen" w:cs="Sylfaen"/>
          <w:bCs/>
          <w:sz w:val="24"/>
          <w:szCs w:val="24"/>
        </w:rPr>
        <w:t xml:space="preserve">პროცედურული ერთგვაროვნებისა და განსჯადობის გამჭვირვალობისათვის. </w:t>
      </w:r>
      <w:r w:rsidR="00EC1912" w:rsidRPr="005D64AE">
        <w:rPr>
          <w:rFonts w:ascii="Sylfaen" w:hAnsi="Sylfaen" w:cs="Sylfaen"/>
          <w:bCs/>
          <w:sz w:val="24"/>
          <w:szCs w:val="24"/>
        </w:rPr>
        <w:t xml:space="preserve">უფლებამოსილებათა ამგვარი გამიჯვნა არის არა თვითმიზანი, არამედ წარმოადგენს საშუალებას, ერთი მხრივ, </w:t>
      </w:r>
      <w:r w:rsidR="004671A8" w:rsidRPr="005D64AE">
        <w:rPr>
          <w:rFonts w:ascii="Sylfaen" w:hAnsi="Sylfaen" w:cs="Sylfaen"/>
          <w:bCs/>
          <w:sz w:val="24"/>
          <w:szCs w:val="24"/>
        </w:rPr>
        <w:t xml:space="preserve">საკონსტიტუციო </w:t>
      </w:r>
      <w:r w:rsidR="00EC1912" w:rsidRPr="005D64AE">
        <w:rPr>
          <w:rFonts w:ascii="Sylfaen" w:hAnsi="Sylfaen" w:cs="Sylfaen"/>
          <w:bCs/>
          <w:sz w:val="24"/>
          <w:szCs w:val="24"/>
        </w:rPr>
        <w:t>სასამართლოს რესურსების რაციონალურად განაწილებისა და სამართალწარმოების დროულობის უზრუნველსაყოფად, ხოლო, მეორე მხრივ, მსგავსი კატეგორიის საქმეებზე</w:t>
      </w:r>
      <w:r w:rsidR="001F3529">
        <w:rPr>
          <w:rFonts w:ascii="Sylfaen" w:hAnsi="Sylfaen" w:cs="Sylfaen"/>
          <w:bCs/>
          <w:sz w:val="24"/>
          <w:szCs w:val="24"/>
        </w:rPr>
        <w:t>,</w:t>
      </w:r>
      <w:r w:rsidR="00EC1912" w:rsidRPr="005D64AE">
        <w:rPr>
          <w:rFonts w:ascii="Sylfaen" w:hAnsi="Sylfaen" w:cs="Sylfaen"/>
          <w:bCs/>
          <w:sz w:val="24"/>
          <w:szCs w:val="24"/>
        </w:rPr>
        <w:t xml:space="preserve"> ერთგვაროვანი პროცედურით გადაწყვეტილების მიღების გზით, პროცესის სამართლიანობისა და</w:t>
      </w:r>
      <w:r w:rsidR="001F3529">
        <w:rPr>
          <w:rFonts w:ascii="Sylfaen" w:hAnsi="Sylfaen" w:cs="Sylfaen"/>
          <w:bCs/>
          <w:sz w:val="24"/>
          <w:szCs w:val="24"/>
        </w:rPr>
        <w:t>,</w:t>
      </w:r>
      <w:r w:rsidR="00EC1912" w:rsidRPr="005D64AE">
        <w:rPr>
          <w:rFonts w:ascii="Sylfaen" w:hAnsi="Sylfaen" w:cs="Sylfaen"/>
          <w:bCs/>
          <w:sz w:val="24"/>
          <w:szCs w:val="24"/>
        </w:rPr>
        <w:t xml:space="preserve"> საზოგადოების მხრიდან</w:t>
      </w:r>
      <w:r w:rsidR="001F3529">
        <w:rPr>
          <w:rFonts w:ascii="Sylfaen" w:hAnsi="Sylfaen" w:cs="Sylfaen"/>
          <w:bCs/>
          <w:sz w:val="24"/>
          <w:szCs w:val="24"/>
        </w:rPr>
        <w:t>,</w:t>
      </w:r>
      <w:r w:rsidR="00EC1912" w:rsidRPr="005D64AE">
        <w:rPr>
          <w:rFonts w:ascii="Sylfaen" w:hAnsi="Sylfaen" w:cs="Sylfaen"/>
          <w:bCs/>
          <w:sz w:val="24"/>
          <w:szCs w:val="24"/>
        </w:rPr>
        <w:t xml:space="preserve"> სასამართლოსადმი ნდობის გან</w:t>
      </w:r>
      <w:r w:rsidR="004370C1">
        <w:rPr>
          <w:rFonts w:ascii="Sylfaen" w:hAnsi="Sylfaen" w:cs="Sylfaen"/>
          <w:bCs/>
          <w:sz w:val="24"/>
          <w:szCs w:val="24"/>
        </w:rPr>
        <w:t>სა</w:t>
      </w:r>
      <w:r w:rsidR="00EC1912" w:rsidRPr="005D64AE">
        <w:rPr>
          <w:rFonts w:ascii="Sylfaen" w:hAnsi="Sylfaen" w:cs="Sylfaen"/>
          <w:bCs/>
          <w:sz w:val="24"/>
          <w:szCs w:val="24"/>
        </w:rPr>
        <w:t>მტკიცებ</w:t>
      </w:r>
      <w:r w:rsidR="004370C1">
        <w:rPr>
          <w:rFonts w:ascii="Sylfaen" w:hAnsi="Sylfaen" w:cs="Sylfaen"/>
          <w:bCs/>
          <w:sz w:val="24"/>
          <w:szCs w:val="24"/>
        </w:rPr>
        <w:t>ლად.</w:t>
      </w:r>
      <w:r w:rsidR="000E2098" w:rsidRPr="005D64AE">
        <w:rPr>
          <w:rFonts w:ascii="Sylfaen" w:hAnsi="Sylfaen" w:cs="Sylfaen"/>
          <w:bCs/>
          <w:sz w:val="24"/>
          <w:szCs w:val="24"/>
        </w:rPr>
        <w:t xml:space="preserve"> განსჯადობის მკაფიოდ </w:t>
      </w:r>
      <w:r w:rsidR="00815F86">
        <w:rPr>
          <w:rFonts w:ascii="Sylfaen" w:hAnsi="Sylfaen" w:cs="Sylfaen"/>
          <w:bCs/>
          <w:sz w:val="24"/>
          <w:szCs w:val="24"/>
        </w:rPr>
        <w:t>შემოფარგლული საზღვრები</w:t>
      </w:r>
      <w:r w:rsidR="000E2098" w:rsidRPr="005D64AE">
        <w:rPr>
          <w:rFonts w:ascii="Sylfaen" w:hAnsi="Sylfaen" w:cs="Sylfaen"/>
          <w:bCs/>
          <w:sz w:val="24"/>
          <w:szCs w:val="24"/>
        </w:rPr>
        <w:t xml:space="preserve"> ამცირებს თვითნებობის შესაძლებლობას, ხელს უწყობს პროცესის სამართლიანობის აღქმას საზოგადოებაში და, ზოგადად, საკონსტიტუციო სასამართლოს ინსტიტუციური ლეგიტიმაციის განმტკიცებას.</w:t>
      </w:r>
    </w:p>
    <w:p w14:paraId="1EE481DD" w14:textId="194490D6" w:rsidR="000979C9" w:rsidRPr="005D64AE" w:rsidRDefault="00863108" w:rsidP="005D64AE">
      <w:pPr>
        <w:pStyle w:val="ListParagraph"/>
        <w:numPr>
          <w:ilvl w:val="0"/>
          <w:numId w:val="1"/>
        </w:numPr>
        <w:spacing w:after="0" w:line="276" w:lineRule="auto"/>
        <w:ind w:left="0" w:firstLine="284"/>
        <w:jc w:val="both"/>
        <w:rPr>
          <w:rFonts w:ascii="Sylfaen" w:hAnsi="Sylfaen" w:cs="Sylfaen"/>
          <w:bCs/>
          <w:sz w:val="24"/>
          <w:szCs w:val="24"/>
        </w:rPr>
      </w:pPr>
      <w:r w:rsidRPr="005D64AE">
        <w:rPr>
          <w:rFonts w:ascii="Sylfaen" w:hAnsi="Sylfaen" w:cs="Sylfaen"/>
          <w:bCs/>
          <w:sz w:val="24"/>
          <w:szCs w:val="24"/>
        </w:rPr>
        <w:t xml:space="preserve">„საქართველოს საკონსტიტუციო სასამართლოს შესახებ“ საქართველოს ორგანული კანონი თავადვე ითვალისწინებს საკონსტიტუციო სასამართლოს შიდა ინსტიტუციური განსჯადობის ზოგადი წესისგან გამონაკლისს. კერძოდ, ხსენებული ორგანული კანონის </w:t>
      </w:r>
      <w:r w:rsidR="001A1401" w:rsidRPr="005D64AE">
        <w:rPr>
          <w:rFonts w:ascii="Sylfaen" w:hAnsi="Sylfaen" w:cs="Sylfaen"/>
          <w:bCs/>
          <w:sz w:val="24"/>
          <w:szCs w:val="24"/>
        </w:rPr>
        <w:t>21</w:t>
      </w:r>
      <w:r w:rsidR="001A1401" w:rsidRPr="005D64AE">
        <w:rPr>
          <w:rFonts w:ascii="Sylfaen" w:hAnsi="Sylfaen" w:cs="Sylfaen"/>
          <w:bCs/>
          <w:sz w:val="24"/>
          <w:szCs w:val="24"/>
          <w:vertAlign w:val="superscript"/>
        </w:rPr>
        <w:t>1</w:t>
      </w:r>
      <w:r w:rsidR="001A1401" w:rsidRPr="005D64AE">
        <w:rPr>
          <w:rFonts w:ascii="Sylfaen" w:hAnsi="Sylfaen" w:cs="Sylfaen"/>
          <w:bCs/>
          <w:sz w:val="24"/>
          <w:szCs w:val="24"/>
        </w:rPr>
        <w:t xml:space="preserve"> მუხლის მე-3 პუნქტი</w:t>
      </w:r>
      <w:r w:rsidRPr="005D64AE">
        <w:rPr>
          <w:rFonts w:ascii="Sylfaen" w:hAnsi="Sylfaen" w:cs="Sylfaen"/>
          <w:bCs/>
          <w:sz w:val="24"/>
          <w:szCs w:val="24"/>
        </w:rPr>
        <w:t>ს</w:t>
      </w:r>
      <w:r w:rsidR="001A1401" w:rsidRPr="005D64AE">
        <w:rPr>
          <w:rFonts w:ascii="Sylfaen" w:hAnsi="Sylfaen" w:cs="Sylfaen"/>
          <w:bCs/>
          <w:sz w:val="24"/>
          <w:szCs w:val="24"/>
        </w:rPr>
        <w:t xml:space="preserve"> თანახმად, </w:t>
      </w:r>
      <w:r w:rsidRPr="005D64AE">
        <w:rPr>
          <w:rFonts w:ascii="Sylfaen" w:hAnsi="Sylfaen" w:cs="Sylfaen"/>
          <w:bCs/>
          <w:sz w:val="24"/>
          <w:szCs w:val="24"/>
        </w:rPr>
        <w:t xml:space="preserve">მათ შორის, </w:t>
      </w:r>
      <w:r w:rsidRPr="005D64AE">
        <w:rPr>
          <w:rFonts w:ascii="Sylfaen" w:hAnsi="Sylfaen" w:cs="Sylfaen"/>
          <w:bCs/>
          <w:sz w:val="24"/>
          <w:szCs w:val="24"/>
        </w:rPr>
        <w:lastRenderedPageBreak/>
        <w:t>მაშინ „</w:t>
      </w:r>
      <w:r w:rsidR="001A1401" w:rsidRPr="005D64AE">
        <w:rPr>
          <w:rFonts w:ascii="Sylfaen" w:hAnsi="Sylfaen" w:cs="Sylfaen"/>
          <w:bCs/>
          <w:sz w:val="24"/>
          <w:szCs w:val="24"/>
        </w:rPr>
        <w:t xml:space="preserve">თუ საკონსტიტუციო სასამართლოს კოლეგიის წევრი მიიჩნევს, რომ </w:t>
      </w:r>
      <w:r w:rsidRPr="005D64AE">
        <w:rPr>
          <w:rFonts w:ascii="Sylfaen" w:hAnsi="Sylfaen" w:cs="Sylfaen"/>
          <w:bCs/>
          <w:sz w:val="24"/>
          <w:szCs w:val="24"/>
        </w:rPr>
        <w:t>...</w:t>
      </w:r>
      <w:r w:rsidR="001A1401" w:rsidRPr="005D64AE">
        <w:rPr>
          <w:rFonts w:ascii="Sylfaen" w:hAnsi="Sylfaen" w:cs="Sylfaen"/>
          <w:bCs/>
          <w:sz w:val="24"/>
          <w:szCs w:val="24"/>
        </w:rPr>
        <w:t xml:space="preserve"> განსახილველი საქმე თავისი შინაარსით წარმოშობს საქართველოს კონსტიტუციის განმარტების ან/და გამოყენების იშვიათ ან/და განსაკუთრებით მნიშვნელოვან სამართლებრივ პრობლემას, იგი უფლებამოსილია საქმის განხილვისა და გადაწყვეტის ნებისმიერ ეტაპზე მიმართოს საკონსტიტუციო სასამართლოს პლენუმს დასაბუთებული წერილობითი შუამდგომლობით აღნიშნული საქმის პლენუმის მიერ განხილვის თაობაზე. </w:t>
      </w:r>
      <w:r w:rsidRPr="005D64AE">
        <w:rPr>
          <w:rFonts w:ascii="Sylfaen" w:hAnsi="Sylfaen" w:cs="Sylfaen"/>
          <w:bCs/>
          <w:sz w:val="24"/>
          <w:szCs w:val="24"/>
        </w:rPr>
        <w:t>...“. ხსენებული ჩანაწერი, ერთი მხრივ, ადგენს საკონსტიტუციო სასამართლოს მოსამართლის უფლებამოსილებას, კოლეგიი</w:t>
      </w:r>
      <w:r w:rsidR="000979C9" w:rsidRPr="005D64AE">
        <w:rPr>
          <w:rFonts w:ascii="Sylfaen" w:hAnsi="Sylfaen" w:cs="Sylfaen"/>
          <w:bCs/>
          <w:sz w:val="24"/>
          <w:szCs w:val="24"/>
        </w:rPr>
        <w:t>ს განსჯადი საქმე</w:t>
      </w:r>
      <w:r w:rsidRPr="005D64AE">
        <w:rPr>
          <w:rFonts w:ascii="Sylfaen" w:hAnsi="Sylfaen" w:cs="Sylfaen"/>
          <w:bCs/>
          <w:sz w:val="24"/>
          <w:szCs w:val="24"/>
        </w:rPr>
        <w:t xml:space="preserve"> განსახილველად გადასცეს პლენუმს, </w:t>
      </w:r>
      <w:r w:rsidR="000979C9" w:rsidRPr="005D64AE">
        <w:rPr>
          <w:rFonts w:ascii="Sylfaen" w:hAnsi="Sylfaen" w:cs="Sylfaen"/>
          <w:bCs/>
          <w:sz w:val="24"/>
          <w:szCs w:val="24"/>
        </w:rPr>
        <w:t xml:space="preserve">ხოლო, მეორე მხრივ, მკაფიოდ და მკაცრად განსაზღვრავს ამ უფლებამოსილების განხორციელების შინაარსობრივ წინაპირობებსა და ფარგლებს. </w:t>
      </w:r>
    </w:p>
    <w:p w14:paraId="3951212D" w14:textId="537E15E4" w:rsidR="00AC31F3" w:rsidRPr="005D64AE" w:rsidRDefault="000979C9" w:rsidP="005D64AE">
      <w:pPr>
        <w:pStyle w:val="ListParagraph"/>
        <w:numPr>
          <w:ilvl w:val="0"/>
          <w:numId w:val="1"/>
        </w:numPr>
        <w:spacing w:after="0" w:line="276" w:lineRule="auto"/>
        <w:ind w:left="0" w:firstLine="284"/>
        <w:jc w:val="both"/>
        <w:rPr>
          <w:rFonts w:ascii="Sylfaen" w:hAnsi="Sylfaen" w:cs="Sylfaen"/>
          <w:bCs/>
          <w:sz w:val="24"/>
          <w:szCs w:val="24"/>
        </w:rPr>
      </w:pPr>
      <w:r w:rsidRPr="005D64AE">
        <w:rPr>
          <w:rFonts w:ascii="Sylfaen" w:hAnsi="Sylfaen" w:cs="Sylfaen"/>
          <w:bCs/>
          <w:sz w:val="24"/>
          <w:szCs w:val="24"/>
        </w:rPr>
        <w:t xml:space="preserve"> </w:t>
      </w:r>
      <w:r w:rsidR="00E73F28">
        <w:rPr>
          <w:rFonts w:ascii="Sylfaen" w:hAnsi="Sylfaen" w:cs="Sylfaen"/>
          <w:bCs/>
          <w:sz w:val="24"/>
          <w:szCs w:val="24"/>
        </w:rPr>
        <w:t>მაშასადამე,</w:t>
      </w:r>
      <w:r w:rsidRPr="005D64AE">
        <w:rPr>
          <w:rFonts w:ascii="Sylfaen" w:hAnsi="Sylfaen" w:cs="Sylfaen"/>
          <w:bCs/>
          <w:sz w:val="24"/>
          <w:szCs w:val="24"/>
        </w:rPr>
        <w:t xml:space="preserve"> საქმის პლენუმზე განსახილველად გადაცემისათვის</w:t>
      </w:r>
      <w:r w:rsidR="00E50818">
        <w:rPr>
          <w:rFonts w:ascii="Sylfaen" w:hAnsi="Sylfaen" w:cs="Sylfaen"/>
          <w:bCs/>
          <w:sz w:val="24"/>
          <w:szCs w:val="24"/>
        </w:rPr>
        <w:t>/</w:t>
      </w:r>
      <w:r w:rsidR="00A96763">
        <w:rPr>
          <w:rFonts w:ascii="Sylfaen" w:hAnsi="Sylfaen" w:cs="Sylfaen"/>
          <w:bCs/>
          <w:sz w:val="24"/>
          <w:szCs w:val="24"/>
        </w:rPr>
        <w:t>მიღებისათვის</w:t>
      </w:r>
      <w:r w:rsidRPr="005D64AE">
        <w:rPr>
          <w:rFonts w:ascii="Sylfaen" w:hAnsi="Sylfaen" w:cs="Sylfaen"/>
          <w:bCs/>
          <w:sz w:val="24"/>
          <w:szCs w:val="24"/>
        </w:rPr>
        <w:t xml:space="preserve"> აუცილებელია, </w:t>
      </w:r>
      <w:r w:rsidR="00E50818">
        <w:rPr>
          <w:rFonts w:ascii="Sylfaen" w:hAnsi="Sylfaen" w:cs="Sylfaen"/>
          <w:bCs/>
          <w:sz w:val="24"/>
          <w:szCs w:val="24"/>
        </w:rPr>
        <w:t>ი</w:t>
      </w:r>
      <w:r w:rsidR="00815F86">
        <w:rPr>
          <w:rFonts w:ascii="Sylfaen" w:hAnsi="Sylfaen" w:cs="Sylfaen"/>
          <w:bCs/>
          <w:sz w:val="24"/>
          <w:szCs w:val="24"/>
        </w:rPr>
        <w:t>გ</w:t>
      </w:r>
      <w:r w:rsidR="00E50818">
        <w:rPr>
          <w:rFonts w:ascii="Sylfaen" w:hAnsi="Sylfaen" w:cs="Sylfaen"/>
          <w:bCs/>
          <w:sz w:val="24"/>
          <w:szCs w:val="24"/>
        </w:rPr>
        <w:t>ი,</w:t>
      </w:r>
      <w:r w:rsidRPr="005D64AE">
        <w:rPr>
          <w:rFonts w:ascii="Sylfaen" w:hAnsi="Sylfaen" w:cs="Sylfaen"/>
          <w:bCs/>
          <w:sz w:val="24"/>
          <w:szCs w:val="24"/>
        </w:rPr>
        <w:t xml:space="preserve"> თავისი შინაარსით, წარმოშობდეს საქართველოს კონსტიტუციის განმარტების ან/და გამოყენების იშვიათ ან/და განსაკუთრებით მნიშვნელოვან სამართლებრივ პრობლემას.</w:t>
      </w:r>
      <w:r w:rsidR="00600DF4" w:rsidRPr="005D64AE">
        <w:rPr>
          <w:rFonts w:ascii="Sylfaen" w:hAnsi="Sylfaen" w:cs="Sylfaen"/>
          <w:bCs/>
          <w:sz w:val="24"/>
          <w:szCs w:val="24"/>
        </w:rPr>
        <w:t xml:space="preserve"> შესაბამისად, საკონსტიტუციო სასამართლოს მოსამართლის მიერ საქმის პლენუმზე განსახილველად გადაცემის, ხოლო პლენუმ</w:t>
      </w:r>
      <w:r w:rsidR="00642E6B" w:rsidRPr="005D64AE">
        <w:rPr>
          <w:rFonts w:ascii="Sylfaen" w:hAnsi="Sylfaen" w:cs="Sylfaen"/>
          <w:bCs/>
          <w:sz w:val="24"/>
          <w:szCs w:val="24"/>
        </w:rPr>
        <w:t>ის მხრიდან</w:t>
      </w:r>
      <w:r w:rsidR="00600DF4" w:rsidRPr="005D64AE">
        <w:rPr>
          <w:rFonts w:ascii="Sylfaen" w:hAnsi="Sylfaen" w:cs="Sylfaen"/>
          <w:bCs/>
          <w:sz w:val="24"/>
          <w:szCs w:val="24"/>
        </w:rPr>
        <w:t xml:space="preserve"> საქმის პლენუმზე განსახილველად მიღების საკითხის გადაწყვეტისას, მსჯელობა უნდა</w:t>
      </w:r>
      <w:r w:rsidR="00CC2ADB" w:rsidRPr="005D64AE">
        <w:rPr>
          <w:rFonts w:ascii="Sylfaen" w:hAnsi="Sylfaen" w:cs="Sylfaen"/>
          <w:bCs/>
          <w:sz w:val="24"/>
          <w:szCs w:val="24"/>
        </w:rPr>
        <w:t xml:space="preserve"> </w:t>
      </w:r>
      <w:r w:rsidR="00600DF4" w:rsidRPr="005D64AE">
        <w:rPr>
          <w:rFonts w:ascii="Sylfaen" w:hAnsi="Sylfaen" w:cs="Sylfaen"/>
          <w:bCs/>
          <w:sz w:val="24"/>
          <w:szCs w:val="24"/>
        </w:rPr>
        <w:t xml:space="preserve">ეფუძნებოდეს </w:t>
      </w:r>
      <w:r w:rsidR="00CC2ADB" w:rsidRPr="005D64AE">
        <w:rPr>
          <w:rFonts w:ascii="Sylfaen" w:hAnsi="Sylfaen" w:cs="Sylfaen"/>
          <w:bCs/>
          <w:sz w:val="24"/>
          <w:szCs w:val="24"/>
        </w:rPr>
        <w:t xml:space="preserve">მხოლოდ </w:t>
      </w:r>
      <w:r w:rsidR="00600DF4" w:rsidRPr="005D64AE">
        <w:rPr>
          <w:rFonts w:ascii="Sylfaen" w:hAnsi="Sylfaen" w:cs="Sylfaen"/>
          <w:bCs/>
          <w:sz w:val="24"/>
          <w:szCs w:val="24"/>
        </w:rPr>
        <w:t>კონკრეტული სადავო საკითხის გადაწყვეტის კონსტიტუციურ სირთულეს</w:t>
      </w:r>
      <w:r w:rsidR="00CC2ADB" w:rsidRPr="005D64AE">
        <w:rPr>
          <w:rFonts w:ascii="Sylfaen" w:hAnsi="Sylfaen" w:cs="Sylfaen"/>
          <w:bCs/>
          <w:sz w:val="24"/>
          <w:szCs w:val="24"/>
        </w:rPr>
        <w:t xml:space="preserve">. პლენუმზე განსახილველად საქმის გადაცემის ინსტიტუტის არსებობის </w:t>
      </w:r>
      <w:r w:rsidR="00CC2ADB" w:rsidRPr="005D64AE">
        <w:rPr>
          <w:rFonts w:ascii="Sylfaen" w:hAnsi="Sylfaen" w:cs="Sylfaen"/>
          <w:bCs/>
          <w:i/>
          <w:sz w:val="24"/>
          <w:szCs w:val="24"/>
        </w:rPr>
        <w:t>raison d'etre</w:t>
      </w:r>
      <w:r w:rsidR="00CC2ADB" w:rsidRPr="005D64AE">
        <w:rPr>
          <w:rFonts w:ascii="Sylfaen" w:hAnsi="Sylfaen" w:cs="Sylfaen"/>
          <w:bCs/>
          <w:sz w:val="24"/>
          <w:szCs w:val="24"/>
        </w:rPr>
        <w:t xml:space="preserve"> სწორედ იმას გულისხმობს, რომ </w:t>
      </w:r>
      <w:r w:rsidR="00CC2ADB" w:rsidRPr="005D64AE">
        <w:rPr>
          <w:rFonts w:ascii="Sylfaen" w:hAnsi="Sylfaen"/>
          <w:sz w:val="24"/>
          <w:szCs w:val="24"/>
        </w:rPr>
        <w:t xml:space="preserve">საკონსტიტუციო სასამართლოს პლენუმის ჩართულობა უზრუნველყოფილ იქნეს ისეთ გამორჩეულ, საგამონაკლისო შემთხვევებში, </w:t>
      </w:r>
      <w:r w:rsidR="00481311">
        <w:rPr>
          <w:rFonts w:ascii="Sylfaen" w:hAnsi="Sylfaen" w:cs="Sylfaen"/>
          <w:bCs/>
          <w:sz w:val="24"/>
          <w:szCs w:val="24"/>
        </w:rPr>
        <w:t>როდესაც განსახილველი საქმე,</w:t>
      </w:r>
      <w:r w:rsidR="00CC2ADB" w:rsidRPr="005D64AE">
        <w:rPr>
          <w:rFonts w:ascii="Sylfaen" w:hAnsi="Sylfaen" w:cs="Sylfaen"/>
          <w:bCs/>
          <w:sz w:val="24"/>
          <w:szCs w:val="24"/>
        </w:rPr>
        <w:t xml:space="preserve"> საგნობრივად, მკვეთრად განსხვავდება იმ საქმეებისაგან, რომლების განხილვაც კოლეგიებისთვის რუტინულ </w:t>
      </w:r>
      <w:r w:rsidR="00481311">
        <w:rPr>
          <w:rFonts w:ascii="Sylfaen" w:hAnsi="Sylfaen" w:cs="Sylfaen"/>
          <w:bCs/>
          <w:sz w:val="24"/>
          <w:szCs w:val="24"/>
        </w:rPr>
        <w:t>საქმიანობას/</w:t>
      </w:r>
      <w:r w:rsidR="00CC2ADB" w:rsidRPr="005D64AE">
        <w:rPr>
          <w:rFonts w:ascii="Sylfaen" w:hAnsi="Sylfaen" w:cs="Sylfaen"/>
          <w:bCs/>
          <w:sz w:val="24"/>
          <w:szCs w:val="24"/>
        </w:rPr>
        <w:t>უფლებამოსილებას</w:t>
      </w:r>
      <w:r w:rsidR="00E50818">
        <w:rPr>
          <w:rFonts w:ascii="Sylfaen" w:hAnsi="Sylfaen" w:cs="Sylfaen"/>
          <w:bCs/>
          <w:sz w:val="24"/>
          <w:szCs w:val="24"/>
        </w:rPr>
        <w:t xml:space="preserve"> </w:t>
      </w:r>
      <w:r w:rsidR="00E50818" w:rsidRPr="005D64AE">
        <w:rPr>
          <w:rFonts w:ascii="Sylfaen" w:hAnsi="Sylfaen" w:cs="Sylfaen"/>
          <w:bCs/>
          <w:sz w:val="24"/>
          <w:szCs w:val="24"/>
        </w:rPr>
        <w:t>წარმოადგენს</w:t>
      </w:r>
      <w:r w:rsidR="00604098" w:rsidRPr="005D64AE">
        <w:rPr>
          <w:rFonts w:ascii="Sylfaen" w:hAnsi="Sylfaen" w:cs="Sylfaen"/>
          <w:bCs/>
          <w:sz w:val="24"/>
          <w:szCs w:val="24"/>
        </w:rPr>
        <w:t xml:space="preserve"> (იხ., საქართველოს საკონსტიტუციო სასამართლოს მოსამართლის – თეიმურაზ ტუღუშის განსხვავებული აზრი საქართველოს საკონსტიტუციო სასამართლოს 2025 წლის 13 ივნისის №2-3/1/1865 განჩინებასთან დაკავშირებით, </w:t>
      </w:r>
      <w:r w:rsidR="00604098" w:rsidRPr="005D64AE">
        <w:rPr>
          <w:rFonts w:ascii="Sylfaen" w:hAnsi="Sylfaen" w:cs="Sylfaen"/>
          <w:bCs/>
          <w:sz w:val="24"/>
          <w:szCs w:val="24"/>
          <w:lang w:val="en-US"/>
        </w:rPr>
        <w:t>6).</w:t>
      </w:r>
      <w:r w:rsidR="00AC31F3" w:rsidRPr="005D64AE">
        <w:rPr>
          <w:rFonts w:ascii="Sylfaen" w:hAnsi="Sylfaen" w:cs="Sylfaen"/>
          <w:bCs/>
          <w:sz w:val="24"/>
          <w:szCs w:val="24"/>
          <w:lang w:val="en-US"/>
        </w:rPr>
        <w:t xml:space="preserve"> </w:t>
      </w:r>
      <w:r w:rsidR="00AC31F3" w:rsidRPr="005D64AE">
        <w:rPr>
          <w:rFonts w:ascii="Sylfaen" w:hAnsi="Sylfaen" w:cs="Sylfaen"/>
          <w:bCs/>
          <w:sz w:val="24"/>
          <w:szCs w:val="24"/>
        </w:rPr>
        <w:t>კოლეგიის განსჯადი საქმის პლენუმზე განსახილველად გადაცემ</w:t>
      </w:r>
      <w:r w:rsidR="00C71BE4" w:rsidRPr="005D64AE">
        <w:rPr>
          <w:rFonts w:ascii="Sylfaen" w:hAnsi="Sylfaen" w:cs="Sylfaen"/>
          <w:bCs/>
          <w:sz w:val="24"/>
          <w:szCs w:val="24"/>
        </w:rPr>
        <w:t>ა</w:t>
      </w:r>
      <w:r w:rsidR="00AC31F3" w:rsidRPr="005D64AE">
        <w:rPr>
          <w:rFonts w:ascii="Sylfaen" w:hAnsi="Sylfaen" w:cs="Sylfaen"/>
          <w:bCs/>
          <w:sz w:val="24"/>
          <w:szCs w:val="24"/>
        </w:rPr>
        <w:t xml:space="preserve"> </w:t>
      </w:r>
      <w:r w:rsidR="00F4607A">
        <w:rPr>
          <w:rFonts w:ascii="Sylfaen" w:hAnsi="Sylfaen" w:cs="Sylfaen"/>
          <w:bCs/>
          <w:sz w:val="24"/>
          <w:szCs w:val="24"/>
        </w:rPr>
        <w:t>არის</w:t>
      </w:r>
      <w:r w:rsidR="00AC31F3" w:rsidRPr="005D64AE">
        <w:rPr>
          <w:rFonts w:ascii="Sylfaen" w:hAnsi="Sylfaen" w:cs="Sylfaen"/>
          <w:bCs/>
          <w:sz w:val="24"/>
          <w:szCs w:val="24"/>
        </w:rPr>
        <w:t xml:space="preserve"> საგამონაკლისო </w:t>
      </w:r>
      <w:r w:rsidR="00C71BE4" w:rsidRPr="005D64AE">
        <w:rPr>
          <w:rFonts w:ascii="Sylfaen" w:hAnsi="Sylfaen" w:cs="Sylfaen"/>
          <w:bCs/>
          <w:sz w:val="24"/>
          <w:szCs w:val="24"/>
        </w:rPr>
        <w:t>მექანიზმ</w:t>
      </w:r>
      <w:r w:rsidR="00F4607A">
        <w:rPr>
          <w:rFonts w:ascii="Sylfaen" w:hAnsi="Sylfaen" w:cs="Sylfaen"/>
          <w:bCs/>
          <w:sz w:val="24"/>
          <w:szCs w:val="24"/>
        </w:rPr>
        <w:t>ი</w:t>
      </w:r>
      <w:r w:rsidR="00C71BE4" w:rsidRPr="005D64AE">
        <w:rPr>
          <w:rFonts w:ascii="Sylfaen" w:hAnsi="Sylfaen" w:cs="Sylfaen"/>
          <w:bCs/>
          <w:sz w:val="24"/>
          <w:szCs w:val="24"/>
        </w:rPr>
        <w:t xml:space="preserve">, </w:t>
      </w:r>
      <w:r w:rsidR="006D40CB" w:rsidRPr="005D64AE">
        <w:rPr>
          <w:rFonts w:ascii="Sylfaen" w:hAnsi="Sylfaen" w:cs="Sylfaen"/>
          <w:bCs/>
          <w:sz w:val="24"/>
          <w:szCs w:val="24"/>
        </w:rPr>
        <w:t xml:space="preserve">რომლის გამოყენებაც </w:t>
      </w:r>
      <w:r w:rsidR="0014048F" w:rsidRPr="005D64AE">
        <w:rPr>
          <w:rFonts w:ascii="Sylfaen" w:hAnsi="Sylfaen" w:cs="Sylfaen"/>
          <w:bCs/>
          <w:sz w:val="24"/>
          <w:szCs w:val="24"/>
        </w:rPr>
        <w:t>შეიძლება</w:t>
      </w:r>
      <w:r w:rsidR="006D40CB" w:rsidRPr="005D64AE">
        <w:rPr>
          <w:rFonts w:ascii="Sylfaen" w:hAnsi="Sylfaen" w:cs="Sylfaen"/>
          <w:bCs/>
          <w:sz w:val="24"/>
          <w:szCs w:val="24"/>
        </w:rPr>
        <w:t xml:space="preserve"> მხოლოდ კონსტიტუციურ</w:t>
      </w:r>
      <w:r w:rsidR="00B81A48">
        <w:rPr>
          <w:rFonts w:ascii="Sylfaen" w:hAnsi="Sylfaen" w:cs="Sylfaen"/>
          <w:bCs/>
          <w:sz w:val="24"/>
          <w:szCs w:val="24"/>
        </w:rPr>
        <w:t>ად</w:t>
      </w:r>
      <w:r w:rsidR="006D40CB" w:rsidRPr="005D64AE">
        <w:rPr>
          <w:rFonts w:ascii="Sylfaen" w:hAnsi="Sylfaen" w:cs="Sylfaen"/>
          <w:bCs/>
          <w:sz w:val="24"/>
          <w:szCs w:val="24"/>
        </w:rPr>
        <w:t xml:space="preserve"> იშვიათ ან/და განსაკუთრებულ შემთხვევაში.</w:t>
      </w:r>
      <w:r w:rsidR="006D5746" w:rsidRPr="005D64AE">
        <w:rPr>
          <w:rFonts w:ascii="Sylfaen" w:hAnsi="Sylfaen" w:cs="Sylfaen"/>
          <w:bCs/>
          <w:sz w:val="24"/>
          <w:szCs w:val="24"/>
        </w:rPr>
        <w:t xml:space="preserve"> დაუშვებელია, </w:t>
      </w:r>
      <w:r w:rsidR="00F4607A">
        <w:rPr>
          <w:rFonts w:ascii="Sylfaen" w:hAnsi="Sylfaen" w:cs="Sylfaen"/>
          <w:bCs/>
          <w:sz w:val="24"/>
          <w:szCs w:val="24"/>
        </w:rPr>
        <w:t>აღნიშნული</w:t>
      </w:r>
      <w:r w:rsidR="006D5746" w:rsidRPr="005D64AE">
        <w:rPr>
          <w:rFonts w:ascii="Sylfaen" w:hAnsi="Sylfaen" w:cs="Sylfaen"/>
          <w:bCs/>
          <w:sz w:val="24"/>
          <w:szCs w:val="24"/>
        </w:rPr>
        <w:t xml:space="preserve"> </w:t>
      </w:r>
      <w:r w:rsidR="0019157A" w:rsidRPr="005D64AE">
        <w:rPr>
          <w:rFonts w:ascii="Sylfaen" w:hAnsi="Sylfaen" w:cs="Sylfaen"/>
          <w:bCs/>
          <w:sz w:val="24"/>
          <w:szCs w:val="24"/>
        </w:rPr>
        <w:t>მექანიზმი</w:t>
      </w:r>
      <w:r w:rsidR="00F80A36" w:rsidRPr="005D64AE">
        <w:rPr>
          <w:rFonts w:ascii="Sylfaen" w:hAnsi="Sylfaen" w:cs="Sylfaen"/>
          <w:bCs/>
          <w:sz w:val="24"/>
          <w:szCs w:val="24"/>
        </w:rPr>
        <w:t>, სუბიექტურად ან თვითნებურად გამოყენების გზით,</w:t>
      </w:r>
      <w:r w:rsidR="006D5746" w:rsidRPr="005D64AE">
        <w:rPr>
          <w:rFonts w:ascii="Sylfaen" w:hAnsi="Sylfaen" w:cs="Sylfaen"/>
          <w:bCs/>
          <w:sz w:val="24"/>
          <w:szCs w:val="24"/>
        </w:rPr>
        <w:t xml:space="preserve"> იქცეს საკონსტიტუციო სასამართლოს კოლეგიების საქმიანობის შეფერხების ან </w:t>
      </w:r>
      <w:r w:rsidR="00B07E7D">
        <w:rPr>
          <w:rFonts w:ascii="Sylfaen" w:hAnsi="Sylfaen" w:cs="Sylfaen"/>
          <w:bCs/>
          <w:sz w:val="24"/>
          <w:szCs w:val="24"/>
        </w:rPr>
        <w:t xml:space="preserve">კომპეტენციების </w:t>
      </w:r>
      <w:r w:rsidR="006D5746" w:rsidRPr="005D64AE">
        <w:rPr>
          <w:rFonts w:ascii="Sylfaen" w:hAnsi="Sylfaen" w:cs="Sylfaen"/>
          <w:bCs/>
          <w:sz w:val="24"/>
          <w:szCs w:val="24"/>
        </w:rPr>
        <w:t xml:space="preserve">დუბლირების საშუალებად. </w:t>
      </w:r>
    </w:p>
    <w:p w14:paraId="2D2ADA11" w14:textId="44FEDB09" w:rsidR="00726FCC" w:rsidRPr="005D64AE" w:rsidRDefault="00726FCC" w:rsidP="005D64AE">
      <w:pPr>
        <w:pStyle w:val="ListParagraph"/>
        <w:numPr>
          <w:ilvl w:val="0"/>
          <w:numId w:val="1"/>
        </w:numPr>
        <w:spacing w:after="0" w:line="276" w:lineRule="auto"/>
        <w:ind w:left="0" w:firstLine="284"/>
        <w:jc w:val="both"/>
        <w:rPr>
          <w:rFonts w:ascii="Sylfaen" w:hAnsi="Sylfaen" w:cs="Sylfaen"/>
          <w:bCs/>
          <w:sz w:val="24"/>
          <w:szCs w:val="24"/>
        </w:rPr>
      </w:pPr>
      <w:r w:rsidRPr="005D64AE">
        <w:rPr>
          <w:rFonts w:ascii="Sylfaen" w:hAnsi="Sylfaen" w:cs="Sylfaen"/>
          <w:color w:val="000000"/>
          <w:sz w:val="24"/>
          <w:szCs w:val="24"/>
        </w:rPr>
        <w:t xml:space="preserve">საკონსტიტუციო სასამართლოს დადგენილი პრაქტიკის თანახმად, პლენუმის მიერ კოლეგიის განსჯადი საქმის პლენუმზე განსახილველად მიღების მექანიზმი გამოიყენება </w:t>
      </w:r>
      <w:r w:rsidR="00642E6B" w:rsidRPr="005D64AE">
        <w:rPr>
          <w:rFonts w:ascii="Sylfaen" w:hAnsi="Sylfaen" w:cs="Sylfaen"/>
          <w:color w:val="000000"/>
          <w:sz w:val="24"/>
          <w:szCs w:val="24"/>
        </w:rPr>
        <w:t xml:space="preserve">არა </w:t>
      </w:r>
      <w:r w:rsidRPr="005D64AE">
        <w:rPr>
          <w:rFonts w:ascii="Sylfaen" w:hAnsi="Sylfaen" w:cs="Sylfaen"/>
          <w:color w:val="000000"/>
          <w:sz w:val="24"/>
          <w:szCs w:val="24"/>
        </w:rPr>
        <w:t xml:space="preserve">მაშინ, როდესაც საქმე გამოირჩევა სადავო რეგულირების საგნის, მოწესრიგების ფარგლებისა და მასშტაბის, გამოსაკვლევ და </w:t>
      </w:r>
      <w:r w:rsidRPr="005D64AE">
        <w:rPr>
          <w:rFonts w:ascii="Sylfaen" w:hAnsi="Sylfaen" w:cs="Sylfaen"/>
          <w:color w:val="000000"/>
          <w:sz w:val="24"/>
          <w:szCs w:val="24"/>
        </w:rPr>
        <w:lastRenderedPageBreak/>
        <w:t>გადასაწყვეტ საკითხთა</w:t>
      </w:r>
      <w:r w:rsidR="00644A6D" w:rsidRPr="005D64AE">
        <w:rPr>
          <w:rFonts w:ascii="Sylfaen" w:hAnsi="Sylfaen" w:cs="Sylfaen"/>
          <w:color w:val="000000"/>
          <w:sz w:val="24"/>
          <w:szCs w:val="24"/>
        </w:rPr>
        <w:t xml:space="preserve"> სიმრავლით ან</w:t>
      </w:r>
      <w:r w:rsidRPr="005D64AE">
        <w:rPr>
          <w:rFonts w:ascii="Sylfaen" w:hAnsi="Sylfaen" w:cs="Sylfaen"/>
          <w:color w:val="000000"/>
          <w:sz w:val="24"/>
          <w:szCs w:val="24"/>
        </w:rPr>
        <w:t xml:space="preserve"> უბრალო სამართლებრივი სირთულის ან ზოგადი კომპლექსურობის თვალსაზრისით, არამედ </w:t>
      </w:r>
      <w:proofErr w:type="spellStart"/>
      <w:r w:rsidRPr="005D64AE">
        <w:rPr>
          <w:rFonts w:ascii="Sylfaen" w:hAnsi="Sylfaen" w:cs="Sylfaen"/>
          <w:color w:val="000000"/>
          <w:sz w:val="24"/>
          <w:szCs w:val="24"/>
        </w:rPr>
        <w:t>კონსტიტუციურსამართლებრივი</w:t>
      </w:r>
      <w:proofErr w:type="spellEnd"/>
      <w:r w:rsidRPr="005D64AE">
        <w:rPr>
          <w:rFonts w:ascii="Sylfaen" w:hAnsi="Sylfaen" w:cs="Sylfaen"/>
          <w:color w:val="000000"/>
          <w:sz w:val="24"/>
          <w:szCs w:val="24"/>
        </w:rPr>
        <w:t xml:space="preserve"> სირთულით, რაზეც „საქართველოს საკონსტიტუციო სასამართლოს შესახებ“ საქართველოს ორგანული კანონი </w:t>
      </w:r>
      <w:r w:rsidRPr="005D64AE">
        <w:rPr>
          <w:rFonts w:ascii="Sylfaen" w:hAnsi="Sylfaen" w:cs="Sylfaen"/>
          <w:bCs/>
          <w:i/>
          <w:sz w:val="24"/>
          <w:szCs w:val="24"/>
        </w:rPr>
        <w:t>expressis verbis</w:t>
      </w:r>
      <w:r w:rsidRPr="005D64AE">
        <w:rPr>
          <w:rFonts w:ascii="Sylfaen" w:hAnsi="Sylfaen" w:cs="Sylfaen"/>
          <w:color w:val="000000"/>
          <w:sz w:val="24"/>
          <w:szCs w:val="24"/>
        </w:rPr>
        <w:t xml:space="preserve"> მიუთითებს. მაგალითად, კოლეგიის განსჯადი საქმეების პლენუმის მიერ პლენუმზე განსახილველად მიღება შესაძლებელია გამართლებული იყოს მაშინ, როდესაც: (ა) საკითხი შეეხება პრეცედენტულ საქმეებს, რომლებითაც განიმარტება ესა თუ ის კონსტიტუციური დებულება/კონსტიტუციური დებულებით დაცული უფლებრივი სფერო (იხ., საქართველოს საკონსტიტუციო სასამართლოს 2014 წლის 24 ივლისის №2/2/577 განჩინება საქმეზე „ა(ა)იპ „ადამიანის უფლებების სწავლებისა და მონიტორინგის ცენტრი (EMC)“ და საქართველოს მოქალაქე ვახუშტი მენაბდე საქართველოს პარლამენტის წინააღმდეგ“; საქართველოს საკონსტიტუციო სასამართლოს 2009 წლის 4 დეკემბრის №1/1/466 განჩინება საქმეზე „საქართველოს სახალხო დამცველი საქართველოს პარლამენტის წინააღმდეგ“); (ბ) არსებობს</w:t>
      </w:r>
      <w:r w:rsidR="00AA67D5">
        <w:rPr>
          <w:rFonts w:ascii="Sylfaen" w:hAnsi="Sylfaen" w:cs="Sylfaen"/>
          <w:color w:val="000000"/>
          <w:sz w:val="24"/>
          <w:szCs w:val="24"/>
        </w:rPr>
        <w:t xml:space="preserve"> საქართველოს კონსტიტუციის</w:t>
      </w:r>
      <w:r w:rsidRPr="005D64AE">
        <w:rPr>
          <w:rFonts w:ascii="Sylfaen" w:hAnsi="Sylfaen" w:cs="Sylfaen"/>
          <w:color w:val="000000"/>
          <w:sz w:val="24"/>
          <w:szCs w:val="24"/>
        </w:rPr>
        <w:t xml:space="preserve"> სხვადასხვა ნორმ</w:t>
      </w:r>
      <w:r w:rsidR="00AA67D5">
        <w:rPr>
          <w:rFonts w:ascii="Sylfaen" w:hAnsi="Sylfaen" w:cs="Sylfaen"/>
          <w:color w:val="000000"/>
          <w:sz w:val="24"/>
          <w:szCs w:val="24"/>
        </w:rPr>
        <w:t>ა</w:t>
      </w:r>
      <w:r w:rsidRPr="005D64AE">
        <w:rPr>
          <w:rFonts w:ascii="Sylfaen" w:hAnsi="Sylfaen" w:cs="Sylfaen"/>
          <w:color w:val="000000"/>
          <w:sz w:val="24"/>
          <w:szCs w:val="24"/>
        </w:rPr>
        <w:t xml:space="preserve">სა თუ ცალკეული დებულებებით დაცულ ინტერესებს შორის პოტენციური კონფლიქტის გადაჭრის საჭიროება (იხ., საქართველოს საკონსტიტუციო სასამართლოს 2015 წლის 26 ივნისის №2-3/1/550 განჩინება საქმეზე „საქართველოს მოქალაქე ნოდარ დვალი საქართველოს პარლამენტის წინააღმდეგ“) ან/და, </w:t>
      </w:r>
      <w:r w:rsidR="00782FD9">
        <w:rPr>
          <w:rFonts w:ascii="Sylfaen" w:hAnsi="Sylfaen" w:cs="Sylfaen"/>
          <w:color w:val="000000"/>
          <w:sz w:val="24"/>
          <w:szCs w:val="24"/>
        </w:rPr>
        <w:t xml:space="preserve">(გ) </w:t>
      </w:r>
      <w:r w:rsidRPr="005D64AE">
        <w:rPr>
          <w:rFonts w:ascii="Sylfaen" w:hAnsi="Sylfaen" w:cs="Sylfaen"/>
          <w:color w:val="000000"/>
          <w:sz w:val="24"/>
          <w:szCs w:val="24"/>
        </w:rPr>
        <w:t>როდესაც საკონსტიტუციო სასამართლოს დადგენილი პრაქტიკა ამა თუ იმ საკითხთან დაკავშირებით</w:t>
      </w:r>
      <w:r w:rsidR="004370C1">
        <w:rPr>
          <w:rFonts w:ascii="Sylfaen" w:hAnsi="Sylfaen" w:cs="Sylfaen"/>
          <w:color w:val="000000"/>
          <w:sz w:val="24"/>
          <w:szCs w:val="24"/>
        </w:rPr>
        <w:t>,</w:t>
      </w:r>
      <w:r w:rsidRPr="005D64AE">
        <w:rPr>
          <w:rFonts w:ascii="Sylfaen" w:hAnsi="Sylfaen" w:cs="Sylfaen"/>
          <w:color w:val="000000"/>
          <w:sz w:val="24"/>
          <w:szCs w:val="24"/>
        </w:rPr>
        <w:t xml:space="preserve"> ერთმნიშვნელოვანი/სრულყოფილი/ცალსახა არ არის (იხ., საქართველოს საკონსტიტუციო სასამართლოს 2020 წლის 5 ივნისის №1-3/1/1400 განჩინება საქმეზე „ემზარ კვიციანი, ეთერ ჩხეტიანი-ანსიანი, მაია ანსიანი და იაგორ ანსიანი საქართველოს პარლამენტის წინააღმდეგ“; საქართველოს საკონსტიტუციო სასამართლოს 2014 წლის 25 ივლისის №2/3/588 განჩინება საქმეზე „საქართველოს მოქალაქეები – სალომე ქინქლაძე, ნინო კვეტენაძე, ნინო ოდიშარია, დაჩი ჯანელიძე, თამარ ხითარიშვილი და სალომე სებისკვერაძე საქართველოს პარლამენტის წინააღმდეგ“; საქართველოს საკონსტიტუციო სასამართლოს 2013 წლის 4 აპრილის №1-3/2/531 განჩინება საქმეზე „ისრაელის მოქალაქეები – თამაზ ჯანაშვილი, ნანა ჯანაშვილი, ირმა ჯანაშვილი, ასევე საქართველოს მოქალაქეები – გიორგი წაქაძე და ვახტანგ ლორია საქართველოს პარლამენტის წინააღმდეგ“).</w:t>
      </w:r>
    </w:p>
    <w:p w14:paraId="0B818093" w14:textId="1AE5B8E6" w:rsidR="008E20FE" w:rsidRPr="006A67F6" w:rsidRDefault="006A67F6" w:rsidP="00AE36B7">
      <w:pPr>
        <w:pStyle w:val="ListParagraph"/>
        <w:numPr>
          <w:ilvl w:val="0"/>
          <w:numId w:val="1"/>
        </w:numPr>
        <w:spacing w:after="0" w:line="276" w:lineRule="auto"/>
        <w:ind w:left="0" w:firstLine="284"/>
        <w:jc w:val="both"/>
        <w:rPr>
          <w:rFonts w:ascii="Sylfaen" w:hAnsi="Sylfaen" w:cs="Sylfaen"/>
          <w:bCs/>
          <w:sz w:val="24"/>
          <w:szCs w:val="24"/>
        </w:rPr>
      </w:pPr>
      <w:r w:rsidRPr="006A67F6">
        <w:rPr>
          <w:rFonts w:ascii="Sylfaen" w:hAnsi="Sylfaen" w:cs="Sylfaen"/>
          <w:bCs/>
          <w:sz w:val="24"/>
          <w:szCs w:val="24"/>
        </w:rPr>
        <w:t>განსხვავებული აზრის ავტორები მივიჩნევთ, რომ</w:t>
      </w:r>
      <w:r w:rsidR="00CD2CBD" w:rsidRPr="006A67F6">
        <w:rPr>
          <w:rFonts w:ascii="Sylfaen" w:hAnsi="Sylfaen" w:cs="Sylfaen"/>
          <w:bCs/>
          <w:sz w:val="24"/>
          <w:szCs w:val="24"/>
        </w:rPr>
        <w:t xml:space="preserve"> საკონსტიტუციო სასამართლოს კოლეგიის წევრის მიერ პლენუმისათვის საქმის განსახილველად გადაცემ</w:t>
      </w:r>
      <w:r w:rsidR="00E75970">
        <w:rPr>
          <w:rFonts w:ascii="Sylfaen" w:hAnsi="Sylfaen" w:cs="Sylfaen"/>
          <w:bCs/>
          <w:sz w:val="24"/>
          <w:szCs w:val="24"/>
        </w:rPr>
        <w:t xml:space="preserve">ა, </w:t>
      </w:r>
      <w:r w:rsidR="00DC0F7A">
        <w:rPr>
          <w:rFonts w:ascii="Sylfaen" w:hAnsi="Sylfaen" w:cs="Sylfaen"/>
          <w:bCs/>
          <w:sz w:val="24"/>
          <w:szCs w:val="24"/>
        </w:rPr>
        <w:t>მისი</w:t>
      </w:r>
      <w:r w:rsidRPr="006A67F6">
        <w:rPr>
          <w:rFonts w:ascii="Sylfaen" w:hAnsi="Sylfaen" w:cs="Sylfaen"/>
          <w:bCs/>
          <w:sz w:val="24"/>
          <w:szCs w:val="24"/>
        </w:rPr>
        <w:t xml:space="preserve"> </w:t>
      </w:r>
      <w:proofErr w:type="spellStart"/>
      <w:r w:rsidRPr="006A67F6">
        <w:rPr>
          <w:rFonts w:ascii="Sylfaen" w:hAnsi="Sylfaen" w:cs="Sylfaen"/>
          <w:bCs/>
          <w:sz w:val="24"/>
          <w:szCs w:val="24"/>
        </w:rPr>
        <w:t>კონსტიტუციურსამართლებრივი</w:t>
      </w:r>
      <w:proofErr w:type="spellEnd"/>
      <w:r w:rsidRPr="006A67F6">
        <w:rPr>
          <w:rFonts w:ascii="Sylfaen" w:hAnsi="Sylfaen" w:cs="Sylfaen"/>
          <w:bCs/>
          <w:sz w:val="24"/>
          <w:szCs w:val="24"/>
        </w:rPr>
        <w:t xml:space="preserve"> მნიშვნელობის</w:t>
      </w:r>
      <w:r w:rsidR="00D51F30">
        <w:rPr>
          <w:rFonts w:ascii="Sylfaen" w:hAnsi="Sylfaen" w:cs="Sylfaen"/>
          <w:bCs/>
          <w:sz w:val="24"/>
          <w:szCs w:val="24"/>
        </w:rPr>
        <w:t xml:space="preserve"> ან/და </w:t>
      </w:r>
      <w:r w:rsidRPr="006A67F6">
        <w:rPr>
          <w:rFonts w:ascii="Sylfaen" w:hAnsi="Sylfaen" w:cs="Sylfaen"/>
          <w:bCs/>
          <w:sz w:val="24"/>
          <w:szCs w:val="24"/>
        </w:rPr>
        <w:t xml:space="preserve">გამორჩეულობის დასაბუთების გარეშე, მხოლოდ </w:t>
      </w:r>
      <w:r w:rsidR="00CD2CBD" w:rsidRPr="006A67F6">
        <w:rPr>
          <w:rFonts w:ascii="Sylfaen" w:hAnsi="Sylfaen" w:cs="Sylfaen"/>
          <w:bCs/>
          <w:sz w:val="24"/>
          <w:szCs w:val="24"/>
        </w:rPr>
        <w:t xml:space="preserve">იმ არგუმენტებზე </w:t>
      </w:r>
      <w:r>
        <w:rPr>
          <w:rFonts w:ascii="Sylfaen" w:hAnsi="Sylfaen" w:cs="Sylfaen"/>
          <w:bCs/>
          <w:sz w:val="24"/>
          <w:szCs w:val="24"/>
        </w:rPr>
        <w:t>მითითებით,</w:t>
      </w:r>
      <w:r w:rsidR="00CD2CBD" w:rsidRPr="006A67F6">
        <w:rPr>
          <w:rFonts w:ascii="Sylfaen" w:hAnsi="Sylfaen" w:cs="Sylfaen"/>
          <w:bCs/>
          <w:sz w:val="24"/>
          <w:szCs w:val="24"/>
        </w:rPr>
        <w:t xml:space="preserve"> რომ </w:t>
      </w:r>
      <w:r w:rsidR="00566487" w:rsidRPr="006A67F6">
        <w:rPr>
          <w:rFonts w:ascii="Sylfaen" w:hAnsi="Sylfaen" w:cs="Sylfaen"/>
          <w:bCs/>
          <w:sz w:val="24"/>
          <w:szCs w:val="24"/>
        </w:rPr>
        <w:t xml:space="preserve">საჭიროა კონკრეტული კონსტიტუციური უფლების განმარტება ან/და </w:t>
      </w:r>
      <w:r w:rsidR="00DC0F7A">
        <w:rPr>
          <w:rFonts w:ascii="Sylfaen" w:hAnsi="Sylfaen" w:cs="Sylfaen"/>
          <w:bCs/>
          <w:sz w:val="24"/>
          <w:szCs w:val="24"/>
        </w:rPr>
        <w:t xml:space="preserve">საქმე </w:t>
      </w:r>
      <w:r w:rsidR="00CD2CBD" w:rsidRPr="006A67F6">
        <w:rPr>
          <w:rFonts w:ascii="Sylfaen" w:hAnsi="Sylfaen" w:cs="Sylfaen"/>
          <w:bCs/>
          <w:sz w:val="24"/>
          <w:szCs w:val="24"/>
        </w:rPr>
        <w:t>გამოირჩევა გადასაწყვეტ საკითხთა სიმრავლით</w:t>
      </w:r>
      <w:r w:rsidR="00A518ED" w:rsidRPr="006A67F6">
        <w:rPr>
          <w:rFonts w:ascii="Sylfaen" w:hAnsi="Sylfaen" w:cs="Sylfaen"/>
          <w:bCs/>
          <w:sz w:val="24"/>
          <w:szCs w:val="24"/>
        </w:rPr>
        <w:t>/კომპლექსურობით</w:t>
      </w:r>
      <w:r w:rsidR="00CD2CBD" w:rsidRPr="006A67F6">
        <w:rPr>
          <w:rFonts w:ascii="Sylfaen" w:hAnsi="Sylfaen" w:cs="Sylfaen"/>
          <w:bCs/>
          <w:sz w:val="24"/>
          <w:szCs w:val="24"/>
        </w:rPr>
        <w:t>, მიიღებს თვითნებურ ხასიათს</w:t>
      </w:r>
      <w:r>
        <w:rPr>
          <w:rFonts w:ascii="Sylfaen" w:hAnsi="Sylfaen" w:cs="Sylfaen"/>
          <w:bCs/>
          <w:sz w:val="24"/>
          <w:szCs w:val="24"/>
        </w:rPr>
        <w:t>.</w:t>
      </w:r>
      <w:r w:rsidR="00CD2CBD" w:rsidRPr="006A67F6">
        <w:rPr>
          <w:rFonts w:ascii="Sylfaen" w:hAnsi="Sylfaen" w:cs="Sylfaen"/>
          <w:bCs/>
          <w:sz w:val="24"/>
          <w:szCs w:val="24"/>
        </w:rPr>
        <w:t xml:space="preserve"> </w:t>
      </w:r>
      <w:r>
        <w:rPr>
          <w:rFonts w:ascii="Sylfaen" w:hAnsi="Sylfaen" w:cs="Sylfaen"/>
          <w:bCs/>
          <w:sz w:val="24"/>
          <w:szCs w:val="24"/>
        </w:rPr>
        <w:t>აღნიშნული კი</w:t>
      </w:r>
      <w:r w:rsidR="00CD2CBD" w:rsidRPr="006A67F6">
        <w:rPr>
          <w:rFonts w:ascii="Sylfaen" w:hAnsi="Sylfaen" w:cs="Sylfaen"/>
          <w:bCs/>
          <w:sz w:val="24"/>
          <w:szCs w:val="24"/>
        </w:rPr>
        <w:t xml:space="preserve"> წარმოშობს რისკებს იმისა, რომ </w:t>
      </w:r>
      <w:r w:rsidR="00CD2CBD" w:rsidRPr="006A67F6">
        <w:rPr>
          <w:rFonts w:ascii="Sylfaen" w:hAnsi="Sylfaen" w:cs="Sylfaen"/>
          <w:bCs/>
          <w:sz w:val="24"/>
          <w:szCs w:val="24"/>
        </w:rPr>
        <w:lastRenderedPageBreak/>
        <w:t>საგამონაკლისო მექანიზმი გამოყენებულ იქნეს ნებისმიერ კონსტიტუციურ სარჩელ</w:t>
      </w:r>
      <w:r w:rsidR="00A518ED" w:rsidRPr="006A67F6">
        <w:rPr>
          <w:rFonts w:ascii="Sylfaen" w:hAnsi="Sylfaen" w:cs="Sylfaen"/>
          <w:bCs/>
          <w:sz w:val="24"/>
          <w:szCs w:val="24"/>
        </w:rPr>
        <w:t>თან მიმართებით</w:t>
      </w:r>
      <w:r w:rsidR="00CD2CBD" w:rsidRPr="006A67F6">
        <w:rPr>
          <w:rFonts w:ascii="Sylfaen" w:hAnsi="Sylfaen" w:cs="Sylfaen"/>
          <w:bCs/>
          <w:sz w:val="24"/>
          <w:szCs w:val="24"/>
        </w:rPr>
        <w:t>, სხვადასხვა ფაქტორებით ნაკარნახევი მოსამართლეთა შეხედულები</w:t>
      </w:r>
      <w:r>
        <w:rPr>
          <w:rFonts w:ascii="Sylfaen" w:hAnsi="Sylfaen" w:cs="Sylfaen"/>
          <w:bCs/>
          <w:sz w:val="24"/>
          <w:szCs w:val="24"/>
        </w:rPr>
        <w:t>ს</w:t>
      </w:r>
      <w:r w:rsidR="00CD2CBD" w:rsidRPr="006A67F6">
        <w:rPr>
          <w:rFonts w:ascii="Sylfaen" w:hAnsi="Sylfaen" w:cs="Sylfaen"/>
          <w:bCs/>
          <w:sz w:val="24"/>
          <w:szCs w:val="24"/>
        </w:rPr>
        <w:t xml:space="preserve"> (მაგალითად, </w:t>
      </w:r>
      <w:r w:rsidR="00A518ED" w:rsidRPr="006A67F6">
        <w:rPr>
          <w:rFonts w:ascii="Sylfaen" w:hAnsi="Sylfaen" w:cs="Sylfaen"/>
          <w:bCs/>
          <w:sz w:val="24"/>
          <w:szCs w:val="24"/>
        </w:rPr>
        <w:t xml:space="preserve">თუ </w:t>
      </w:r>
      <w:r w:rsidR="00CD2CBD" w:rsidRPr="006A67F6">
        <w:rPr>
          <w:rFonts w:ascii="Sylfaen" w:hAnsi="Sylfaen" w:cs="Sylfaen"/>
          <w:bCs/>
          <w:sz w:val="24"/>
          <w:szCs w:val="24"/>
        </w:rPr>
        <w:t xml:space="preserve">ინდივიდუალური მოსამართლე არ ეთანხმება კოლეგიის ფარგლებში საკითხის სავარაუდო გადაწყვეტას) და არა </w:t>
      </w:r>
      <w:r>
        <w:rPr>
          <w:rFonts w:ascii="Sylfaen" w:hAnsi="Sylfaen" w:cs="Sylfaen"/>
          <w:bCs/>
          <w:sz w:val="24"/>
          <w:szCs w:val="24"/>
        </w:rPr>
        <w:t>კანონმდებლობით გათვალისწინებული კრიტერიუმის –</w:t>
      </w:r>
      <w:r w:rsidR="00D51F30">
        <w:rPr>
          <w:rFonts w:ascii="Sylfaen" w:hAnsi="Sylfaen" w:cs="Sylfaen"/>
          <w:bCs/>
          <w:sz w:val="24"/>
          <w:szCs w:val="24"/>
        </w:rPr>
        <w:t xml:space="preserve"> </w:t>
      </w:r>
      <w:r>
        <w:rPr>
          <w:rFonts w:ascii="Sylfaen" w:hAnsi="Sylfaen" w:cs="Sylfaen"/>
          <w:bCs/>
          <w:sz w:val="24"/>
          <w:szCs w:val="24"/>
        </w:rPr>
        <w:t xml:space="preserve">თავად </w:t>
      </w:r>
      <w:r w:rsidR="00CD2CBD" w:rsidRPr="006A67F6">
        <w:rPr>
          <w:rFonts w:ascii="Sylfaen" w:hAnsi="Sylfaen" w:cs="Sylfaen"/>
          <w:bCs/>
          <w:sz w:val="24"/>
          <w:szCs w:val="24"/>
        </w:rPr>
        <w:t>საქმის კონსტიტუციური მნიშვნელობი</w:t>
      </w:r>
      <w:r w:rsidR="00375685">
        <w:rPr>
          <w:rFonts w:ascii="Sylfaen" w:hAnsi="Sylfaen" w:cs="Sylfaen"/>
          <w:bCs/>
          <w:sz w:val="24"/>
          <w:szCs w:val="24"/>
        </w:rPr>
        <w:t>ს</w:t>
      </w:r>
      <w:r w:rsidR="00CD2CBD" w:rsidRPr="006A67F6">
        <w:rPr>
          <w:rFonts w:ascii="Sylfaen" w:hAnsi="Sylfaen" w:cs="Sylfaen"/>
          <w:bCs/>
          <w:sz w:val="24"/>
          <w:szCs w:val="24"/>
        </w:rPr>
        <w:t xml:space="preserve"> </w:t>
      </w:r>
      <w:r>
        <w:rPr>
          <w:rFonts w:ascii="Sylfaen" w:hAnsi="Sylfaen" w:cs="Sylfaen"/>
          <w:bCs/>
          <w:sz w:val="24"/>
          <w:szCs w:val="24"/>
        </w:rPr>
        <w:t>გამო</w:t>
      </w:r>
      <w:r w:rsidR="00CD2CBD" w:rsidRPr="006A67F6">
        <w:rPr>
          <w:rFonts w:ascii="Sylfaen" w:hAnsi="Sylfaen" w:cs="Sylfaen"/>
          <w:bCs/>
          <w:sz w:val="24"/>
          <w:szCs w:val="24"/>
        </w:rPr>
        <w:t xml:space="preserve"> (საქართველოს საკონსტიტუციო სასამართლოს მოსამართლეების – თეიმურაზ ტუღუშის, ირინე იმერლიშვილის და გიორგი კვერენჩხილაძის განსხვავებული აზრი საქართველოს საკონსტიტუციო სასამართლოს პლენუმის 2021 წლის 23 ივლისის №3/1-3/1264 საოქმო ჩანაწერთან დაკავშირებით, </w:t>
      </w:r>
      <w:r w:rsidR="00CD2CBD" w:rsidRPr="006A67F6">
        <w:rPr>
          <w:rFonts w:ascii="Sylfaen" w:hAnsi="Sylfaen" w:cs="Sylfaen"/>
          <w:bCs/>
          <w:sz w:val="24"/>
          <w:szCs w:val="24"/>
          <w:lang w:val="en-US"/>
        </w:rPr>
        <w:t>3).</w:t>
      </w:r>
      <w:r w:rsidR="00CD2CBD" w:rsidRPr="006A67F6">
        <w:rPr>
          <w:rFonts w:ascii="Sylfaen" w:hAnsi="Sylfaen" w:cs="Sylfaen"/>
          <w:bCs/>
          <w:sz w:val="24"/>
          <w:szCs w:val="24"/>
        </w:rPr>
        <w:t xml:space="preserve"> </w:t>
      </w:r>
      <w:r w:rsidR="00E75970">
        <w:rPr>
          <w:rFonts w:ascii="Sylfaen" w:hAnsi="Sylfaen" w:cs="Sylfaen"/>
          <w:bCs/>
          <w:sz w:val="24"/>
          <w:szCs w:val="24"/>
        </w:rPr>
        <w:t>აღნიშნული მექანიზმის გამოყენების</w:t>
      </w:r>
      <w:r w:rsidR="008E20FE" w:rsidRPr="006A67F6">
        <w:rPr>
          <w:rFonts w:ascii="Sylfaen" w:hAnsi="Sylfaen" w:cs="Sylfaen"/>
          <w:bCs/>
          <w:sz w:val="24"/>
          <w:szCs w:val="24"/>
        </w:rPr>
        <w:t xml:space="preserve"> საფუძველი არ უნდა გახდეს </w:t>
      </w:r>
      <w:r w:rsidR="00D51F30">
        <w:rPr>
          <w:rFonts w:ascii="Sylfaen" w:hAnsi="Sylfaen" w:cs="Sylfaen"/>
          <w:bCs/>
          <w:sz w:val="24"/>
          <w:szCs w:val="24"/>
        </w:rPr>
        <w:t xml:space="preserve">არც </w:t>
      </w:r>
      <w:r w:rsidR="008E20FE" w:rsidRPr="006A67F6">
        <w:rPr>
          <w:rFonts w:ascii="Sylfaen" w:hAnsi="Sylfaen" w:cs="Sylfaen"/>
          <w:bCs/>
          <w:sz w:val="24"/>
          <w:szCs w:val="24"/>
        </w:rPr>
        <w:t xml:space="preserve">კონკრეტულ სამართლებრივ პრობლემაზე საკონსტიტუციო სასამართლოს პრაქტიკაში პასუხებისა თუ განმარტებების არარსებობა ან/და ამგვარი პასუხების მოძიების ან/და </w:t>
      </w:r>
      <w:r w:rsidR="00B81A48">
        <w:rPr>
          <w:rFonts w:ascii="Sylfaen" w:hAnsi="Sylfaen" w:cs="Sylfaen"/>
          <w:bCs/>
          <w:sz w:val="24"/>
          <w:szCs w:val="24"/>
        </w:rPr>
        <w:t>კონკრეტული კონსტიტუციური</w:t>
      </w:r>
      <w:r w:rsidR="008E20FE" w:rsidRPr="006A67F6">
        <w:rPr>
          <w:rFonts w:ascii="Sylfaen" w:hAnsi="Sylfaen" w:cs="Sylfaen"/>
          <w:bCs/>
          <w:sz w:val="24"/>
          <w:szCs w:val="24"/>
        </w:rPr>
        <w:t xml:space="preserve"> სტანდარტების </w:t>
      </w:r>
      <w:r w:rsidR="00B81A48">
        <w:rPr>
          <w:rFonts w:ascii="Sylfaen" w:hAnsi="Sylfaen" w:cs="Sylfaen"/>
          <w:bCs/>
          <w:sz w:val="24"/>
          <w:szCs w:val="24"/>
        </w:rPr>
        <w:t>ცალკეულ</w:t>
      </w:r>
      <w:r w:rsidR="008E20FE" w:rsidRPr="006A67F6">
        <w:rPr>
          <w:rFonts w:ascii="Sylfaen" w:hAnsi="Sylfaen" w:cs="Sylfaen"/>
          <w:bCs/>
          <w:sz w:val="24"/>
          <w:szCs w:val="24"/>
        </w:rPr>
        <w:t xml:space="preserve"> საქმ</w:t>
      </w:r>
      <w:r w:rsidR="00DC0F7A">
        <w:rPr>
          <w:rFonts w:ascii="Sylfaen" w:hAnsi="Sylfaen" w:cs="Sylfaen"/>
          <w:bCs/>
          <w:sz w:val="24"/>
          <w:szCs w:val="24"/>
        </w:rPr>
        <w:t>ესთან</w:t>
      </w:r>
      <w:r w:rsidR="008E20FE" w:rsidRPr="006A67F6">
        <w:rPr>
          <w:rFonts w:ascii="Sylfaen" w:hAnsi="Sylfaen" w:cs="Sylfaen"/>
          <w:bCs/>
          <w:sz w:val="24"/>
          <w:szCs w:val="24"/>
        </w:rPr>
        <w:t xml:space="preserve"> მისადაგების სირთულე. საკონსტიტუციო სასამართლოს კოლეგია ისევეა მნიშვნელოვან განმარტებებსა და გადაწყვეტილებების მიღებაზე უფლებამოსილი, როგორც პლენუმი, ხოლო ამ უკანასკნელს</w:t>
      </w:r>
      <w:r w:rsidR="00403978">
        <w:rPr>
          <w:rFonts w:ascii="Sylfaen" w:hAnsi="Sylfaen" w:cs="Sylfaen"/>
          <w:bCs/>
          <w:sz w:val="24"/>
          <w:szCs w:val="24"/>
        </w:rPr>
        <w:t>,</w:t>
      </w:r>
      <w:r w:rsidR="008E20FE" w:rsidRPr="006A67F6">
        <w:rPr>
          <w:rFonts w:ascii="Sylfaen" w:hAnsi="Sylfaen" w:cs="Sylfaen"/>
          <w:bCs/>
          <w:sz w:val="24"/>
          <w:szCs w:val="24"/>
        </w:rPr>
        <w:t xml:space="preserve"> მხოლოდ ერთეულ, განსაკუთრებულ შემთხვევებში შეიძლება გადაეცეს საქმე განსახილველად, როდესაც საკითხი მომეტებული </w:t>
      </w:r>
      <w:proofErr w:type="spellStart"/>
      <w:r w:rsidR="008E20FE" w:rsidRPr="006A67F6">
        <w:rPr>
          <w:rFonts w:ascii="Sylfaen" w:hAnsi="Sylfaen" w:cs="Sylfaen"/>
          <w:bCs/>
          <w:sz w:val="24"/>
          <w:szCs w:val="24"/>
        </w:rPr>
        <w:t>კონსტიტუციურსამართლებრივი</w:t>
      </w:r>
      <w:proofErr w:type="spellEnd"/>
      <w:r w:rsidR="008E20FE" w:rsidRPr="006A67F6">
        <w:rPr>
          <w:rFonts w:ascii="Sylfaen" w:hAnsi="Sylfaen" w:cs="Sylfaen"/>
          <w:bCs/>
          <w:sz w:val="24"/>
          <w:szCs w:val="24"/>
        </w:rPr>
        <w:t xml:space="preserve"> სირთულით ხასიათდება (საქართველოს საკონსტიტუციო სასამართლოს წევრების – თეიმურაზ ტუღუშის, ირინე იმერლიშვილის, გიორგი კვერენჩხილაძის და თამაზ ცაბუტაშვილის განსხვავებული აზრი საქართველოს საკონსტიტუციო სასამართლოს პლენუმის 2020 წლის 29 ივლისის №3/1-3/1524 საოქმო ჩანაწერთან დაკავშირებით, 5).</w:t>
      </w:r>
    </w:p>
    <w:p w14:paraId="01DD9C34" w14:textId="711DE931" w:rsidR="00973B81" w:rsidRPr="00367033" w:rsidRDefault="00A518ED" w:rsidP="00367033">
      <w:pPr>
        <w:pStyle w:val="ListParagraph"/>
        <w:numPr>
          <w:ilvl w:val="0"/>
          <w:numId w:val="1"/>
        </w:numPr>
        <w:spacing w:after="0" w:line="276" w:lineRule="auto"/>
        <w:ind w:left="0" w:firstLine="284"/>
        <w:jc w:val="both"/>
        <w:rPr>
          <w:rFonts w:ascii="Sylfaen" w:hAnsi="Sylfaen" w:cs="Sylfaen"/>
          <w:bCs/>
          <w:sz w:val="24"/>
          <w:szCs w:val="24"/>
        </w:rPr>
      </w:pPr>
      <w:r w:rsidRPr="005D64AE">
        <w:rPr>
          <w:rFonts w:ascii="Sylfaen" w:hAnsi="Sylfaen" w:cs="Sylfaen"/>
          <w:bCs/>
          <w:sz w:val="24"/>
          <w:szCs w:val="24"/>
        </w:rPr>
        <w:t xml:space="preserve">საკონსტიტუციო სასამართლოს </w:t>
      </w:r>
      <w:r w:rsidR="00CD2CBD" w:rsidRPr="005D64AE">
        <w:rPr>
          <w:rFonts w:ascii="Sylfaen" w:hAnsi="Sylfaen" w:cs="Sylfaen"/>
          <w:bCs/>
          <w:sz w:val="24"/>
          <w:szCs w:val="24"/>
        </w:rPr>
        <w:t>კოლეგიის</w:t>
      </w:r>
      <w:r w:rsidR="008D77EF" w:rsidRPr="005D64AE">
        <w:rPr>
          <w:rFonts w:ascii="Sylfaen" w:hAnsi="Sylfaen" w:cs="Sylfaen"/>
          <w:bCs/>
          <w:sz w:val="24"/>
          <w:szCs w:val="24"/>
        </w:rPr>
        <w:t xml:space="preserve"> წევრის მიერ კოლეგიის</w:t>
      </w:r>
      <w:r w:rsidR="00CD2CBD" w:rsidRPr="005D64AE">
        <w:rPr>
          <w:rFonts w:ascii="Sylfaen" w:hAnsi="Sylfaen" w:cs="Sylfaen"/>
          <w:bCs/>
          <w:sz w:val="24"/>
          <w:szCs w:val="24"/>
        </w:rPr>
        <w:t xml:space="preserve"> განსჯადი საქმეების პლენუმისათვის განსახილველად  გადაცემის</w:t>
      </w:r>
      <w:r w:rsidR="00532126" w:rsidRPr="00532126">
        <w:rPr>
          <w:rFonts w:ascii="Sylfaen" w:hAnsi="Sylfaen" w:cs="Sylfaen"/>
          <w:bCs/>
          <w:sz w:val="24"/>
          <w:szCs w:val="24"/>
        </w:rPr>
        <w:t xml:space="preserve">/პლენუმის მიერ </w:t>
      </w:r>
      <w:r w:rsidR="00532126">
        <w:rPr>
          <w:rFonts w:ascii="Sylfaen" w:hAnsi="Sylfaen" w:cs="Sylfaen"/>
          <w:bCs/>
          <w:sz w:val="24"/>
          <w:szCs w:val="24"/>
        </w:rPr>
        <w:t xml:space="preserve">პლენუმზე </w:t>
      </w:r>
      <w:r w:rsidR="00532126" w:rsidRPr="00532126">
        <w:rPr>
          <w:rFonts w:ascii="Sylfaen" w:hAnsi="Sylfaen" w:cs="Sylfaen"/>
          <w:bCs/>
          <w:sz w:val="24"/>
          <w:szCs w:val="24"/>
        </w:rPr>
        <w:t>განსახილველად მიღების დაუსაბუთებელი</w:t>
      </w:r>
      <w:r w:rsidR="00B81A48">
        <w:rPr>
          <w:rFonts w:ascii="Sylfaen" w:hAnsi="Sylfaen" w:cs="Sylfaen"/>
          <w:bCs/>
          <w:sz w:val="24"/>
          <w:szCs w:val="24"/>
        </w:rPr>
        <w:t xml:space="preserve"> </w:t>
      </w:r>
      <w:r w:rsidR="00532126" w:rsidRPr="00532126">
        <w:rPr>
          <w:rFonts w:ascii="Sylfaen" w:hAnsi="Sylfaen" w:cs="Sylfaen"/>
          <w:bCs/>
          <w:sz w:val="24"/>
          <w:szCs w:val="24"/>
        </w:rPr>
        <w:t xml:space="preserve">პრაქტიკა, </w:t>
      </w:r>
      <w:r w:rsidR="00CD2CBD" w:rsidRPr="00367033">
        <w:rPr>
          <w:rFonts w:ascii="Sylfaen" w:hAnsi="Sylfaen" w:cs="Sylfaen"/>
          <w:bCs/>
          <w:sz w:val="24"/>
          <w:szCs w:val="24"/>
        </w:rPr>
        <w:t xml:space="preserve">თავის მხრივ, გამოიწვევს საკონსტიტუციო სასამართლოს პლენუმსა და კოლეგიებს შორის კანონმდებლობით მკაცრად რეგლამენტირებული </w:t>
      </w:r>
      <w:r w:rsidR="00367033">
        <w:rPr>
          <w:rFonts w:ascii="Sylfaen" w:hAnsi="Sylfaen" w:cs="Sylfaen"/>
          <w:bCs/>
          <w:sz w:val="24"/>
          <w:szCs w:val="24"/>
        </w:rPr>
        <w:t xml:space="preserve">შიდაინსტიტუციური </w:t>
      </w:r>
      <w:r w:rsidR="00CD2CBD" w:rsidRPr="00367033">
        <w:rPr>
          <w:rFonts w:ascii="Sylfaen" w:hAnsi="Sylfaen" w:cs="Sylfaen"/>
          <w:bCs/>
          <w:sz w:val="24"/>
          <w:szCs w:val="24"/>
        </w:rPr>
        <w:t>განსჯადობის სტრუქტურის ეროზიას და წარმოშობს საზოგადოებაში აღნიშნული მექანიზმის ინსტრუმენტალიზაციის შთაბეჭდილებას, რაც</w:t>
      </w:r>
      <w:r w:rsidR="008C3C1B" w:rsidRPr="00367033">
        <w:rPr>
          <w:rFonts w:ascii="Sylfaen" w:hAnsi="Sylfaen" w:cs="Sylfaen"/>
          <w:bCs/>
          <w:sz w:val="24"/>
          <w:szCs w:val="24"/>
        </w:rPr>
        <w:t xml:space="preserve"> </w:t>
      </w:r>
      <w:r w:rsidR="008D77EF" w:rsidRPr="00367033">
        <w:rPr>
          <w:rFonts w:ascii="Sylfaen" w:hAnsi="Sylfaen" w:cs="Sylfaen"/>
          <w:bCs/>
          <w:sz w:val="24"/>
          <w:szCs w:val="24"/>
        </w:rPr>
        <w:t>ზრდის</w:t>
      </w:r>
      <w:r w:rsidR="008C3C1B" w:rsidRPr="00367033">
        <w:rPr>
          <w:rFonts w:ascii="Sylfaen" w:hAnsi="Sylfaen" w:cs="Sylfaen"/>
          <w:bCs/>
          <w:sz w:val="24"/>
          <w:szCs w:val="24"/>
        </w:rPr>
        <w:t xml:space="preserve"> საკონსტიტუციო სამართალწარმოების პროცესისადმი საზოგადოებრივი ნდობის შერყევის რისკს. </w:t>
      </w:r>
      <w:r w:rsidR="00C05AE6" w:rsidRPr="00367033">
        <w:rPr>
          <w:rFonts w:ascii="Sylfaen" w:hAnsi="Sylfaen" w:cs="Sylfaen"/>
          <w:bCs/>
          <w:sz w:val="24"/>
          <w:szCs w:val="24"/>
        </w:rPr>
        <w:t xml:space="preserve">გარდა ამისა, </w:t>
      </w:r>
      <w:r w:rsidR="008D77EF" w:rsidRPr="00367033">
        <w:rPr>
          <w:rFonts w:ascii="Sylfaen" w:hAnsi="Sylfaen" w:cs="Sylfaen"/>
          <w:bCs/>
          <w:sz w:val="24"/>
          <w:szCs w:val="24"/>
        </w:rPr>
        <w:t>კოლეგიის განსჯადი საქმეების პლენუმზე დაუსაბუთებელი</w:t>
      </w:r>
      <w:r w:rsidR="00973B81" w:rsidRPr="00367033">
        <w:rPr>
          <w:rFonts w:ascii="Sylfaen" w:hAnsi="Sylfaen" w:cs="Sylfaen"/>
          <w:bCs/>
          <w:sz w:val="24"/>
          <w:szCs w:val="24"/>
        </w:rPr>
        <w:t xml:space="preserve"> </w:t>
      </w:r>
      <w:r w:rsidR="008D77EF" w:rsidRPr="00367033">
        <w:rPr>
          <w:rFonts w:ascii="Sylfaen" w:hAnsi="Sylfaen" w:cs="Sylfaen"/>
          <w:bCs/>
          <w:sz w:val="24"/>
          <w:szCs w:val="24"/>
        </w:rPr>
        <w:t>გადაცემის</w:t>
      </w:r>
      <w:r w:rsidR="00367033">
        <w:rPr>
          <w:rFonts w:ascii="Sylfaen" w:hAnsi="Sylfaen" w:cs="Sylfaen"/>
          <w:bCs/>
          <w:sz w:val="24"/>
          <w:szCs w:val="24"/>
        </w:rPr>
        <w:t>/</w:t>
      </w:r>
      <w:r w:rsidR="00367033" w:rsidRPr="00860B80">
        <w:rPr>
          <w:rFonts w:ascii="Sylfaen" w:hAnsi="Sylfaen" w:cs="Sylfaen"/>
          <w:bCs/>
          <w:sz w:val="24"/>
          <w:szCs w:val="24"/>
        </w:rPr>
        <w:t>განსახილველად მიღების</w:t>
      </w:r>
      <w:r w:rsidR="008D77EF" w:rsidRPr="00367033">
        <w:rPr>
          <w:rFonts w:ascii="Sylfaen" w:hAnsi="Sylfaen" w:cs="Sylfaen"/>
          <w:bCs/>
          <w:sz w:val="24"/>
          <w:szCs w:val="24"/>
        </w:rPr>
        <w:t xml:space="preserve"> ტენდენცია ქმნის პრეცედენტს, რომ </w:t>
      </w:r>
      <w:r w:rsidR="00DB0F02" w:rsidRPr="00367033">
        <w:rPr>
          <w:rFonts w:ascii="Sylfaen" w:hAnsi="Sylfaen" w:cs="Sylfaen"/>
          <w:bCs/>
          <w:sz w:val="24"/>
          <w:szCs w:val="24"/>
        </w:rPr>
        <w:t>ცალკეული</w:t>
      </w:r>
      <w:r w:rsidR="008D77EF" w:rsidRPr="00367033">
        <w:rPr>
          <w:rFonts w:ascii="Sylfaen" w:hAnsi="Sylfaen" w:cs="Sylfaen"/>
          <w:bCs/>
          <w:sz w:val="24"/>
          <w:szCs w:val="24"/>
        </w:rPr>
        <w:t xml:space="preserve"> კატეგორიის კონსტიტუციური სარჩელები „განსაკუთრებულ“ ფორმ</w:t>
      </w:r>
      <w:r w:rsidR="00DB0F02" w:rsidRPr="00367033">
        <w:rPr>
          <w:rFonts w:ascii="Sylfaen" w:hAnsi="Sylfaen" w:cs="Sylfaen"/>
          <w:bCs/>
          <w:sz w:val="24"/>
          <w:szCs w:val="24"/>
        </w:rPr>
        <w:t>ატში</w:t>
      </w:r>
      <w:r w:rsidR="008D77EF" w:rsidRPr="00367033">
        <w:rPr>
          <w:rFonts w:ascii="Sylfaen" w:hAnsi="Sylfaen" w:cs="Sylfaen"/>
          <w:bCs/>
          <w:sz w:val="24"/>
          <w:szCs w:val="24"/>
        </w:rPr>
        <w:t xml:space="preserve"> განიხილება, ხოლო სხვები – კოლეგიის ფარგლებში, რაც აზიანებს პროცედურულ თანასწორობას/სამართლიანობას და საზოგადოებაში ქმნის შერჩევითობის განცდას</w:t>
      </w:r>
      <w:r w:rsidR="00DB0F02" w:rsidRPr="00367033">
        <w:rPr>
          <w:rFonts w:ascii="Sylfaen" w:hAnsi="Sylfaen" w:cs="Sylfaen"/>
          <w:bCs/>
          <w:sz w:val="24"/>
          <w:szCs w:val="24"/>
        </w:rPr>
        <w:t>.</w:t>
      </w:r>
      <w:r w:rsidR="00D36C04" w:rsidRPr="00367033">
        <w:rPr>
          <w:rFonts w:ascii="Sylfaen" w:hAnsi="Sylfaen" w:cs="Sylfaen"/>
          <w:bCs/>
          <w:sz w:val="24"/>
          <w:szCs w:val="24"/>
        </w:rPr>
        <w:t xml:space="preserve"> </w:t>
      </w:r>
    </w:p>
    <w:p w14:paraId="6FDFD6A9" w14:textId="0EEBFFBF" w:rsidR="00620904" w:rsidRPr="005D64AE" w:rsidRDefault="00604007" w:rsidP="005D64AE">
      <w:pPr>
        <w:pStyle w:val="ListParagraph"/>
        <w:numPr>
          <w:ilvl w:val="0"/>
          <w:numId w:val="1"/>
        </w:numPr>
        <w:spacing w:after="0" w:line="276" w:lineRule="auto"/>
        <w:ind w:left="0" w:firstLine="284"/>
        <w:jc w:val="both"/>
        <w:rPr>
          <w:rFonts w:ascii="Sylfaen" w:hAnsi="Sylfaen" w:cs="Sylfaen"/>
          <w:bCs/>
          <w:sz w:val="24"/>
          <w:szCs w:val="24"/>
        </w:rPr>
      </w:pPr>
      <w:r w:rsidRPr="006B4901">
        <w:rPr>
          <w:rFonts w:ascii="Sylfaen" w:hAnsi="Sylfaen" w:cs="Sylfaen"/>
          <w:bCs/>
          <w:sz w:val="24"/>
          <w:szCs w:val="24"/>
        </w:rPr>
        <w:lastRenderedPageBreak/>
        <w:t>№3/1-1/1859,1866 საოქმო</w:t>
      </w:r>
      <w:r w:rsidRPr="005D64AE">
        <w:rPr>
          <w:rFonts w:ascii="Sylfaen" w:hAnsi="Sylfaen" w:cs="Sylfaen"/>
          <w:bCs/>
          <w:sz w:val="24"/>
          <w:szCs w:val="24"/>
        </w:rPr>
        <w:t xml:space="preserve"> ჩანაწერში</w:t>
      </w:r>
      <w:r w:rsidR="00072612">
        <w:rPr>
          <w:rFonts w:ascii="Sylfaen" w:hAnsi="Sylfaen" w:cs="Sylfaen"/>
          <w:bCs/>
          <w:sz w:val="24"/>
          <w:szCs w:val="24"/>
        </w:rPr>
        <w:t xml:space="preserve"> </w:t>
      </w:r>
      <w:r w:rsidR="00C91C3D">
        <w:rPr>
          <w:rFonts w:ascii="Sylfaen" w:hAnsi="Sylfaen" w:cs="Sylfaen"/>
          <w:bCs/>
          <w:sz w:val="24"/>
          <w:szCs w:val="24"/>
        </w:rPr>
        <w:t>მითითებულია,</w:t>
      </w:r>
      <w:r w:rsidRPr="005D64AE">
        <w:rPr>
          <w:rFonts w:ascii="Sylfaen" w:hAnsi="Sylfaen" w:cs="Sylfaen"/>
          <w:bCs/>
          <w:sz w:val="24"/>
          <w:szCs w:val="24"/>
        </w:rPr>
        <w:t xml:space="preserve"> რომ №1859 და №1866 კონსტიტუციურ სარჩელებში წამოჭრილი საკითხები დაკავშირებულია საჯარო სამსახურის კონცეფციის მნიშვნელოვან სისტემურ ცვლილებასთან, რაც შესაძლოა, კითხვის ნიშნის ქვეშ აყენებდეს მოქმედი საჯარო სამსახურის სამართლებრივი მოდელის საქართველოს კონსტიტუციასთან შესაბამისობას და საჭიროებდეს სკრუპულოზურ შემოწმებას საქართველოს კონსტიტუციის სხვადასხვა მუხლთან მიმართებით.</w:t>
      </w:r>
    </w:p>
    <w:p w14:paraId="2E872F1E" w14:textId="0C13BCD0" w:rsidR="001C60B8" w:rsidRPr="00072612" w:rsidRDefault="00604007" w:rsidP="00072612">
      <w:pPr>
        <w:pStyle w:val="ListParagraph"/>
        <w:numPr>
          <w:ilvl w:val="0"/>
          <w:numId w:val="1"/>
        </w:numPr>
        <w:spacing w:after="0" w:line="276" w:lineRule="auto"/>
        <w:ind w:left="0" w:firstLine="284"/>
        <w:jc w:val="both"/>
        <w:rPr>
          <w:rFonts w:ascii="Sylfaen" w:hAnsi="Sylfaen" w:cs="Sylfaen"/>
          <w:bCs/>
          <w:sz w:val="24"/>
          <w:szCs w:val="24"/>
        </w:rPr>
      </w:pPr>
      <w:r w:rsidRPr="005D64AE">
        <w:rPr>
          <w:rFonts w:ascii="Sylfaen" w:hAnsi="Sylfaen" w:cs="Sylfaen"/>
          <w:bCs/>
          <w:sz w:val="24"/>
          <w:szCs w:val="24"/>
        </w:rPr>
        <w:t>ამ თვალსაზრისით, აღსანიშნავია, რომ „საჯარო სამსახურის კონცეფციის სისტემური ცვლილება“ შესაძლებელია მიანიშნებდეს საკითხის პოლიტიკურ ან სტრუქტურულ მნიშვნელობაზე, თუმცა</w:t>
      </w:r>
      <w:r w:rsidR="00620904" w:rsidRPr="005D64AE">
        <w:rPr>
          <w:rFonts w:ascii="Sylfaen" w:hAnsi="Sylfaen" w:cs="Sylfaen"/>
          <w:bCs/>
          <w:sz w:val="24"/>
          <w:szCs w:val="24"/>
        </w:rPr>
        <w:t xml:space="preserve"> სამართლებრივი პრობლემის მასშტაბურობა, იმთავითვე,</w:t>
      </w:r>
      <w:r w:rsidRPr="005D64AE">
        <w:rPr>
          <w:rFonts w:ascii="Sylfaen" w:hAnsi="Sylfaen" w:cs="Sylfaen"/>
          <w:bCs/>
          <w:sz w:val="24"/>
          <w:szCs w:val="24"/>
        </w:rPr>
        <w:t xml:space="preserve"> არ გულისხმობს საქართველოს კონსტიტუციის განმარტების/გამოყენების იშვიათობას ან/და </w:t>
      </w:r>
      <w:proofErr w:type="spellStart"/>
      <w:r w:rsidR="00DD26E2" w:rsidRPr="005D64AE">
        <w:rPr>
          <w:rFonts w:ascii="Sylfaen" w:hAnsi="Sylfaen" w:cs="Sylfaen"/>
          <w:bCs/>
          <w:sz w:val="24"/>
          <w:szCs w:val="24"/>
        </w:rPr>
        <w:t>კონსტიტუციურ</w:t>
      </w:r>
      <w:r w:rsidR="00D04E4C" w:rsidRPr="005D64AE">
        <w:rPr>
          <w:rFonts w:ascii="Sylfaen" w:hAnsi="Sylfaen" w:cs="Sylfaen"/>
          <w:bCs/>
          <w:sz w:val="24"/>
          <w:szCs w:val="24"/>
        </w:rPr>
        <w:t>სამართლებრივი</w:t>
      </w:r>
      <w:proofErr w:type="spellEnd"/>
      <w:r w:rsidR="00D04E4C" w:rsidRPr="005D64AE">
        <w:rPr>
          <w:rFonts w:ascii="Sylfaen" w:hAnsi="Sylfaen" w:cs="Sylfaen"/>
          <w:bCs/>
          <w:sz w:val="24"/>
          <w:szCs w:val="24"/>
        </w:rPr>
        <w:t xml:space="preserve"> პრობლემის განსაკუთრებულობას. მაშინაც კი, როდესაც კონკრეტული საქმე შეეხება ფართო სისტემურ ცვლილებებს,</w:t>
      </w:r>
      <w:r w:rsidR="0089291B" w:rsidRPr="005D64AE">
        <w:rPr>
          <w:rFonts w:ascii="Sylfaen" w:hAnsi="Sylfaen" w:cs="Sylfaen"/>
          <w:bCs/>
          <w:sz w:val="24"/>
          <w:szCs w:val="24"/>
        </w:rPr>
        <w:t xml:space="preserve"> რაოდენ მასშტაბურიც არ უნდა იყოს,</w:t>
      </w:r>
      <w:r w:rsidR="00620904" w:rsidRPr="005D64AE">
        <w:rPr>
          <w:rFonts w:ascii="Sylfaen" w:hAnsi="Sylfaen" w:cs="Sylfaen"/>
          <w:bCs/>
          <w:sz w:val="24"/>
          <w:szCs w:val="24"/>
        </w:rPr>
        <w:t xml:space="preserve"> ხსენებული</w:t>
      </w:r>
      <w:r w:rsidR="00D04E4C" w:rsidRPr="005D64AE">
        <w:rPr>
          <w:rFonts w:ascii="Sylfaen" w:hAnsi="Sylfaen" w:cs="Sylfaen"/>
          <w:bCs/>
          <w:sz w:val="24"/>
          <w:szCs w:val="24"/>
        </w:rPr>
        <w:t xml:space="preserve"> ავტომატურად არ ნიშნავს, რომ </w:t>
      </w:r>
      <w:r w:rsidR="00620904" w:rsidRPr="005D64AE">
        <w:rPr>
          <w:rFonts w:ascii="Sylfaen" w:hAnsi="Sylfaen" w:cs="Sylfaen"/>
          <w:bCs/>
          <w:sz w:val="24"/>
          <w:szCs w:val="24"/>
        </w:rPr>
        <w:t>იგი</w:t>
      </w:r>
      <w:r w:rsidR="00D04E4C" w:rsidRPr="005D64AE">
        <w:rPr>
          <w:rFonts w:ascii="Sylfaen" w:hAnsi="Sylfaen" w:cs="Sylfaen"/>
          <w:bCs/>
          <w:sz w:val="24"/>
          <w:szCs w:val="24"/>
        </w:rPr>
        <w:t xml:space="preserve"> წარმოშობს ისეთ განსაკუთრებულ ან იშვიათ </w:t>
      </w:r>
      <w:proofErr w:type="spellStart"/>
      <w:r w:rsidR="00620904" w:rsidRPr="005D64AE">
        <w:rPr>
          <w:rFonts w:ascii="Sylfaen" w:hAnsi="Sylfaen" w:cs="Sylfaen"/>
          <w:bCs/>
          <w:sz w:val="24"/>
          <w:szCs w:val="24"/>
        </w:rPr>
        <w:t>კონსტიტუციურ</w:t>
      </w:r>
      <w:r w:rsidR="00D04E4C" w:rsidRPr="005D64AE">
        <w:rPr>
          <w:rFonts w:ascii="Sylfaen" w:hAnsi="Sylfaen" w:cs="Sylfaen"/>
          <w:bCs/>
          <w:sz w:val="24"/>
          <w:szCs w:val="24"/>
        </w:rPr>
        <w:t>სამართლებრივ</w:t>
      </w:r>
      <w:proofErr w:type="spellEnd"/>
      <w:r w:rsidR="00D04E4C" w:rsidRPr="005D64AE">
        <w:rPr>
          <w:rFonts w:ascii="Sylfaen" w:hAnsi="Sylfaen" w:cs="Sylfaen"/>
          <w:bCs/>
          <w:sz w:val="24"/>
          <w:szCs w:val="24"/>
        </w:rPr>
        <w:t xml:space="preserve"> პრობლემას, რომელიც </w:t>
      </w:r>
      <w:r w:rsidR="00620904" w:rsidRPr="005D64AE">
        <w:rPr>
          <w:rFonts w:ascii="Sylfaen" w:hAnsi="Sylfaen" w:cs="Sylfaen"/>
          <w:bCs/>
          <w:sz w:val="24"/>
          <w:szCs w:val="24"/>
        </w:rPr>
        <w:t>საქმის საკონსტიტუციო სასამართლოს კოლეგიის</w:t>
      </w:r>
      <w:r w:rsidR="00C91C3D">
        <w:rPr>
          <w:rFonts w:ascii="Sylfaen" w:hAnsi="Sylfaen" w:cs="Sylfaen"/>
          <w:bCs/>
          <w:sz w:val="24"/>
          <w:szCs w:val="24"/>
        </w:rPr>
        <w:t xml:space="preserve"> განხილვისგან </w:t>
      </w:r>
      <w:r w:rsidR="00620904" w:rsidRPr="005D64AE">
        <w:rPr>
          <w:rFonts w:ascii="Sylfaen" w:hAnsi="Sylfaen" w:cs="Sylfaen"/>
          <w:bCs/>
          <w:sz w:val="24"/>
          <w:szCs w:val="24"/>
        </w:rPr>
        <w:t xml:space="preserve">ჩამოცილებას და პლენუმის განსჯადობის ფარგლებში გადატანას გაამართლებდა. </w:t>
      </w:r>
      <w:r w:rsidR="00620904" w:rsidRPr="00072612">
        <w:rPr>
          <w:rFonts w:ascii="Sylfaen" w:hAnsi="Sylfaen" w:cs="Sylfaen"/>
          <w:color w:val="000000"/>
          <w:sz w:val="24"/>
          <w:szCs w:val="24"/>
        </w:rPr>
        <w:t>კოლეგიის განსჯადი საქმის პლენუმის მიერ განსახილველად მიღება არ ხდება იმ მოტივაციით, რომ საქმის ფარგლებში შესაფასებელია რეგულაციები, რომელთა მეშვეობითაც</w:t>
      </w:r>
      <w:r w:rsidR="00072612">
        <w:rPr>
          <w:rFonts w:ascii="Sylfaen" w:hAnsi="Sylfaen" w:cs="Sylfaen"/>
          <w:color w:val="000000"/>
          <w:sz w:val="24"/>
          <w:szCs w:val="24"/>
        </w:rPr>
        <w:t>,</w:t>
      </w:r>
      <w:r w:rsidR="00620904" w:rsidRPr="00072612">
        <w:rPr>
          <w:rFonts w:ascii="Sylfaen" w:hAnsi="Sylfaen" w:cs="Sylfaen"/>
          <w:color w:val="000000"/>
          <w:sz w:val="24"/>
          <w:szCs w:val="24"/>
        </w:rPr>
        <w:t xml:space="preserve"> კონკრეტულმა ურთიერთობამ სისტემური ცვლილება განიცადა. </w:t>
      </w:r>
    </w:p>
    <w:p w14:paraId="209D2AAB" w14:textId="21510C10" w:rsidR="00990635" w:rsidRPr="005D64AE" w:rsidRDefault="00620904" w:rsidP="005D64AE">
      <w:pPr>
        <w:pStyle w:val="ListParagraph"/>
        <w:numPr>
          <w:ilvl w:val="0"/>
          <w:numId w:val="1"/>
        </w:numPr>
        <w:spacing w:after="0" w:line="276" w:lineRule="auto"/>
        <w:ind w:left="0" w:firstLine="284"/>
        <w:jc w:val="both"/>
        <w:rPr>
          <w:rFonts w:ascii="Sylfaen" w:hAnsi="Sylfaen" w:cs="Sylfaen"/>
          <w:bCs/>
          <w:sz w:val="24"/>
          <w:szCs w:val="24"/>
        </w:rPr>
      </w:pPr>
      <w:r w:rsidRPr="005D64AE">
        <w:rPr>
          <w:rFonts w:ascii="Sylfaen" w:hAnsi="Sylfaen" w:cs="Sylfaen"/>
          <w:color w:val="000000"/>
          <w:sz w:val="24"/>
          <w:szCs w:val="24"/>
        </w:rPr>
        <w:t xml:space="preserve">მაგალითად, საქართველოს საკონსტიტუციო სასამართლოს, კოლეგიის </w:t>
      </w:r>
      <w:r w:rsidR="001C60B8" w:rsidRPr="005D64AE">
        <w:rPr>
          <w:rFonts w:ascii="Sylfaen" w:hAnsi="Sylfaen" w:cs="Sylfaen"/>
          <w:color w:val="000000"/>
          <w:sz w:val="24"/>
          <w:szCs w:val="24"/>
        </w:rPr>
        <w:t>ფორმატში</w:t>
      </w:r>
      <w:r w:rsidRPr="005D64AE">
        <w:rPr>
          <w:rFonts w:ascii="Sylfaen" w:hAnsi="Sylfaen" w:cs="Sylfaen"/>
          <w:color w:val="000000"/>
          <w:sz w:val="24"/>
          <w:szCs w:val="24"/>
        </w:rPr>
        <w:t xml:space="preserve"> აქვს მიღებული </w:t>
      </w:r>
      <w:r w:rsidR="008F6B8E" w:rsidRPr="005D64AE">
        <w:rPr>
          <w:rFonts w:ascii="Sylfaen" w:hAnsi="Sylfaen" w:cs="Sylfaen"/>
          <w:color w:val="000000"/>
          <w:sz w:val="24"/>
          <w:szCs w:val="24"/>
        </w:rPr>
        <w:t xml:space="preserve">გადაწყვეტილება </w:t>
      </w:r>
      <w:r w:rsidR="008F6B8E" w:rsidRPr="005D64AE">
        <w:rPr>
          <w:rFonts w:ascii="Sylfaen" w:hAnsi="Sylfaen" w:cs="Sylfaen"/>
          <w:bCs/>
          <w:sz w:val="24"/>
          <w:szCs w:val="24"/>
        </w:rPr>
        <w:t>№1673 და №1681 კონსტიტუციურ სარჩელებთან დაკავშირებით, რომლები</w:t>
      </w:r>
      <w:r w:rsidR="001C60B8" w:rsidRPr="005D64AE">
        <w:rPr>
          <w:rFonts w:ascii="Sylfaen" w:hAnsi="Sylfaen" w:cs="Sylfaen"/>
          <w:bCs/>
          <w:sz w:val="24"/>
          <w:szCs w:val="24"/>
        </w:rPr>
        <w:t xml:space="preserve">თ სადავოდ გამხდარი ნორმები, სტრუქტურული ცვლილებების შედეგად, </w:t>
      </w:r>
      <w:r w:rsidR="008F6B8E" w:rsidRPr="005D64AE">
        <w:rPr>
          <w:rFonts w:ascii="Sylfaen" w:hAnsi="Sylfaen" w:cs="Sylfaen"/>
          <w:bCs/>
          <w:sz w:val="24"/>
          <w:szCs w:val="24"/>
        </w:rPr>
        <w:t xml:space="preserve">სახელმწიფო ინსპექტორის სამსახურისა და სახელმწიფო ინსპექტორის/მისი მოადგილეების თანამდებობების გაუქმებას, </w:t>
      </w:r>
      <w:r w:rsidR="001C60B8" w:rsidRPr="005D64AE">
        <w:rPr>
          <w:rFonts w:ascii="Sylfaen" w:hAnsi="Sylfaen" w:cs="Sylfaen"/>
          <w:bCs/>
          <w:sz w:val="24"/>
          <w:szCs w:val="24"/>
        </w:rPr>
        <w:t xml:space="preserve">ისევე, როგორც </w:t>
      </w:r>
      <w:r w:rsidR="00F27EAD" w:rsidRPr="005D64AE">
        <w:rPr>
          <w:rFonts w:ascii="Sylfaen" w:hAnsi="Sylfaen" w:cs="Sylfaen"/>
          <w:bCs/>
          <w:sz w:val="24"/>
          <w:szCs w:val="24"/>
        </w:rPr>
        <w:t>ამ</w:t>
      </w:r>
      <w:r w:rsidR="001C60B8" w:rsidRPr="005D64AE">
        <w:rPr>
          <w:rFonts w:ascii="Sylfaen" w:hAnsi="Sylfaen" w:cs="Sylfaen"/>
          <w:bCs/>
          <w:sz w:val="24"/>
          <w:szCs w:val="24"/>
        </w:rPr>
        <w:t xml:space="preserve"> თანამდებობ</w:t>
      </w:r>
      <w:r w:rsidR="00F27EAD" w:rsidRPr="005D64AE">
        <w:rPr>
          <w:rFonts w:ascii="Sylfaen" w:hAnsi="Sylfaen" w:cs="Sylfaen"/>
          <w:bCs/>
          <w:sz w:val="24"/>
          <w:szCs w:val="24"/>
        </w:rPr>
        <w:t>ებ</w:t>
      </w:r>
      <w:r w:rsidR="001C60B8" w:rsidRPr="005D64AE">
        <w:rPr>
          <w:rFonts w:ascii="Sylfaen" w:hAnsi="Sylfaen" w:cs="Sylfaen"/>
          <w:bCs/>
          <w:sz w:val="24"/>
          <w:szCs w:val="24"/>
        </w:rPr>
        <w:t>ზე განწესებული პირების</w:t>
      </w:r>
      <w:r w:rsidR="00990635" w:rsidRPr="005D64AE">
        <w:rPr>
          <w:rFonts w:ascii="Sylfaen" w:hAnsi="Sylfaen" w:cs="Sylfaen"/>
          <w:bCs/>
          <w:sz w:val="24"/>
          <w:szCs w:val="24"/>
        </w:rPr>
        <w:t>,</w:t>
      </w:r>
      <w:r w:rsidR="001C60B8" w:rsidRPr="005D64AE">
        <w:rPr>
          <w:rFonts w:ascii="Sylfaen" w:hAnsi="Sylfaen" w:cs="Sylfaen"/>
          <w:bCs/>
          <w:sz w:val="24"/>
          <w:szCs w:val="24"/>
        </w:rPr>
        <w:t xml:space="preserve"> უფლებამოსილების ვადის ამოწურვამდე</w:t>
      </w:r>
      <w:r w:rsidR="00990635" w:rsidRPr="005D64AE">
        <w:rPr>
          <w:rFonts w:ascii="Sylfaen" w:hAnsi="Sylfaen" w:cs="Sylfaen"/>
          <w:bCs/>
          <w:sz w:val="24"/>
          <w:szCs w:val="24"/>
        </w:rPr>
        <w:t>,</w:t>
      </w:r>
      <w:r w:rsidR="001C60B8" w:rsidRPr="005D64AE">
        <w:rPr>
          <w:rFonts w:ascii="Sylfaen" w:hAnsi="Sylfaen" w:cs="Sylfaen"/>
          <w:bCs/>
          <w:sz w:val="24"/>
          <w:szCs w:val="24"/>
        </w:rPr>
        <w:t xml:space="preserve"> თანამდებობებიდან გათავისუფლებას ითვალისწინებდა (იხ., საქართველოს საკონსტიტუციო სასამართლოს 2022 წლის 17 ნოემბრის №1/9/1673,1681 გადაწყვეტილება საქმეზე „ლონდა თოლორაია და საქართველოს სახალხო დამცველი საქართველოს პარლამენტის წინააღმდეგ“). </w:t>
      </w:r>
      <w:r w:rsidR="002D78B9">
        <w:rPr>
          <w:rFonts w:ascii="Sylfaen" w:hAnsi="Sylfaen" w:cs="Sylfaen"/>
          <w:bCs/>
          <w:sz w:val="24"/>
          <w:szCs w:val="24"/>
        </w:rPr>
        <w:t xml:space="preserve">მიუხედავად სისტემური </w:t>
      </w:r>
      <w:r w:rsidR="001C60B8" w:rsidRPr="005D64AE">
        <w:rPr>
          <w:rFonts w:ascii="Sylfaen" w:hAnsi="Sylfaen" w:cs="Sylfaen"/>
          <w:bCs/>
          <w:sz w:val="24"/>
          <w:szCs w:val="24"/>
        </w:rPr>
        <w:t>ინსტიტუციური ცვლილებისა, მოცემულ შემთხვევაში, საქმე განიხილა საკონსტიტუციო სასამართლოს კოლეგიამ, რაც ცხადად წარმოაჩენს</w:t>
      </w:r>
      <w:r w:rsidR="00990635" w:rsidRPr="005D64AE">
        <w:rPr>
          <w:rFonts w:ascii="Sylfaen" w:hAnsi="Sylfaen" w:cs="Sylfaen"/>
          <w:bCs/>
          <w:sz w:val="24"/>
          <w:szCs w:val="24"/>
        </w:rPr>
        <w:t xml:space="preserve">, </w:t>
      </w:r>
      <w:r w:rsidR="001C60B8" w:rsidRPr="005D64AE">
        <w:rPr>
          <w:rFonts w:ascii="Sylfaen" w:hAnsi="Sylfaen" w:cs="Sylfaen"/>
          <w:bCs/>
          <w:sz w:val="24"/>
          <w:szCs w:val="24"/>
        </w:rPr>
        <w:t xml:space="preserve">რომ </w:t>
      </w:r>
      <w:r w:rsidR="006B7071">
        <w:rPr>
          <w:rFonts w:ascii="Sylfaen" w:hAnsi="Sylfaen" w:cs="Sylfaen"/>
          <w:bCs/>
          <w:sz w:val="24"/>
          <w:szCs w:val="24"/>
        </w:rPr>
        <w:t xml:space="preserve">სამართლებრივი ურთიერთობის </w:t>
      </w:r>
      <w:r w:rsidR="008F6B8E" w:rsidRPr="005D64AE">
        <w:rPr>
          <w:rFonts w:ascii="Sylfaen" w:hAnsi="Sylfaen" w:cs="Sylfaen"/>
          <w:bCs/>
          <w:sz w:val="24"/>
          <w:szCs w:val="24"/>
        </w:rPr>
        <w:t>სისტემური ცვლილება</w:t>
      </w:r>
      <w:r w:rsidR="00ED3EBC">
        <w:rPr>
          <w:rFonts w:ascii="Sylfaen" w:hAnsi="Sylfaen" w:cs="Sylfaen"/>
          <w:bCs/>
          <w:sz w:val="24"/>
          <w:szCs w:val="24"/>
        </w:rPr>
        <w:t>,</w:t>
      </w:r>
      <w:r w:rsidR="008F6B8E" w:rsidRPr="005D64AE">
        <w:rPr>
          <w:rFonts w:ascii="Sylfaen" w:hAnsi="Sylfaen" w:cs="Sylfaen"/>
          <w:bCs/>
          <w:sz w:val="24"/>
          <w:szCs w:val="24"/>
        </w:rPr>
        <w:t xml:space="preserve"> თავისთავად</w:t>
      </w:r>
      <w:r w:rsidR="00ED3EBC">
        <w:rPr>
          <w:rFonts w:ascii="Sylfaen" w:hAnsi="Sylfaen" w:cs="Sylfaen"/>
          <w:bCs/>
          <w:sz w:val="24"/>
          <w:szCs w:val="24"/>
        </w:rPr>
        <w:t>,</w:t>
      </w:r>
      <w:r w:rsidR="008F6B8E" w:rsidRPr="005D64AE">
        <w:rPr>
          <w:rFonts w:ascii="Sylfaen" w:hAnsi="Sylfaen" w:cs="Sylfaen"/>
          <w:bCs/>
          <w:sz w:val="24"/>
          <w:szCs w:val="24"/>
        </w:rPr>
        <w:t xml:space="preserve"> არ წარმოადგენს </w:t>
      </w:r>
      <w:r w:rsidR="001C60B8" w:rsidRPr="005D64AE">
        <w:rPr>
          <w:rFonts w:ascii="Sylfaen" w:hAnsi="Sylfaen" w:cs="Sylfaen"/>
          <w:bCs/>
          <w:sz w:val="24"/>
          <w:szCs w:val="24"/>
        </w:rPr>
        <w:t xml:space="preserve">საქმის </w:t>
      </w:r>
      <w:r w:rsidR="008F6B8E" w:rsidRPr="005D64AE">
        <w:rPr>
          <w:rFonts w:ascii="Sylfaen" w:hAnsi="Sylfaen" w:cs="Sylfaen"/>
          <w:bCs/>
          <w:sz w:val="24"/>
          <w:szCs w:val="24"/>
        </w:rPr>
        <w:t>პლენუმზე</w:t>
      </w:r>
      <w:r w:rsidR="001C60B8" w:rsidRPr="005D64AE">
        <w:rPr>
          <w:rFonts w:ascii="Sylfaen" w:hAnsi="Sylfaen" w:cs="Sylfaen"/>
          <w:bCs/>
          <w:sz w:val="24"/>
          <w:szCs w:val="24"/>
        </w:rPr>
        <w:t xml:space="preserve"> განსახილველად</w:t>
      </w:r>
      <w:r w:rsidR="008F6B8E" w:rsidRPr="005D64AE">
        <w:rPr>
          <w:rFonts w:ascii="Sylfaen" w:hAnsi="Sylfaen" w:cs="Sylfaen"/>
          <w:bCs/>
          <w:sz w:val="24"/>
          <w:szCs w:val="24"/>
        </w:rPr>
        <w:t xml:space="preserve"> გადაცემის საფუძველს და საკმარისი არ არის </w:t>
      </w:r>
      <w:r w:rsidR="001C60B8" w:rsidRPr="005D64AE">
        <w:rPr>
          <w:rFonts w:ascii="Sylfaen" w:hAnsi="Sylfaen" w:cs="Sylfaen"/>
          <w:bCs/>
          <w:sz w:val="24"/>
          <w:szCs w:val="24"/>
        </w:rPr>
        <w:t xml:space="preserve">მისთვის </w:t>
      </w:r>
      <w:r w:rsidR="008F6B8E" w:rsidRPr="005D64AE">
        <w:rPr>
          <w:rFonts w:ascii="Sylfaen" w:hAnsi="Sylfaen" w:cs="Sylfaen"/>
          <w:bCs/>
          <w:sz w:val="24"/>
          <w:szCs w:val="24"/>
        </w:rPr>
        <w:t>იშვიათი ან</w:t>
      </w:r>
      <w:r w:rsidR="00072612">
        <w:rPr>
          <w:rFonts w:ascii="Sylfaen" w:hAnsi="Sylfaen" w:cs="Sylfaen"/>
          <w:bCs/>
          <w:sz w:val="24"/>
          <w:szCs w:val="24"/>
        </w:rPr>
        <w:t>/და</w:t>
      </w:r>
      <w:r w:rsidR="008F6B8E" w:rsidRPr="005D64AE">
        <w:rPr>
          <w:rFonts w:ascii="Sylfaen" w:hAnsi="Sylfaen" w:cs="Sylfaen"/>
          <w:bCs/>
          <w:sz w:val="24"/>
          <w:szCs w:val="24"/>
        </w:rPr>
        <w:t xml:space="preserve"> განსაკუთრებით მნიშვნელოვანი </w:t>
      </w:r>
      <w:proofErr w:type="spellStart"/>
      <w:r w:rsidR="008F6B8E" w:rsidRPr="005D64AE">
        <w:rPr>
          <w:rFonts w:ascii="Sylfaen" w:hAnsi="Sylfaen" w:cs="Sylfaen"/>
          <w:bCs/>
          <w:sz w:val="24"/>
          <w:szCs w:val="24"/>
        </w:rPr>
        <w:t>კონსტიტუციურსამართლებრივი</w:t>
      </w:r>
      <w:proofErr w:type="spellEnd"/>
      <w:r w:rsidR="008F6B8E" w:rsidRPr="005D64AE">
        <w:rPr>
          <w:rFonts w:ascii="Sylfaen" w:hAnsi="Sylfaen" w:cs="Sylfaen"/>
          <w:bCs/>
          <w:sz w:val="24"/>
          <w:szCs w:val="24"/>
        </w:rPr>
        <w:t xml:space="preserve"> პრობლემის სტატუსი</w:t>
      </w:r>
      <w:r w:rsidR="001C60B8" w:rsidRPr="005D64AE">
        <w:rPr>
          <w:rFonts w:ascii="Sylfaen" w:hAnsi="Sylfaen" w:cs="Sylfaen"/>
          <w:bCs/>
          <w:sz w:val="24"/>
          <w:szCs w:val="24"/>
        </w:rPr>
        <w:t>ს</w:t>
      </w:r>
      <w:r w:rsidR="008F6B8E" w:rsidRPr="005D64AE">
        <w:rPr>
          <w:rFonts w:ascii="Sylfaen" w:hAnsi="Sylfaen" w:cs="Sylfaen"/>
          <w:bCs/>
          <w:sz w:val="24"/>
          <w:szCs w:val="24"/>
        </w:rPr>
        <w:t xml:space="preserve"> </w:t>
      </w:r>
      <w:r w:rsidR="001C60B8" w:rsidRPr="005D64AE">
        <w:rPr>
          <w:rFonts w:ascii="Sylfaen" w:hAnsi="Sylfaen" w:cs="Sylfaen"/>
          <w:bCs/>
          <w:sz w:val="24"/>
          <w:szCs w:val="24"/>
        </w:rPr>
        <w:t>მისანიჭებლად.</w:t>
      </w:r>
    </w:p>
    <w:p w14:paraId="4A79B930" w14:textId="701FC7F0" w:rsidR="00990635" w:rsidRPr="005D64AE" w:rsidRDefault="00990635" w:rsidP="005D64AE">
      <w:pPr>
        <w:pStyle w:val="ListParagraph"/>
        <w:numPr>
          <w:ilvl w:val="0"/>
          <w:numId w:val="1"/>
        </w:numPr>
        <w:spacing w:after="0" w:line="276" w:lineRule="auto"/>
        <w:ind w:left="0" w:firstLine="284"/>
        <w:jc w:val="both"/>
        <w:rPr>
          <w:rFonts w:ascii="Sylfaen" w:hAnsi="Sylfaen" w:cs="Sylfaen"/>
          <w:bCs/>
          <w:sz w:val="24"/>
          <w:szCs w:val="24"/>
        </w:rPr>
      </w:pPr>
      <w:r w:rsidRPr="005D64AE">
        <w:rPr>
          <w:rFonts w:ascii="Sylfaen" w:hAnsi="Sylfaen" w:cs="Sylfaen"/>
          <w:bCs/>
          <w:sz w:val="24"/>
          <w:szCs w:val="24"/>
        </w:rPr>
        <w:lastRenderedPageBreak/>
        <w:t>ამავე ჭრილში, კიდევ ერთი არგუმენტი, რომელსაც</w:t>
      </w:r>
      <w:r w:rsidR="001C60B8" w:rsidRPr="005D64AE">
        <w:rPr>
          <w:rFonts w:ascii="Sylfaen" w:hAnsi="Sylfaen" w:cs="Sylfaen"/>
          <w:bCs/>
          <w:sz w:val="24"/>
          <w:szCs w:val="24"/>
        </w:rPr>
        <w:t xml:space="preserve"> </w:t>
      </w:r>
      <w:r w:rsidR="008974D9">
        <w:rPr>
          <w:rFonts w:ascii="Sylfaen" w:hAnsi="Sylfaen" w:cs="Sylfaen"/>
          <w:bCs/>
          <w:sz w:val="24"/>
          <w:szCs w:val="24"/>
        </w:rPr>
        <w:t>წინამდებარე</w:t>
      </w:r>
      <w:r w:rsidR="00C95BDD">
        <w:rPr>
          <w:rFonts w:ascii="Sylfaen" w:hAnsi="Sylfaen" w:cs="Sylfaen"/>
          <w:bCs/>
          <w:sz w:val="24"/>
          <w:szCs w:val="24"/>
        </w:rPr>
        <w:t xml:space="preserve"> საქმეების</w:t>
      </w:r>
      <w:r w:rsidRPr="005D64AE">
        <w:rPr>
          <w:rFonts w:ascii="Sylfaen" w:hAnsi="Sylfaen" w:cs="Sylfaen"/>
          <w:bCs/>
          <w:sz w:val="24"/>
          <w:szCs w:val="24"/>
        </w:rPr>
        <w:t xml:space="preserve"> პლენუმზე განსახილველად მიღების შესახებ საოქმო ჩანაწერი ეფუძნება, შეეხება იმას, რომ საჯარო სამსახურის კონცეფციის მნიშვნელოვანი ცვლილებები შესაძლოა</w:t>
      </w:r>
      <w:r w:rsidR="00535557" w:rsidRPr="005D64AE">
        <w:rPr>
          <w:rFonts w:ascii="Sylfaen" w:hAnsi="Sylfaen" w:cs="Sylfaen"/>
          <w:bCs/>
          <w:sz w:val="24"/>
          <w:szCs w:val="24"/>
        </w:rPr>
        <w:t>,</w:t>
      </w:r>
      <w:r w:rsidRPr="005D64AE">
        <w:rPr>
          <w:rFonts w:ascii="Sylfaen" w:hAnsi="Sylfaen" w:cs="Sylfaen"/>
          <w:bCs/>
          <w:sz w:val="24"/>
          <w:szCs w:val="24"/>
        </w:rPr>
        <w:t xml:space="preserve"> ეჭვქვეშ აყენებდეს საჯარო სამსახურის მოქმედი სამართლებრივი მოდელის</w:t>
      </w:r>
      <w:r w:rsidR="00BC43E9">
        <w:rPr>
          <w:rFonts w:ascii="Sylfaen" w:hAnsi="Sylfaen" w:cs="Sylfaen"/>
          <w:bCs/>
          <w:sz w:val="24"/>
          <w:szCs w:val="24"/>
        </w:rPr>
        <w:t xml:space="preserve"> კონსტიტუციურობას</w:t>
      </w:r>
      <w:r w:rsidRPr="005D64AE">
        <w:rPr>
          <w:rFonts w:ascii="Sylfaen" w:hAnsi="Sylfaen" w:cs="Sylfaen"/>
          <w:bCs/>
          <w:sz w:val="24"/>
          <w:szCs w:val="24"/>
        </w:rPr>
        <w:t>, რაც, მოითხოვს სკრუპულოზურ შემოწმებას საქართველოს კონსტიტუციის სხვადასხვა მუხლთან მიმართებით.</w:t>
      </w:r>
      <w:r w:rsidR="00535557" w:rsidRPr="005D64AE">
        <w:rPr>
          <w:rFonts w:ascii="Sylfaen" w:hAnsi="Sylfaen" w:cs="Sylfaen"/>
          <w:bCs/>
          <w:sz w:val="24"/>
          <w:szCs w:val="24"/>
        </w:rPr>
        <w:t xml:space="preserve"> </w:t>
      </w:r>
    </w:p>
    <w:p w14:paraId="2DBCAF90" w14:textId="60480843" w:rsidR="009477D8" w:rsidRPr="005D64AE" w:rsidRDefault="00054B08" w:rsidP="005D64AE">
      <w:pPr>
        <w:pStyle w:val="ListParagraph"/>
        <w:numPr>
          <w:ilvl w:val="0"/>
          <w:numId w:val="1"/>
        </w:numPr>
        <w:spacing w:after="0" w:line="276" w:lineRule="auto"/>
        <w:ind w:left="0" w:firstLine="284"/>
        <w:jc w:val="both"/>
        <w:rPr>
          <w:rFonts w:ascii="Sylfaen" w:hAnsi="Sylfaen" w:cs="Sylfaen"/>
          <w:bCs/>
          <w:sz w:val="24"/>
          <w:szCs w:val="24"/>
        </w:rPr>
      </w:pPr>
      <w:r w:rsidRPr="005D64AE">
        <w:rPr>
          <w:rFonts w:ascii="Sylfaen" w:hAnsi="Sylfaen" w:cs="Sylfaen"/>
          <w:bCs/>
          <w:sz w:val="24"/>
          <w:szCs w:val="24"/>
        </w:rPr>
        <w:t>მივიჩნევთ, რომ საკონსტიტუციო სასამართლოს კოლეგიის განსჯადი საქმის პლენუმის მიერ განსახილველად მიღება სადავო ნორმების</w:t>
      </w:r>
      <w:r w:rsidR="008974D9">
        <w:rPr>
          <w:rFonts w:ascii="Sylfaen" w:hAnsi="Sylfaen" w:cs="Sylfaen"/>
          <w:bCs/>
          <w:sz w:val="24"/>
          <w:szCs w:val="24"/>
        </w:rPr>
        <w:t xml:space="preserve">, მათ </w:t>
      </w:r>
      <w:r w:rsidRPr="005D64AE">
        <w:rPr>
          <w:rFonts w:ascii="Sylfaen" w:hAnsi="Sylfaen" w:cs="Sylfaen"/>
          <w:bCs/>
          <w:sz w:val="24"/>
          <w:szCs w:val="24"/>
        </w:rPr>
        <w:t xml:space="preserve">საფუძველზე ჩამოყალიბებული კონკრეტული სამართლებრივი სისტემის </w:t>
      </w:r>
      <w:r w:rsidR="00974BDA" w:rsidRPr="005D64AE">
        <w:rPr>
          <w:rFonts w:ascii="Sylfaen" w:hAnsi="Sylfaen" w:cs="Sylfaen"/>
          <w:bCs/>
          <w:sz w:val="24"/>
          <w:szCs w:val="24"/>
        </w:rPr>
        <w:t xml:space="preserve">სხვადასხვა </w:t>
      </w:r>
      <w:r w:rsidRPr="005D64AE">
        <w:rPr>
          <w:rFonts w:ascii="Sylfaen" w:hAnsi="Sylfaen" w:cs="Sylfaen"/>
          <w:bCs/>
          <w:sz w:val="24"/>
          <w:szCs w:val="24"/>
        </w:rPr>
        <w:t>კონსტიტუციურ უფლებრივ გარანტი</w:t>
      </w:r>
      <w:r w:rsidR="00974BDA" w:rsidRPr="005D64AE">
        <w:rPr>
          <w:rFonts w:ascii="Sylfaen" w:hAnsi="Sylfaen" w:cs="Sylfaen"/>
          <w:bCs/>
          <w:sz w:val="24"/>
          <w:szCs w:val="24"/>
        </w:rPr>
        <w:t>ასთან</w:t>
      </w:r>
      <w:r w:rsidRPr="005D64AE">
        <w:rPr>
          <w:rFonts w:ascii="Sylfaen" w:hAnsi="Sylfaen" w:cs="Sylfaen"/>
          <w:bCs/>
          <w:sz w:val="24"/>
          <w:szCs w:val="24"/>
        </w:rPr>
        <w:t xml:space="preserve"> შესაძლო შეუთავსებლობის სკრუპულოზური შემოწმების საჭიროების მოტივით, ცალსახად, </w:t>
      </w:r>
      <w:r w:rsidR="00500901" w:rsidRPr="005D64AE">
        <w:rPr>
          <w:rFonts w:ascii="Sylfaen" w:hAnsi="Sylfaen" w:cs="Sylfaen"/>
          <w:bCs/>
          <w:sz w:val="24"/>
          <w:szCs w:val="24"/>
        </w:rPr>
        <w:t>არ შეესაბამება</w:t>
      </w:r>
      <w:r w:rsidR="008B3A79" w:rsidRPr="005D64AE">
        <w:rPr>
          <w:rFonts w:ascii="Sylfaen" w:hAnsi="Sylfaen" w:cs="Sylfaen"/>
          <w:bCs/>
          <w:sz w:val="24"/>
          <w:szCs w:val="24"/>
        </w:rPr>
        <w:t xml:space="preserve"> საკონსტიტუციო სასამართლოს კოლეგიის განსჯადი საქმის პლენუმზე განსახილველად გა</w:t>
      </w:r>
      <w:r w:rsidR="00FC3E78">
        <w:rPr>
          <w:rFonts w:ascii="Sylfaen" w:hAnsi="Sylfaen" w:cs="Sylfaen"/>
          <w:bCs/>
          <w:sz w:val="24"/>
          <w:szCs w:val="24"/>
        </w:rPr>
        <w:t>დ</w:t>
      </w:r>
      <w:r w:rsidR="008B3A79" w:rsidRPr="005D64AE">
        <w:rPr>
          <w:rFonts w:ascii="Sylfaen" w:hAnsi="Sylfaen" w:cs="Sylfaen"/>
          <w:bCs/>
          <w:sz w:val="24"/>
          <w:szCs w:val="24"/>
        </w:rPr>
        <w:t>აცემის</w:t>
      </w:r>
      <w:r w:rsidR="00411045" w:rsidRPr="005D64AE">
        <w:rPr>
          <w:rFonts w:ascii="Sylfaen" w:hAnsi="Sylfaen" w:cs="Sylfaen"/>
          <w:bCs/>
          <w:sz w:val="24"/>
          <w:szCs w:val="24"/>
        </w:rPr>
        <w:t xml:space="preserve"> </w:t>
      </w:r>
      <w:r w:rsidR="00500901" w:rsidRPr="005D64AE">
        <w:rPr>
          <w:rFonts w:ascii="Sylfaen" w:hAnsi="Sylfaen" w:cs="Sylfaen"/>
          <w:bCs/>
          <w:sz w:val="24"/>
          <w:szCs w:val="24"/>
        </w:rPr>
        <w:t>საქართველოს კანონმდებლობით</w:t>
      </w:r>
      <w:r w:rsidR="00411045" w:rsidRPr="005D64AE">
        <w:rPr>
          <w:rFonts w:ascii="Sylfaen" w:hAnsi="Sylfaen" w:cs="Sylfaen"/>
          <w:bCs/>
          <w:sz w:val="24"/>
          <w:szCs w:val="24"/>
        </w:rPr>
        <w:t xml:space="preserve"> </w:t>
      </w:r>
      <w:r w:rsidR="00500901" w:rsidRPr="005D64AE">
        <w:rPr>
          <w:rFonts w:ascii="Sylfaen" w:hAnsi="Sylfaen" w:cs="Sylfaen"/>
          <w:bCs/>
          <w:sz w:val="24"/>
          <w:szCs w:val="24"/>
        </w:rPr>
        <w:t xml:space="preserve">გათვალისწინებულ საფუძვლებს, </w:t>
      </w:r>
      <w:r w:rsidRPr="005D64AE">
        <w:rPr>
          <w:rFonts w:ascii="Sylfaen" w:hAnsi="Sylfaen" w:cs="Sylfaen"/>
          <w:bCs/>
          <w:sz w:val="24"/>
          <w:szCs w:val="24"/>
        </w:rPr>
        <w:t xml:space="preserve">არღვევს მექანიზმის საგამონაკლისო ხასიათს და, იმავდროულად, აკნინებს საკონსტიტუციო სასამართლოს კოლეგიის მიერ საკონსტიტუციო კონტროლის განხორციელების კომპეტენციას. </w:t>
      </w:r>
    </w:p>
    <w:p w14:paraId="4DD43AD5" w14:textId="520EEEF3" w:rsidR="009477D8" w:rsidRPr="0002471E" w:rsidRDefault="008974D9" w:rsidP="0002471E">
      <w:pPr>
        <w:pStyle w:val="ListParagraph"/>
        <w:numPr>
          <w:ilvl w:val="0"/>
          <w:numId w:val="1"/>
        </w:numPr>
        <w:spacing w:after="0" w:line="276" w:lineRule="auto"/>
        <w:ind w:left="0" w:firstLine="284"/>
        <w:jc w:val="both"/>
        <w:rPr>
          <w:rFonts w:ascii="Sylfaen" w:hAnsi="Sylfaen" w:cs="Sylfaen"/>
          <w:bCs/>
          <w:sz w:val="24"/>
          <w:szCs w:val="24"/>
        </w:rPr>
      </w:pPr>
      <w:r>
        <w:rPr>
          <w:rFonts w:ascii="Sylfaen" w:hAnsi="Sylfaen" w:cs="Sylfaen"/>
          <w:bCs/>
          <w:sz w:val="24"/>
          <w:szCs w:val="24"/>
        </w:rPr>
        <w:t>საკონსტიტუციო სასამართლოს საქმიანობის მომწესრიგებელი კანონმდებლობის მიხედვით,</w:t>
      </w:r>
      <w:r w:rsidR="00054B08" w:rsidRPr="005D64AE">
        <w:rPr>
          <w:rFonts w:ascii="Sylfaen" w:hAnsi="Sylfaen" w:cs="Sylfaen"/>
          <w:bCs/>
          <w:sz w:val="24"/>
          <w:szCs w:val="24"/>
        </w:rPr>
        <w:t xml:space="preserve"> საკონსტიტუციო სასამართლოს კოლეგია, საკუთარ განსჯადობას მიკუთვნებული საქმეების განხილვისა და </w:t>
      </w:r>
      <w:r>
        <w:rPr>
          <w:rFonts w:ascii="Sylfaen" w:hAnsi="Sylfaen" w:cs="Sylfaen"/>
          <w:bCs/>
          <w:sz w:val="24"/>
          <w:szCs w:val="24"/>
        </w:rPr>
        <w:t>გადაწყვეტისას,</w:t>
      </w:r>
      <w:r w:rsidR="00054B08" w:rsidRPr="005D64AE">
        <w:rPr>
          <w:rFonts w:ascii="Sylfaen" w:hAnsi="Sylfaen" w:cs="Sylfaen"/>
          <w:bCs/>
          <w:sz w:val="24"/>
          <w:szCs w:val="24"/>
        </w:rPr>
        <w:t xml:space="preserve"> მოქმედებს როგორც საკონსტიტუციო სასამართლო. </w:t>
      </w:r>
      <w:r w:rsidR="001300AA" w:rsidRPr="005D64AE">
        <w:rPr>
          <w:rFonts w:ascii="Sylfaen" w:hAnsi="Sylfaen" w:cs="Sylfaen"/>
          <w:bCs/>
          <w:sz w:val="24"/>
          <w:szCs w:val="24"/>
        </w:rPr>
        <w:t xml:space="preserve">ამასთანავე, </w:t>
      </w:r>
      <w:r w:rsidR="0002471E" w:rsidRPr="0002471E">
        <w:rPr>
          <w:rFonts w:ascii="Sylfaen" w:hAnsi="Sylfaen" w:cs="Sylfaen"/>
          <w:bCs/>
          <w:sz w:val="24"/>
          <w:szCs w:val="24"/>
        </w:rPr>
        <w:t>ძირითადი კონსტიტუციური პრინციპებისა თუ უფლებრივი გარანტიების ჭრილში,</w:t>
      </w:r>
      <w:r w:rsidR="0002471E">
        <w:rPr>
          <w:rFonts w:ascii="Sylfaen" w:hAnsi="Sylfaen" w:cs="Sylfaen"/>
          <w:bCs/>
          <w:sz w:val="24"/>
          <w:szCs w:val="24"/>
        </w:rPr>
        <w:t xml:space="preserve"> </w:t>
      </w:r>
      <w:r w:rsidR="002126A3" w:rsidRPr="0002471E">
        <w:rPr>
          <w:rFonts w:ascii="Sylfaen" w:hAnsi="Sylfaen" w:cs="Sylfaen"/>
          <w:bCs/>
          <w:sz w:val="24"/>
          <w:szCs w:val="24"/>
        </w:rPr>
        <w:t xml:space="preserve">სადავო ნორმის კონსტიტუციურობის </w:t>
      </w:r>
      <w:r w:rsidR="00901B41" w:rsidRPr="0002471E">
        <w:rPr>
          <w:rFonts w:ascii="Sylfaen" w:hAnsi="Sylfaen" w:cs="Sylfaen"/>
          <w:bCs/>
          <w:sz w:val="24"/>
          <w:szCs w:val="24"/>
        </w:rPr>
        <w:t xml:space="preserve">„სკრუპულოზური“ </w:t>
      </w:r>
      <w:r w:rsidR="002126A3" w:rsidRPr="0002471E">
        <w:rPr>
          <w:rFonts w:ascii="Sylfaen" w:hAnsi="Sylfaen" w:cs="Sylfaen"/>
          <w:bCs/>
          <w:sz w:val="24"/>
          <w:szCs w:val="24"/>
        </w:rPr>
        <w:t xml:space="preserve">შემოწმება და, საჭიროების შემთხვევაში, არაკონსტიტუციურად ცნობა საკონსტიტუციო სასამართლოს კოლეგიის მიერ საკონსტიტუციო კონტროლის განხორციელების იმანენტური მახასიათებელია. </w:t>
      </w:r>
      <w:r w:rsidR="001A1401" w:rsidRPr="0002471E">
        <w:rPr>
          <w:rFonts w:ascii="Sylfaen" w:hAnsi="Sylfaen" w:cs="Sylfaen"/>
          <w:bCs/>
          <w:sz w:val="24"/>
          <w:szCs w:val="24"/>
        </w:rPr>
        <w:t xml:space="preserve">საქმეთა ანალიზის მსგავსი მასშტაბი და ხარისხი, ბუნებრივია, საკონსტიტუციო სასამართლოს პლენუმის ექსკლუზივს არ წარმოადგენს </w:t>
      </w:r>
      <w:r w:rsidR="00901B41" w:rsidRPr="0002471E">
        <w:rPr>
          <w:rFonts w:ascii="Sylfaen" w:hAnsi="Sylfaen" w:cs="Sylfaen"/>
          <w:bCs/>
          <w:sz w:val="24"/>
          <w:szCs w:val="24"/>
        </w:rPr>
        <w:t xml:space="preserve">– </w:t>
      </w:r>
      <w:r w:rsidR="001A1401" w:rsidRPr="0002471E">
        <w:rPr>
          <w:rFonts w:ascii="Sylfaen" w:hAnsi="Sylfaen" w:cs="Sylfaen"/>
          <w:bCs/>
          <w:sz w:val="24"/>
          <w:szCs w:val="24"/>
        </w:rPr>
        <w:t xml:space="preserve">საკითხისადმი </w:t>
      </w:r>
      <w:r w:rsidR="00901B41" w:rsidRPr="0002471E">
        <w:rPr>
          <w:rFonts w:ascii="Sylfaen" w:hAnsi="Sylfaen" w:cs="Sylfaen"/>
          <w:bCs/>
          <w:sz w:val="24"/>
          <w:szCs w:val="24"/>
        </w:rPr>
        <w:t>ამგვარი</w:t>
      </w:r>
      <w:r w:rsidR="001A1401" w:rsidRPr="0002471E">
        <w:rPr>
          <w:rFonts w:ascii="Sylfaen" w:hAnsi="Sylfaen" w:cs="Sylfaen"/>
          <w:bCs/>
          <w:sz w:val="24"/>
          <w:szCs w:val="24"/>
        </w:rPr>
        <w:t xml:space="preserve"> მიდგომა საკონსტიტუციო სასამართლოს კოლეგიების ყოველდღიური და რუტინული საქმიანობაცაა. </w:t>
      </w:r>
      <w:r w:rsidR="00901B41" w:rsidRPr="0002471E">
        <w:rPr>
          <w:rFonts w:ascii="Sylfaen" w:hAnsi="Sylfaen" w:cs="Sylfaen"/>
          <w:bCs/>
          <w:sz w:val="24"/>
          <w:szCs w:val="24"/>
        </w:rPr>
        <w:t>ნებისმიერ საქმეზე მიმდინარე საკონსტიტუციო სამართალწარმოების ფარგლებში,</w:t>
      </w:r>
      <w:r w:rsidR="00974BDA" w:rsidRPr="0002471E">
        <w:rPr>
          <w:rFonts w:ascii="Sylfaen" w:hAnsi="Sylfaen" w:cs="Sylfaen"/>
          <w:bCs/>
          <w:sz w:val="24"/>
          <w:szCs w:val="24"/>
        </w:rPr>
        <w:t xml:space="preserve"> </w:t>
      </w:r>
      <w:r w:rsidR="00901B41" w:rsidRPr="0002471E">
        <w:rPr>
          <w:rFonts w:ascii="Sylfaen" w:hAnsi="Sylfaen" w:cs="Sylfaen"/>
          <w:bCs/>
          <w:sz w:val="24"/>
          <w:szCs w:val="24"/>
        </w:rPr>
        <w:t>საკონსტიტუციო სასამართლოს თითოეული მოსამართლის პასუხისმგებლობას წარმოადგენს</w:t>
      </w:r>
      <w:r w:rsidR="00974BDA" w:rsidRPr="0002471E">
        <w:rPr>
          <w:rFonts w:ascii="Sylfaen" w:hAnsi="Sylfaen" w:cs="Sylfaen"/>
          <w:bCs/>
          <w:sz w:val="24"/>
          <w:szCs w:val="24"/>
        </w:rPr>
        <w:t>,</w:t>
      </w:r>
      <w:r w:rsidR="00901B41" w:rsidRPr="0002471E">
        <w:rPr>
          <w:rFonts w:ascii="Sylfaen" w:hAnsi="Sylfaen" w:cs="Sylfaen"/>
          <w:bCs/>
          <w:sz w:val="24"/>
          <w:szCs w:val="24"/>
        </w:rPr>
        <w:t xml:space="preserve"> რაოდენობითი თუ თვისებრივი თვალსაზრისით, სხვადასხვა ფაქტობრივი თუ სამართლებრივი</w:t>
      </w:r>
      <w:r w:rsidR="001A1401" w:rsidRPr="0002471E">
        <w:rPr>
          <w:rFonts w:ascii="Sylfaen" w:hAnsi="Sylfaen" w:cs="Sylfaen"/>
          <w:bCs/>
          <w:sz w:val="24"/>
          <w:szCs w:val="24"/>
        </w:rPr>
        <w:t xml:space="preserve"> საკითხის საფუძვლიან</w:t>
      </w:r>
      <w:r w:rsidR="00974BDA" w:rsidRPr="0002471E">
        <w:rPr>
          <w:rFonts w:ascii="Sylfaen" w:hAnsi="Sylfaen" w:cs="Sylfaen"/>
          <w:bCs/>
          <w:sz w:val="24"/>
          <w:szCs w:val="24"/>
        </w:rPr>
        <w:t>ი</w:t>
      </w:r>
      <w:r w:rsidR="001A1401" w:rsidRPr="0002471E">
        <w:rPr>
          <w:rFonts w:ascii="Sylfaen" w:hAnsi="Sylfaen" w:cs="Sylfaen"/>
          <w:bCs/>
          <w:sz w:val="24"/>
          <w:szCs w:val="24"/>
        </w:rPr>
        <w:t xml:space="preserve"> გამოკვლევა, საკანონმდებლო სივრცის ანალიზი</w:t>
      </w:r>
      <w:r w:rsidR="00974BDA" w:rsidRPr="0002471E">
        <w:rPr>
          <w:rFonts w:ascii="Sylfaen" w:hAnsi="Sylfaen" w:cs="Sylfaen"/>
          <w:bCs/>
          <w:sz w:val="24"/>
          <w:szCs w:val="24"/>
        </w:rPr>
        <w:t xml:space="preserve">, </w:t>
      </w:r>
      <w:r w:rsidR="001A1401" w:rsidRPr="0002471E">
        <w:rPr>
          <w:rFonts w:ascii="Sylfaen" w:hAnsi="Sylfaen" w:cs="Sylfaen"/>
          <w:bCs/>
          <w:sz w:val="24"/>
          <w:szCs w:val="24"/>
        </w:rPr>
        <w:t>სისტემური შეფასება</w:t>
      </w:r>
      <w:r w:rsidR="00974BDA" w:rsidRPr="0002471E">
        <w:rPr>
          <w:rFonts w:ascii="Sylfaen" w:hAnsi="Sylfaen" w:cs="Sylfaen"/>
          <w:bCs/>
          <w:sz w:val="24"/>
          <w:szCs w:val="24"/>
        </w:rPr>
        <w:t xml:space="preserve">, სადავო ნორმის გამოყენების პრაქტიკის მხედველობაში მიღება, კონსტიტუციური ნორმის შინაარსის დადგენა და სხვ.. </w:t>
      </w:r>
      <w:r w:rsidR="00A04C59" w:rsidRPr="0002471E">
        <w:rPr>
          <w:rFonts w:ascii="Sylfaen" w:hAnsi="Sylfaen" w:cs="Sylfaen"/>
          <w:bCs/>
          <w:sz w:val="24"/>
          <w:szCs w:val="24"/>
        </w:rPr>
        <w:t>საპირისპირო</w:t>
      </w:r>
      <w:r w:rsidR="001A1401" w:rsidRPr="0002471E">
        <w:rPr>
          <w:rFonts w:ascii="Sylfaen" w:hAnsi="Sylfaen" w:cs="Sylfaen"/>
          <w:bCs/>
          <w:sz w:val="24"/>
          <w:szCs w:val="24"/>
        </w:rPr>
        <w:t xml:space="preserve"> დასკვნის გაკეთება, ცხადია, ეჭვქვეშ დააყენებდა </w:t>
      </w:r>
      <w:r w:rsidR="00974BDA" w:rsidRPr="0002471E">
        <w:rPr>
          <w:rFonts w:ascii="Sylfaen" w:hAnsi="Sylfaen" w:cs="Sylfaen"/>
          <w:bCs/>
          <w:sz w:val="24"/>
          <w:szCs w:val="24"/>
        </w:rPr>
        <w:t xml:space="preserve">საკონსტიტუციო სასამართლოს </w:t>
      </w:r>
      <w:r w:rsidR="001A1401" w:rsidRPr="0002471E">
        <w:rPr>
          <w:rFonts w:ascii="Sylfaen" w:hAnsi="Sylfaen" w:cs="Sylfaen"/>
          <w:bCs/>
          <w:sz w:val="24"/>
          <w:szCs w:val="24"/>
        </w:rPr>
        <w:t>კოლეგიების მიერ მიღებული თუ მომა</w:t>
      </w:r>
      <w:r w:rsidR="00974BDA" w:rsidRPr="0002471E">
        <w:rPr>
          <w:rFonts w:ascii="Sylfaen" w:hAnsi="Sylfaen" w:cs="Sylfaen"/>
          <w:bCs/>
          <w:sz w:val="24"/>
          <w:szCs w:val="24"/>
        </w:rPr>
        <w:t>ვა</w:t>
      </w:r>
      <w:r w:rsidR="001A1401" w:rsidRPr="0002471E">
        <w:rPr>
          <w:rFonts w:ascii="Sylfaen" w:hAnsi="Sylfaen" w:cs="Sylfaen"/>
          <w:bCs/>
          <w:sz w:val="24"/>
          <w:szCs w:val="24"/>
        </w:rPr>
        <w:t xml:space="preserve">ლში მისაღები გადაწყვეტილებების დასაბუთებულობას, რადგან საკონსტიტუციო სასამართლოს კოლეგიების პრაქტიკაში მრავლად ყოფილა/არის საქმეები, რომელთა გადაწყვეტაც </w:t>
      </w:r>
      <w:r w:rsidR="001A1401" w:rsidRPr="0002471E">
        <w:rPr>
          <w:rFonts w:ascii="Sylfaen" w:hAnsi="Sylfaen" w:cs="Sylfaen"/>
          <w:bCs/>
          <w:sz w:val="24"/>
          <w:szCs w:val="24"/>
        </w:rPr>
        <w:lastRenderedPageBreak/>
        <w:t>საჭიროებდა/საჭიროებს მნიშვნელოვანი სამართლებრივი საკითხების სისტემურ ანალიზსა და დეტალურ შეფასებას</w:t>
      </w:r>
      <w:r w:rsidR="00974BDA" w:rsidRPr="0002471E">
        <w:rPr>
          <w:rFonts w:ascii="Sylfaen" w:hAnsi="Sylfaen" w:cs="Sylfaen"/>
          <w:bCs/>
          <w:sz w:val="24"/>
          <w:szCs w:val="24"/>
        </w:rPr>
        <w:t>, მათ შორის, სადავო ნორმების კონსტიტუციურობის გადაწყვეტას სხვადასხვა კონსტიტუციურ უფლებასთან მიმართებით</w:t>
      </w:r>
      <w:r w:rsidR="00A9083B" w:rsidRPr="0002471E">
        <w:rPr>
          <w:rFonts w:ascii="Sylfaen" w:hAnsi="Sylfaen" w:cs="Sylfaen"/>
          <w:bCs/>
          <w:sz w:val="24"/>
          <w:szCs w:val="24"/>
        </w:rPr>
        <w:t xml:space="preserve"> (იხ., საქართველოს საკონსტიტუციო სასამართლოს მოსამართლის – თეიმურაზ ტუღუშის განსხვავებული აზრი საქართველოს საკონსტიტუციო სასამართლოს 2025 წლის 13 ივნისის №2-3/1/1865 განჩინებასთან დაკავშირებით, 9).</w:t>
      </w:r>
      <w:r w:rsidR="00C62749" w:rsidRPr="0002471E">
        <w:rPr>
          <w:rFonts w:ascii="Sylfaen" w:hAnsi="Sylfaen" w:cs="Sylfaen"/>
          <w:bCs/>
          <w:sz w:val="24"/>
          <w:szCs w:val="24"/>
        </w:rPr>
        <w:t xml:space="preserve"> ამდენად, განსხვავებული აზრის ავტორები მივიჩნევთ, რომ</w:t>
      </w:r>
      <w:r>
        <w:rPr>
          <w:rFonts w:ascii="Sylfaen" w:hAnsi="Sylfaen" w:cs="Sylfaen"/>
          <w:bCs/>
          <w:sz w:val="24"/>
          <w:szCs w:val="24"/>
        </w:rPr>
        <w:t xml:space="preserve"> </w:t>
      </w:r>
      <w:r w:rsidR="00C62749" w:rsidRPr="0002471E">
        <w:rPr>
          <w:rFonts w:ascii="Sylfaen" w:hAnsi="Sylfaen" w:cs="Sylfaen"/>
          <w:bCs/>
          <w:sz w:val="24"/>
          <w:szCs w:val="24"/>
        </w:rPr>
        <w:t>კონსტიტუციური სარჩელებ</w:t>
      </w:r>
      <w:r w:rsidR="0033209B" w:rsidRPr="0002471E">
        <w:rPr>
          <w:rFonts w:ascii="Sylfaen" w:hAnsi="Sylfaen" w:cs="Sylfaen"/>
          <w:bCs/>
          <w:sz w:val="24"/>
          <w:szCs w:val="24"/>
        </w:rPr>
        <w:t>ის</w:t>
      </w:r>
      <w:r w:rsidR="00C62749" w:rsidRPr="0002471E">
        <w:rPr>
          <w:rFonts w:ascii="Sylfaen" w:hAnsi="Sylfaen" w:cs="Sylfaen"/>
          <w:bCs/>
          <w:sz w:val="24"/>
          <w:szCs w:val="24"/>
        </w:rPr>
        <w:t xml:space="preserve"> ფარგლებში</w:t>
      </w:r>
      <w:r w:rsidR="0033209B" w:rsidRPr="0002471E">
        <w:rPr>
          <w:rFonts w:ascii="Sylfaen" w:hAnsi="Sylfaen" w:cs="Sylfaen"/>
          <w:bCs/>
          <w:sz w:val="24"/>
          <w:szCs w:val="24"/>
        </w:rPr>
        <w:t>,</w:t>
      </w:r>
      <w:r w:rsidR="00C62749" w:rsidRPr="0002471E">
        <w:rPr>
          <w:rFonts w:ascii="Sylfaen" w:hAnsi="Sylfaen" w:cs="Sylfaen"/>
          <w:bCs/>
          <w:sz w:val="24"/>
          <w:szCs w:val="24"/>
        </w:rPr>
        <w:t xml:space="preserve"> სადავო საკითხების კონსტიტუციურობის სხვადასხვა კონსტიტუციურ დებულებასთან მიმართებით</w:t>
      </w:r>
      <w:r w:rsidR="00004948" w:rsidRPr="0002471E">
        <w:rPr>
          <w:rFonts w:ascii="Sylfaen" w:hAnsi="Sylfaen" w:cs="Sylfaen"/>
          <w:bCs/>
          <w:sz w:val="24"/>
          <w:szCs w:val="24"/>
        </w:rPr>
        <w:t xml:space="preserve"> გადაწყვეტის საჭიროება</w:t>
      </w:r>
      <w:r w:rsidR="00C62749" w:rsidRPr="0002471E">
        <w:rPr>
          <w:rFonts w:ascii="Sylfaen" w:hAnsi="Sylfaen" w:cs="Sylfaen"/>
          <w:bCs/>
          <w:sz w:val="24"/>
          <w:szCs w:val="24"/>
        </w:rPr>
        <w:t xml:space="preserve">, ავტომატურად, არ მიუთითებს მის კონსტიტუციურსამართლებრივ სირთულეზე ან/და განსაკუთრებულ მნიშვნელობაზე. </w:t>
      </w:r>
    </w:p>
    <w:p w14:paraId="408721EF" w14:textId="321CD35D" w:rsidR="009477D8" w:rsidRPr="005D64AE" w:rsidRDefault="00974BDA" w:rsidP="005D64AE">
      <w:pPr>
        <w:pStyle w:val="ListParagraph"/>
        <w:numPr>
          <w:ilvl w:val="0"/>
          <w:numId w:val="1"/>
        </w:numPr>
        <w:spacing w:after="0" w:line="276" w:lineRule="auto"/>
        <w:ind w:left="0" w:firstLine="284"/>
        <w:jc w:val="both"/>
        <w:rPr>
          <w:rFonts w:ascii="Sylfaen" w:hAnsi="Sylfaen" w:cs="Sylfaen"/>
          <w:bCs/>
          <w:sz w:val="24"/>
          <w:szCs w:val="24"/>
        </w:rPr>
      </w:pPr>
      <w:r w:rsidRPr="005D64AE">
        <w:rPr>
          <w:rFonts w:ascii="Sylfaen" w:hAnsi="Sylfaen" w:cs="Sylfaen"/>
          <w:bCs/>
          <w:sz w:val="24"/>
          <w:szCs w:val="24"/>
        </w:rPr>
        <w:t xml:space="preserve">მაშასადამე, ვფიქრობთ, რომ საკონსტიტუციო სასამართლოს </w:t>
      </w:r>
      <w:r w:rsidR="001A1401" w:rsidRPr="005D64AE">
        <w:rPr>
          <w:rFonts w:ascii="Sylfaen" w:hAnsi="Sylfaen" w:cs="Sylfaen"/>
          <w:bCs/>
          <w:sz w:val="24"/>
          <w:szCs w:val="24"/>
        </w:rPr>
        <w:t>კოლეგიის განსჯადი საქმის პლენუმის მიერ განსახილველად მიღების, როგორც საგამონაკლისო წესის</w:t>
      </w:r>
      <w:r w:rsidR="0002471E">
        <w:rPr>
          <w:rFonts w:ascii="Sylfaen" w:hAnsi="Sylfaen" w:cs="Sylfaen"/>
          <w:bCs/>
          <w:sz w:val="24"/>
          <w:szCs w:val="24"/>
        </w:rPr>
        <w:t>,</w:t>
      </w:r>
      <w:r w:rsidR="009477D8" w:rsidRPr="005D64AE">
        <w:rPr>
          <w:rFonts w:ascii="Sylfaen" w:hAnsi="Sylfaen" w:cs="Sylfaen"/>
          <w:bCs/>
          <w:sz w:val="24"/>
          <w:szCs w:val="24"/>
        </w:rPr>
        <w:t xml:space="preserve"> </w:t>
      </w:r>
      <w:r w:rsidR="001A1401" w:rsidRPr="005D64AE">
        <w:rPr>
          <w:rFonts w:ascii="Sylfaen" w:hAnsi="Sylfaen" w:cs="Sylfaen"/>
          <w:bCs/>
          <w:sz w:val="24"/>
          <w:szCs w:val="24"/>
        </w:rPr>
        <w:t>რაციონალსა და კრიტერიუმებს ვერ აკმაყოფილებს მხოლოდ იმ</w:t>
      </w:r>
      <w:r w:rsidRPr="005D64AE">
        <w:rPr>
          <w:rFonts w:ascii="Sylfaen" w:hAnsi="Sylfaen" w:cs="Sylfaen"/>
          <w:bCs/>
          <w:sz w:val="24"/>
          <w:szCs w:val="24"/>
        </w:rPr>
        <w:t xml:space="preserve"> გარემოებაზე</w:t>
      </w:r>
      <w:r w:rsidR="001A1401" w:rsidRPr="005D64AE">
        <w:rPr>
          <w:rFonts w:ascii="Sylfaen" w:hAnsi="Sylfaen" w:cs="Sylfaen"/>
          <w:bCs/>
          <w:sz w:val="24"/>
          <w:szCs w:val="24"/>
        </w:rPr>
        <w:t xml:space="preserve"> მითითება, რომ კონსტიტუციური სარჩელებით სადავოდ გამხდარი საკითხები </w:t>
      </w:r>
      <w:r w:rsidRPr="005D64AE">
        <w:rPr>
          <w:rFonts w:ascii="Sylfaen" w:hAnsi="Sylfaen" w:cs="Sylfaen"/>
          <w:bCs/>
          <w:sz w:val="24"/>
          <w:szCs w:val="24"/>
        </w:rPr>
        <w:t xml:space="preserve">„შესაძლოა კითხვის ნიშნის ქვეშ აყენებდეს დღეს მოქმედი საჯარო სამსახურის სამართლებრივი მოდელის საქართველოს კონსტიტუციასთან შესაბამისობას, რაც საჭიროებს სკრუპულოზურ შემოწმებას საქართველოს კონსტიტუციის სხვადასხვა მუხლთან მიმართებით“. ამგვარი ლოგიკით, თანაბარი წარმატებით </w:t>
      </w:r>
      <w:r w:rsidR="0002471E">
        <w:rPr>
          <w:rFonts w:ascii="Sylfaen" w:hAnsi="Sylfaen" w:cs="Sylfaen"/>
          <w:bCs/>
          <w:sz w:val="24"/>
          <w:szCs w:val="24"/>
        </w:rPr>
        <w:t xml:space="preserve">იქნებოდა/არის </w:t>
      </w:r>
      <w:r w:rsidRPr="005D64AE">
        <w:rPr>
          <w:rFonts w:ascii="Sylfaen" w:hAnsi="Sylfaen" w:cs="Sylfaen"/>
          <w:bCs/>
          <w:sz w:val="24"/>
          <w:szCs w:val="24"/>
        </w:rPr>
        <w:t xml:space="preserve">შესაძლებელი საკონსტიტუციო სასამართლოს პლენუმის განსჯადობაში იმ კონსტიტუციურ სარჩელთა აბსოლუტური უმრავლესობის </w:t>
      </w:r>
      <w:r w:rsidR="00373B3A" w:rsidRPr="005D64AE">
        <w:rPr>
          <w:rFonts w:ascii="Sylfaen" w:hAnsi="Sylfaen" w:cs="Sylfaen"/>
          <w:bCs/>
          <w:sz w:val="24"/>
          <w:szCs w:val="24"/>
        </w:rPr>
        <w:t xml:space="preserve">გადატანა, </w:t>
      </w:r>
      <w:r w:rsidR="001A1401" w:rsidRPr="005D64AE">
        <w:rPr>
          <w:rFonts w:ascii="Sylfaen" w:hAnsi="Sylfaen" w:cs="Sylfaen"/>
          <w:bCs/>
          <w:sz w:val="24"/>
          <w:szCs w:val="24"/>
        </w:rPr>
        <w:t>რომლებზეც დამთავრებულია ან, ჯერ კიდევ, მიმდინარეობს სამართალწარმოება</w:t>
      </w:r>
      <w:r w:rsidR="00373B3A" w:rsidRPr="005D64AE">
        <w:rPr>
          <w:rFonts w:ascii="Sylfaen" w:hAnsi="Sylfaen" w:cs="Sylfaen"/>
          <w:bCs/>
          <w:sz w:val="24"/>
          <w:szCs w:val="24"/>
        </w:rPr>
        <w:t xml:space="preserve"> საკონსტიტუციო სასამართლოს</w:t>
      </w:r>
      <w:r w:rsidR="001A1401" w:rsidRPr="005D64AE">
        <w:rPr>
          <w:rFonts w:ascii="Sylfaen" w:hAnsi="Sylfaen" w:cs="Sylfaen"/>
          <w:bCs/>
          <w:sz w:val="24"/>
          <w:szCs w:val="24"/>
        </w:rPr>
        <w:t xml:space="preserve"> კოლეგიების ფარგლებში.</w:t>
      </w:r>
      <w:r w:rsidR="00C62749" w:rsidRPr="005D64AE">
        <w:rPr>
          <w:rFonts w:ascii="Sylfaen" w:hAnsi="Sylfaen" w:cs="Sylfaen"/>
          <w:bCs/>
          <w:sz w:val="24"/>
          <w:szCs w:val="24"/>
        </w:rPr>
        <w:t xml:space="preserve"> უფრო მეტიც, მსგავსი კრიტერიუმი</w:t>
      </w:r>
      <w:r w:rsidR="001F78AF" w:rsidRPr="005D64AE">
        <w:rPr>
          <w:rFonts w:ascii="Sylfaen" w:hAnsi="Sylfaen" w:cs="Sylfaen"/>
          <w:bCs/>
          <w:sz w:val="24"/>
          <w:szCs w:val="24"/>
        </w:rPr>
        <w:t>თ ხელმძღვანელობის</w:t>
      </w:r>
      <w:r w:rsidR="00C62749" w:rsidRPr="005D64AE">
        <w:rPr>
          <w:rFonts w:ascii="Sylfaen" w:hAnsi="Sylfaen" w:cs="Sylfaen"/>
          <w:bCs/>
          <w:sz w:val="24"/>
          <w:szCs w:val="24"/>
        </w:rPr>
        <w:t xml:space="preserve"> პირობებში, საკონსტიტუციო სასამართლოს მიერ განსახილველ საქმეთ</w:t>
      </w:r>
      <w:r w:rsidR="002153C0" w:rsidRPr="005D64AE">
        <w:rPr>
          <w:rFonts w:ascii="Sylfaen" w:hAnsi="Sylfaen" w:cs="Sylfaen"/>
          <w:bCs/>
          <w:sz w:val="24"/>
          <w:szCs w:val="24"/>
        </w:rPr>
        <w:t xml:space="preserve">აგან </w:t>
      </w:r>
      <w:r w:rsidR="00C62749" w:rsidRPr="005D64AE">
        <w:rPr>
          <w:rFonts w:ascii="Sylfaen" w:hAnsi="Sylfaen" w:cs="Sylfaen"/>
          <w:bCs/>
          <w:sz w:val="24"/>
          <w:szCs w:val="24"/>
        </w:rPr>
        <w:t>რომელიმეს გამორჩევამ</w:t>
      </w:r>
      <w:r w:rsidR="009477D8" w:rsidRPr="005D64AE">
        <w:rPr>
          <w:rFonts w:ascii="Sylfaen" w:hAnsi="Sylfaen" w:cs="Sylfaen"/>
          <w:bCs/>
          <w:sz w:val="24"/>
          <w:szCs w:val="24"/>
        </w:rPr>
        <w:t>/გამოურჩევლობამ</w:t>
      </w:r>
      <w:r w:rsidR="00E478DB">
        <w:rPr>
          <w:rFonts w:ascii="Sylfaen" w:hAnsi="Sylfaen" w:cs="Sylfaen"/>
          <w:bCs/>
          <w:sz w:val="24"/>
          <w:szCs w:val="24"/>
        </w:rPr>
        <w:t>,</w:t>
      </w:r>
      <w:r w:rsidR="00C62749" w:rsidRPr="005D64AE">
        <w:rPr>
          <w:rFonts w:ascii="Sylfaen" w:hAnsi="Sylfaen" w:cs="Sylfaen"/>
          <w:bCs/>
          <w:sz w:val="24"/>
          <w:szCs w:val="24"/>
        </w:rPr>
        <w:t xml:space="preserve"> </w:t>
      </w:r>
      <w:r w:rsidR="00C62749" w:rsidRPr="005D64AE">
        <w:rPr>
          <w:rFonts w:ascii="Sylfaen" w:hAnsi="Sylfaen"/>
          <w:kern w:val="0"/>
          <w:sz w:val="24"/>
          <w:szCs w:val="24"/>
        </w:rPr>
        <w:t>შეიძლება</w:t>
      </w:r>
      <w:r w:rsidR="0002471E">
        <w:rPr>
          <w:rFonts w:ascii="Sylfaen" w:hAnsi="Sylfaen"/>
          <w:kern w:val="0"/>
          <w:sz w:val="24"/>
          <w:szCs w:val="24"/>
        </w:rPr>
        <w:t>,</w:t>
      </w:r>
      <w:r w:rsidR="009477D8" w:rsidRPr="005D64AE">
        <w:rPr>
          <w:rFonts w:ascii="Sylfaen" w:hAnsi="Sylfaen"/>
          <w:kern w:val="0"/>
          <w:sz w:val="24"/>
          <w:szCs w:val="24"/>
        </w:rPr>
        <w:t xml:space="preserve"> </w:t>
      </w:r>
      <w:r w:rsidR="00C62749" w:rsidRPr="005D64AE">
        <w:rPr>
          <w:rFonts w:ascii="Sylfaen" w:hAnsi="Sylfaen"/>
          <w:kern w:val="0"/>
          <w:sz w:val="24"/>
          <w:szCs w:val="24"/>
        </w:rPr>
        <w:t xml:space="preserve">გააჩინოს თვითნებური/სუბიექტური შეფასების განცდა და რისკი, რომ </w:t>
      </w:r>
      <w:r w:rsidR="009477D8" w:rsidRPr="005D64AE">
        <w:rPr>
          <w:rFonts w:ascii="Sylfaen" w:hAnsi="Sylfaen"/>
          <w:kern w:val="0"/>
          <w:sz w:val="24"/>
          <w:szCs w:val="24"/>
        </w:rPr>
        <w:t xml:space="preserve">საკონსტიტუციო სასამართლოს </w:t>
      </w:r>
      <w:r w:rsidR="00C62749" w:rsidRPr="005D64AE">
        <w:rPr>
          <w:rFonts w:ascii="Sylfaen" w:hAnsi="Sylfaen"/>
          <w:kern w:val="0"/>
          <w:sz w:val="24"/>
          <w:szCs w:val="24"/>
        </w:rPr>
        <w:t>პლენუმის ფორმატში საქმის განხილვა გახდეს კოლეგიის ფარგლებში მოსამართლეთა შორის განსხვავებული შეხედულებების დაპირისპირების დამოუკიდებელი, კვაზი-ინსტანციური ფორმატი.</w:t>
      </w:r>
      <w:r w:rsidR="009477D8" w:rsidRPr="005D64AE">
        <w:rPr>
          <w:rFonts w:ascii="Sylfaen" w:hAnsi="Sylfaen"/>
          <w:kern w:val="0"/>
          <w:sz w:val="24"/>
          <w:szCs w:val="24"/>
        </w:rPr>
        <w:t xml:space="preserve"> საკონსტიტუციო</w:t>
      </w:r>
      <w:r w:rsidR="00C62749" w:rsidRPr="005D64AE">
        <w:rPr>
          <w:rFonts w:ascii="Sylfaen" w:hAnsi="Sylfaen"/>
          <w:kern w:val="0"/>
          <w:sz w:val="24"/>
          <w:szCs w:val="24"/>
        </w:rPr>
        <w:t xml:space="preserve"> სასამართლოს პლენუმსა და კოლეგიებს შორის მსგავსმა არათანმიმდევრულმა ფუნქციურმა დელიმიტაციამ კი შესაძლოა, გამოიწვიოს სასამართლოს ინსტიტუციური არქიტექტურის რღვევა</w:t>
      </w:r>
      <w:r w:rsidR="009477D8" w:rsidRPr="005D64AE">
        <w:rPr>
          <w:rFonts w:ascii="Sylfaen" w:hAnsi="Sylfaen"/>
          <w:kern w:val="0"/>
          <w:sz w:val="24"/>
          <w:szCs w:val="24"/>
        </w:rPr>
        <w:t xml:space="preserve"> </w:t>
      </w:r>
      <w:r w:rsidR="009477D8" w:rsidRPr="005D64AE">
        <w:rPr>
          <w:rFonts w:ascii="Sylfaen" w:hAnsi="Sylfaen" w:cs="Sylfaen"/>
          <w:bCs/>
          <w:sz w:val="24"/>
          <w:szCs w:val="24"/>
        </w:rPr>
        <w:t>(იხ., საქართველოს საკონსტიტუციო სასამართლოს მოსამართლის – თეიმურაზ ტუღუშის განსხვავებული აზრი საქართველოს საკონსტიტუციო სასამართლოს 2025 წლის 13 ივნისის №2-3/1/1865 განჩინებასთან დაკავშირებით, 9).</w:t>
      </w:r>
    </w:p>
    <w:p w14:paraId="5C5C6BFC" w14:textId="44A857B8" w:rsidR="00726FCC" w:rsidRPr="0002471E" w:rsidRDefault="00853D22" w:rsidP="0002471E">
      <w:pPr>
        <w:pStyle w:val="ListParagraph"/>
        <w:numPr>
          <w:ilvl w:val="0"/>
          <w:numId w:val="1"/>
        </w:numPr>
        <w:spacing w:after="0" w:line="276" w:lineRule="auto"/>
        <w:ind w:left="0" w:firstLine="284"/>
        <w:jc w:val="both"/>
        <w:rPr>
          <w:rFonts w:ascii="Sylfaen" w:hAnsi="Sylfaen" w:cs="Sylfaen"/>
          <w:bCs/>
          <w:sz w:val="24"/>
          <w:szCs w:val="24"/>
        </w:rPr>
      </w:pPr>
      <w:r>
        <w:rPr>
          <w:rFonts w:ascii="Sylfaen" w:hAnsi="Sylfaen" w:cs="Sylfaen"/>
          <w:bCs/>
          <w:sz w:val="24"/>
          <w:szCs w:val="24"/>
        </w:rPr>
        <w:t>კიდევ ერთი</w:t>
      </w:r>
      <w:r w:rsidR="009477D8" w:rsidRPr="005D64AE">
        <w:rPr>
          <w:rFonts w:ascii="Sylfaen" w:hAnsi="Sylfaen" w:cs="Sylfaen"/>
          <w:bCs/>
          <w:sz w:val="24"/>
          <w:szCs w:val="24"/>
        </w:rPr>
        <w:t xml:space="preserve"> არგუმენტ</w:t>
      </w:r>
      <w:r w:rsidR="000813DF" w:rsidRPr="005D64AE">
        <w:rPr>
          <w:rFonts w:ascii="Sylfaen" w:hAnsi="Sylfaen" w:cs="Sylfaen"/>
          <w:bCs/>
          <w:sz w:val="24"/>
          <w:szCs w:val="24"/>
        </w:rPr>
        <w:t>ი</w:t>
      </w:r>
      <w:r w:rsidR="009477D8" w:rsidRPr="005D64AE">
        <w:rPr>
          <w:rFonts w:ascii="Sylfaen" w:hAnsi="Sylfaen" w:cs="Sylfaen"/>
          <w:bCs/>
          <w:sz w:val="24"/>
          <w:szCs w:val="24"/>
        </w:rPr>
        <w:t>,</w:t>
      </w:r>
      <w:r w:rsidR="00665DD0" w:rsidRPr="005D64AE">
        <w:rPr>
          <w:rFonts w:ascii="Sylfaen" w:hAnsi="Sylfaen" w:cs="Sylfaen"/>
          <w:bCs/>
          <w:sz w:val="24"/>
          <w:szCs w:val="24"/>
        </w:rPr>
        <w:t xml:space="preserve"> რომლის გამოყენებითაც ჩვენი კოლეგები ცდილობენ</w:t>
      </w:r>
      <w:r w:rsidR="00DB72C3" w:rsidRPr="005D64AE">
        <w:rPr>
          <w:rFonts w:ascii="Sylfaen" w:hAnsi="Sylfaen" w:cs="Sylfaen"/>
          <w:bCs/>
          <w:sz w:val="24"/>
          <w:szCs w:val="24"/>
        </w:rPr>
        <w:t>,</w:t>
      </w:r>
      <w:r w:rsidR="00665DD0" w:rsidRPr="005D64AE">
        <w:rPr>
          <w:rFonts w:ascii="Sylfaen" w:hAnsi="Sylfaen" w:cs="Sylfaen"/>
          <w:bCs/>
          <w:sz w:val="24"/>
          <w:szCs w:val="24"/>
        </w:rPr>
        <w:t xml:space="preserve"> დაასაბუთონ</w:t>
      </w:r>
      <w:r w:rsidR="009477D8" w:rsidRPr="005D64AE">
        <w:rPr>
          <w:rFonts w:ascii="Sylfaen" w:hAnsi="Sylfaen" w:cs="Sylfaen"/>
          <w:bCs/>
          <w:sz w:val="24"/>
          <w:szCs w:val="24"/>
        </w:rPr>
        <w:t xml:space="preserve"> №1859 და №1866 კონსტიტუციურ</w:t>
      </w:r>
      <w:r w:rsidR="00665DD0" w:rsidRPr="005D64AE">
        <w:rPr>
          <w:rFonts w:ascii="Sylfaen" w:hAnsi="Sylfaen" w:cs="Sylfaen"/>
          <w:bCs/>
          <w:sz w:val="24"/>
          <w:szCs w:val="24"/>
        </w:rPr>
        <w:t>ი</w:t>
      </w:r>
      <w:r w:rsidR="009477D8" w:rsidRPr="005D64AE">
        <w:rPr>
          <w:rFonts w:ascii="Sylfaen" w:hAnsi="Sylfaen" w:cs="Sylfaen"/>
          <w:bCs/>
          <w:sz w:val="24"/>
          <w:szCs w:val="24"/>
        </w:rPr>
        <w:t xml:space="preserve"> სარჩელების საკონსტიტუციო სასამართლოს პლენუმ</w:t>
      </w:r>
      <w:r w:rsidR="0002471E">
        <w:rPr>
          <w:rFonts w:ascii="Sylfaen" w:hAnsi="Sylfaen" w:cs="Sylfaen"/>
          <w:bCs/>
          <w:sz w:val="24"/>
          <w:szCs w:val="24"/>
        </w:rPr>
        <w:t xml:space="preserve">ზე </w:t>
      </w:r>
      <w:r w:rsidR="0002471E" w:rsidRPr="0002471E">
        <w:rPr>
          <w:rFonts w:ascii="Sylfaen" w:hAnsi="Sylfaen" w:cs="Sylfaen"/>
          <w:bCs/>
          <w:sz w:val="24"/>
          <w:szCs w:val="24"/>
        </w:rPr>
        <w:t xml:space="preserve">განსახილველად მიღების შესახებ </w:t>
      </w:r>
      <w:r w:rsidR="0002471E" w:rsidRPr="0002471E">
        <w:rPr>
          <w:rFonts w:ascii="Sylfaen" w:hAnsi="Sylfaen" w:cs="Sylfaen"/>
          <w:bCs/>
          <w:sz w:val="24"/>
          <w:szCs w:val="24"/>
        </w:rPr>
        <w:lastRenderedPageBreak/>
        <w:t>გადაწყვეტილების</w:t>
      </w:r>
      <w:r w:rsidR="0002471E">
        <w:rPr>
          <w:rFonts w:ascii="Sylfaen" w:hAnsi="Sylfaen" w:cs="Sylfaen"/>
          <w:bCs/>
          <w:sz w:val="24"/>
          <w:szCs w:val="24"/>
        </w:rPr>
        <w:t xml:space="preserve"> </w:t>
      </w:r>
      <w:r w:rsidR="0002471E" w:rsidRPr="0002471E">
        <w:rPr>
          <w:rFonts w:ascii="Sylfaen" w:hAnsi="Sylfaen" w:cs="Sylfaen"/>
          <w:bCs/>
          <w:sz w:val="24"/>
          <w:szCs w:val="24"/>
        </w:rPr>
        <w:t>მართებულობა,</w:t>
      </w:r>
      <w:r w:rsidR="0002471E">
        <w:rPr>
          <w:rFonts w:ascii="Sylfaen" w:hAnsi="Sylfaen" w:cs="Sylfaen"/>
          <w:bCs/>
          <w:sz w:val="24"/>
          <w:szCs w:val="24"/>
        </w:rPr>
        <w:t xml:space="preserve"> </w:t>
      </w:r>
      <w:r w:rsidR="000813DF" w:rsidRPr="0002471E">
        <w:rPr>
          <w:rFonts w:ascii="Sylfaen" w:hAnsi="Sylfaen" w:cs="Sylfaen"/>
          <w:bCs/>
          <w:sz w:val="24"/>
          <w:szCs w:val="24"/>
        </w:rPr>
        <w:t>შეეხება</w:t>
      </w:r>
      <w:r w:rsidR="00C26F47" w:rsidRPr="0002471E">
        <w:rPr>
          <w:rFonts w:ascii="Sylfaen" w:hAnsi="Sylfaen" w:cs="Sylfaen"/>
          <w:bCs/>
          <w:sz w:val="24"/>
          <w:szCs w:val="24"/>
        </w:rPr>
        <w:t xml:space="preserve"> პირთა მიერ საჯარო თანამდებობის დაკავებისა და აღნიშნულ თანამდებობაზე საქმიანობის შეუფერხებლად განხორციელების კონსტიტუციურ უფლებაზე სადავო ნორმებისგან მომდინარე მასშტაბური ზეგავლენის მოხდენის პოტენციალს. </w:t>
      </w:r>
    </w:p>
    <w:p w14:paraId="01E1C417" w14:textId="1645974D" w:rsidR="00AD0A1E" w:rsidRDefault="007038D9" w:rsidP="00AD0A1E">
      <w:pPr>
        <w:pStyle w:val="ListParagraph"/>
        <w:numPr>
          <w:ilvl w:val="0"/>
          <w:numId w:val="1"/>
        </w:numPr>
        <w:spacing w:after="0" w:line="276" w:lineRule="auto"/>
        <w:ind w:left="0" w:firstLine="284"/>
        <w:jc w:val="both"/>
        <w:rPr>
          <w:rFonts w:ascii="Sylfaen" w:hAnsi="Sylfaen" w:cs="Sylfaen"/>
          <w:bCs/>
          <w:sz w:val="24"/>
          <w:szCs w:val="24"/>
        </w:rPr>
      </w:pPr>
      <w:r w:rsidRPr="005D64AE">
        <w:rPr>
          <w:rFonts w:ascii="Sylfaen" w:hAnsi="Sylfaen" w:cs="Sylfaen"/>
          <w:bCs/>
          <w:sz w:val="24"/>
          <w:szCs w:val="24"/>
        </w:rPr>
        <w:t>ამ კუთხით, საკონსტიტუციო სასამართლოს კოლეგიის განსჯადი საქმის პლენუმზე განსახილველად გადაცემის/მიღების სამართლებრივი საფუძველი ვერ იქნება მხოლოდ ის გარემოება, რომ სადავო ნორმებს შეიძლება</w:t>
      </w:r>
      <w:r w:rsidR="00665031">
        <w:rPr>
          <w:rFonts w:ascii="Sylfaen" w:hAnsi="Sylfaen" w:cs="Sylfaen"/>
          <w:bCs/>
          <w:sz w:val="24"/>
          <w:szCs w:val="24"/>
        </w:rPr>
        <w:t>,</w:t>
      </w:r>
      <w:r w:rsidRPr="005D64AE">
        <w:rPr>
          <w:rFonts w:ascii="Sylfaen" w:hAnsi="Sylfaen" w:cs="Sylfaen"/>
          <w:bCs/>
          <w:sz w:val="24"/>
          <w:szCs w:val="24"/>
        </w:rPr>
        <w:t xml:space="preserve"> ჰქონდეს მასშტაბური ზეგავლენა საჯარო მოხელეთა კონსტიტუციურ უფლებებსა და თავისუფლებებზე, რამდენადაც ზეგავლენის </w:t>
      </w:r>
      <w:r w:rsidR="001D4925" w:rsidRPr="005D64AE">
        <w:rPr>
          <w:rFonts w:ascii="Sylfaen" w:hAnsi="Sylfaen" w:cs="Sylfaen"/>
          <w:bCs/>
          <w:sz w:val="24"/>
          <w:szCs w:val="24"/>
        </w:rPr>
        <w:t>მასშტაბი,</w:t>
      </w:r>
      <w:r w:rsidRPr="005D64AE">
        <w:rPr>
          <w:rFonts w:ascii="Sylfaen" w:hAnsi="Sylfaen" w:cs="Sylfaen"/>
          <w:bCs/>
          <w:sz w:val="24"/>
          <w:szCs w:val="24"/>
        </w:rPr>
        <w:t xml:space="preserve"> რაოდენ ფართოც არ უნდა იყოს იგი, ავტომატურად, არ გულისხმობს იმ ტიპის </w:t>
      </w:r>
      <w:proofErr w:type="spellStart"/>
      <w:r w:rsidRPr="005D64AE">
        <w:rPr>
          <w:rFonts w:ascii="Sylfaen" w:hAnsi="Sylfaen" w:cs="Sylfaen"/>
          <w:bCs/>
          <w:sz w:val="24"/>
          <w:szCs w:val="24"/>
        </w:rPr>
        <w:t>კონსტიტუციურსამართლებრივ</w:t>
      </w:r>
      <w:proofErr w:type="spellEnd"/>
      <w:r w:rsidRPr="005D64AE">
        <w:rPr>
          <w:rFonts w:ascii="Sylfaen" w:hAnsi="Sylfaen" w:cs="Sylfaen"/>
          <w:bCs/>
          <w:sz w:val="24"/>
          <w:szCs w:val="24"/>
        </w:rPr>
        <w:t xml:space="preserve"> სირთულეს, რაც გაამართლებდა კონკრეტული საქმის განხილვისა და გადაწყვეტის პროცესში პლენუმის მონაწილეობას.</w:t>
      </w:r>
      <w:r w:rsidR="001D4925" w:rsidRPr="005D64AE">
        <w:rPr>
          <w:rFonts w:ascii="Sylfaen" w:hAnsi="Sylfaen" w:cs="Sylfaen"/>
          <w:bCs/>
          <w:sz w:val="24"/>
          <w:szCs w:val="24"/>
        </w:rPr>
        <w:t xml:space="preserve"> </w:t>
      </w:r>
      <w:r w:rsidR="006874B9">
        <w:rPr>
          <w:rFonts w:ascii="Sylfaen" w:hAnsi="Sylfaen" w:cs="Sylfaen"/>
          <w:bCs/>
          <w:sz w:val="24"/>
          <w:szCs w:val="24"/>
        </w:rPr>
        <w:t>ი</w:t>
      </w:r>
      <w:r w:rsidR="001D4925" w:rsidRPr="006874B9">
        <w:rPr>
          <w:rFonts w:ascii="Sylfaen" w:hAnsi="Sylfaen" w:cs="Sylfaen"/>
          <w:bCs/>
          <w:sz w:val="24"/>
          <w:szCs w:val="24"/>
        </w:rPr>
        <w:t>მის მიღმა, რომ კოლეგიის განსჯადი საქმის პლენუმ</w:t>
      </w:r>
      <w:r w:rsidR="00665031" w:rsidRPr="006874B9">
        <w:rPr>
          <w:rFonts w:ascii="Sylfaen" w:hAnsi="Sylfaen" w:cs="Sylfaen"/>
          <w:bCs/>
          <w:sz w:val="24"/>
          <w:szCs w:val="24"/>
        </w:rPr>
        <w:t>ზე განსახილველად მიღების</w:t>
      </w:r>
      <w:r w:rsidR="001D4925" w:rsidRPr="006874B9">
        <w:rPr>
          <w:rFonts w:ascii="Sylfaen" w:hAnsi="Sylfaen" w:cs="Sylfaen"/>
          <w:bCs/>
          <w:sz w:val="24"/>
          <w:szCs w:val="24"/>
        </w:rPr>
        <w:t xml:space="preserve"> </w:t>
      </w:r>
      <w:r w:rsidR="00665031" w:rsidRPr="006874B9">
        <w:rPr>
          <w:rFonts w:ascii="Sylfaen" w:hAnsi="Sylfaen" w:cs="Sylfaen"/>
          <w:bCs/>
          <w:sz w:val="24"/>
          <w:szCs w:val="24"/>
        </w:rPr>
        <w:t xml:space="preserve">ამგვარ </w:t>
      </w:r>
      <w:r w:rsidR="001D4925" w:rsidRPr="006874B9">
        <w:rPr>
          <w:rFonts w:ascii="Sylfaen" w:hAnsi="Sylfaen" w:cs="Sylfaen"/>
          <w:bCs/>
          <w:sz w:val="24"/>
          <w:szCs w:val="24"/>
        </w:rPr>
        <w:t>სამართლებრივ საფუძველს საკონსტიტუციო სასამართლოს საქმიანობის მომწესრიგებელი კანონმდებლობა</w:t>
      </w:r>
      <w:r w:rsidR="002D47EC">
        <w:rPr>
          <w:rFonts w:ascii="Sylfaen" w:hAnsi="Sylfaen" w:cs="Sylfaen"/>
          <w:bCs/>
          <w:sz w:val="24"/>
          <w:szCs w:val="24"/>
        </w:rPr>
        <w:t xml:space="preserve"> </w:t>
      </w:r>
      <w:r w:rsidR="001D4925" w:rsidRPr="006874B9">
        <w:rPr>
          <w:rFonts w:ascii="Sylfaen" w:hAnsi="Sylfaen" w:cs="Sylfaen"/>
          <w:bCs/>
          <w:sz w:val="24"/>
          <w:szCs w:val="24"/>
        </w:rPr>
        <w:t>არ იცნობს,</w:t>
      </w:r>
      <w:r w:rsidRPr="006874B9">
        <w:rPr>
          <w:rFonts w:ascii="Sylfaen" w:hAnsi="Sylfaen" w:cs="Sylfaen"/>
          <w:bCs/>
          <w:sz w:val="24"/>
          <w:szCs w:val="24"/>
        </w:rPr>
        <w:t xml:space="preserve"> </w:t>
      </w:r>
      <w:r w:rsidRPr="002D47EC">
        <w:rPr>
          <w:rFonts w:ascii="Sylfaen" w:hAnsi="Sylfaen" w:cs="Sylfaen"/>
          <w:bCs/>
          <w:sz w:val="24"/>
          <w:szCs w:val="24"/>
        </w:rPr>
        <w:t>„კონსტიტუციურ უფლებებზე</w:t>
      </w:r>
      <w:r w:rsidR="001775A3" w:rsidRPr="002D47EC">
        <w:rPr>
          <w:rFonts w:ascii="Sylfaen" w:hAnsi="Sylfaen" w:cs="Sylfaen"/>
          <w:bCs/>
          <w:sz w:val="24"/>
          <w:szCs w:val="24"/>
        </w:rPr>
        <w:t xml:space="preserve"> </w:t>
      </w:r>
      <w:r w:rsidRPr="002D47EC">
        <w:rPr>
          <w:rFonts w:ascii="Sylfaen" w:hAnsi="Sylfaen" w:cs="Sylfaen"/>
          <w:bCs/>
          <w:sz w:val="24"/>
          <w:szCs w:val="24"/>
        </w:rPr>
        <w:t>მასშტაბური ზეგავლენის მოხდენის პოტენციალი“</w:t>
      </w:r>
      <w:r w:rsidRPr="006874B9">
        <w:rPr>
          <w:rFonts w:ascii="Sylfaen" w:hAnsi="Sylfaen" w:cs="Sylfaen"/>
          <w:bCs/>
          <w:sz w:val="24"/>
          <w:szCs w:val="24"/>
        </w:rPr>
        <w:t xml:space="preserve"> </w:t>
      </w:r>
      <w:r w:rsidR="00F200BC" w:rsidRPr="006874B9">
        <w:rPr>
          <w:rFonts w:ascii="Sylfaen" w:hAnsi="Sylfaen" w:cs="Sylfaen"/>
          <w:bCs/>
          <w:sz w:val="24"/>
          <w:szCs w:val="24"/>
        </w:rPr>
        <w:t>არის</w:t>
      </w:r>
      <w:r w:rsidR="001D4925" w:rsidRPr="006874B9">
        <w:rPr>
          <w:rFonts w:ascii="Sylfaen" w:hAnsi="Sylfaen" w:cs="Sylfaen"/>
          <w:bCs/>
          <w:sz w:val="24"/>
          <w:szCs w:val="24"/>
        </w:rPr>
        <w:t xml:space="preserve"> აბსტრაქტული ცნება</w:t>
      </w:r>
      <w:r w:rsidR="00665031" w:rsidRPr="006874B9">
        <w:rPr>
          <w:rFonts w:ascii="Sylfaen" w:hAnsi="Sylfaen" w:cs="Sylfaen"/>
          <w:bCs/>
          <w:sz w:val="24"/>
          <w:szCs w:val="24"/>
        </w:rPr>
        <w:t xml:space="preserve">, რომელიც </w:t>
      </w:r>
      <w:r w:rsidR="001D4925" w:rsidRPr="006874B9">
        <w:rPr>
          <w:rFonts w:ascii="Sylfaen" w:hAnsi="Sylfaen" w:cs="Sylfaen"/>
          <w:bCs/>
          <w:sz w:val="24"/>
          <w:szCs w:val="24"/>
        </w:rPr>
        <w:t xml:space="preserve">წარმოადგენს </w:t>
      </w:r>
      <w:r w:rsidRPr="006874B9">
        <w:rPr>
          <w:rFonts w:ascii="Sylfaen" w:hAnsi="Sylfaen" w:cs="Sylfaen"/>
          <w:bCs/>
          <w:sz w:val="24"/>
          <w:szCs w:val="24"/>
        </w:rPr>
        <w:t>სუბიექტურ და შეფასებით კატეგორია</w:t>
      </w:r>
      <w:r w:rsidR="001D4925" w:rsidRPr="006874B9">
        <w:rPr>
          <w:rFonts w:ascii="Sylfaen" w:hAnsi="Sylfaen" w:cs="Sylfaen"/>
          <w:bCs/>
          <w:sz w:val="24"/>
          <w:szCs w:val="24"/>
        </w:rPr>
        <w:t>ს.</w:t>
      </w:r>
      <w:r w:rsidR="000C6054" w:rsidRPr="006874B9">
        <w:rPr>
          <w:rFonts w:ascii="Sylfaen" w:hAnsi="Sylfaen" w:cs="Sylfaen"/>
          <w:bCs/>
          <w:sz w:val="24"/>
          <w:szCs w:val="24"/>
        </w:rPr>
        <w:t xml:space="preserve"> </w:t>
      </w:r>
      <w:r w:rsidR="001D4925" w:rsidRPr="006874B9">
        <w:rPr>
          <w:rFonts w:ascii="Sylfaen" w:hAnsi="Sylfaen" w:cs="Sylfaen"/>
          <w:bCs/>
          <w:sz w:val="24"/>
          <w:szCs w:val="24"/>
        </w:rPr>
        <w:t>მაგალითად, სხვადასხვა სამართალურთიერთობასთან მიმართებით, ძირითად უფლებებსა და თავისუფლებებზე ზეგავლენის მასშტაბურობის განმსაზღვრელი პოტენციური კრიტერიუმები</w:t>
      </w:r>
      <w:r w:rsidR="00665031" w:rsidRPr="006874B9">
        <w:rPr>
          <w:rFonts w:ascii="Sylfaen" w:hAnsi="Sylfaen" w:cs="Sylfaen"/>
          <w:bCs/>
          <w:sz w:val="24"/>
          <w:szCs w:val="24"/>
        </w:rPr>
        <w:t xml:space="preserve">, </w:t>
      </w:r>
      <w:r w:rsidR="001D4925" w:rsidRPr="006874B9">
        <w:rPr>
          <w:rFonts w:ascii="Sylfaen" w:hAnsi="Sylfaen" w:cs="Sylfaen"/>
          <w:bCs/>
          <w:sz w:val="24"/>
          <w:szCs w:val="24"/>
        </w:rPr>
        <w:t>ერთობლივად ან ცალ-ცალკე</w:t>
      </w:r>
      <w:r w:rsidR="00665031" w:rsidRPr="006874B9">
        <w:rPr>
          <w:rFonts w:ascii="Sylfaen" w:hAnsi="Sylfaen" w:cs="Sylfaen"/>
          <w:bCs/>
          <w:sz w:val="24"/>
          <w:szCs w:val="24"/>
        </w:rPr>
        <w:t xml:space="preserve"> განხილული,</w:t>
      </w:r>
      <w:r w:rsidR="001D4925" w:rsidRPr="006874B9">
        <w:rPr>
          <w:rFonts w:ascii="Sylfaen" w:hAnsi="Sylfaen" w:cs="Sylfaen"/>
          <w:bCs/>
          <w:sz w:val="24"/>
          <w:szCs w:val="24"/>
        </w:rPr>
        <w:t xml:space="preserve"> შესაძლოა, იყოს</w:t>
      </w:r>
      <w:r w:rsidR="001775A3" w:rsidRPr="006874B9">
        <w:rPr>
          <w:rFonts w:ascii="Sylfaen" w:hAnsi="Sylfaen" w:cs="Sylfaen"/>
          <w:bCs/>
          <w:sz w:val="24"/>
          <w:szCs w:val="24"/>
        </w:rPr>
        <w:t xml:space="preserve"> თავად სამართლებრივი ურთიერთობის ტიპი,</w:t>
      </w:r>
      <w:r w:rsidR="001D4925" w:rsidRPr="006874B9">
        <w:rPr>
          <w:rFonts w:ascii="Sylfaen" w:hAnsi="Sylfaen" w:cs="Sylfaen"/>
          <w:bCs/>
          <w:sz w:val="24"/>
          <w:szCs w:val="24"/>
        </w:rPr>
        <w:t xml:space="preserve"> სადავო რეგულირების ადრესატთა</w:t>
      </w:r>
      <w:r w:rsidR="001775A3" w:rsidRPr="006874B9">
        <w:rPr>
          <w:rFonts w:ascii="Sylfaen" w:hAnsi="Sylfaen" w:cs="Sylfaen"/>
          <w:bCs/>
          <w:sz w:val="24"/>
          <w:szCs w:val="24"/>
        </w:rPr>
        <w:t xml:space="preserve"> </w:t>
      </w:r>
      <w:r w:rsidR="001D4925" w:rsidRPr="006874B9">
        <w:rPr>
          <w:rFonts w:ascii="Sylfaen" w:hAnsi="Sylfaen" w:cs="Sylfaen"/>
          <w:bCs/>
          <w:sz w:val="24"/>
          <w:szCs w:val="24"/>
        </w:rPr>
        <w:t>წრე</w:t>
      </w:r>
      <w:r w:rsidR="001775A3" w:rsidRPr="006874B9">
        <w:rPr>
          <w:rFonts w:ascii="Sylfaen" w:hAnsi="Sylfaen" w:cs="Sylfaen"/>
          <w:bCs/>
          <w:sz w:val="24"/>
          <w:szCs w:val="24"/>
        </w:rPr>
        <w:t>/ვინაობა</w:t>
      </w:r>
      <w:r w:rsidR="001D4925" w:rsidRPr="006874B9">
        <w:rPr>
          <w:rFonts w:ascii="Sylfaen" w:hAnsi="Sylfaen" w:cs="Sylfaen"/>
          <w:bCs/>
          <w:sz w:val="24"/>
          <w:szCs w:val="24"/>
        </w:rPr>
        <w:t>, სადავო ნორმისგან მომდინარე ეფექტების/შედეგების ინტენსივობა, გეოგრაფიული გავრცელებადობა, დროში მოქმედების რესურსი და სხვ..</w:t>
      </w:r>
      <w:r w:rsidR="001775A3" w:rsidRPr="006874B9">
        <w:rPr>
          <w:rFonts w:ascii="Sylfaen" w:hAnsi="Sylfaen" w:cs="Sylfaen"/>
          <w:bCs/>
          <w:sz w:val="24"/>
          <w:szCs w:val="24"/>
        </w:rPr>
        <w:t xml:space="preserve"> შესაბამისად, არც „კონსტიტუციურ უფლებებზე მასშტაბური ზეგავლენის მოხდენის პოტენციალი“ როგორც კრიტერიუმი და არც ზეგავლენის მასშტაბურობის დასადგენად აუცილებელი სხვადასხვა ფაქტორი</w:t>
      </w:r>
      <w:r w:rsidR="00776FBA" w:rsidRPr="006874B9">
        <w:rPr>
          <w:rFonts w:ascii="Sylfaen" w:hAnsi="Sylfaen" w:cs="Sylfaen"/>
          <w:bCs/>
          <w:sz w:val="24"/>
          <w:szCs w:val="24"/>
        </w:rPr>
        <w:t xml:space="preserve">, დამოუკიდებლად </w:t>
      </w:r>
      <w:r w:rsidR="001775A3" w:rsidRPr="006874B9">
        <w:rPr>
          <w:rFonts w:ascii="Sylfaen" w:hAnsi="Sylfaen" w:cs="Sylfaen"/>
          <w:bCs/>
          <w:sz w:val="24"/>
          <w:szCs w:val="24"/>
        </w:rPr>
        <w:t>თუ ერთობლივად</w:t>
      </w:r>
      <w:r w:rsidR="00776FBA" w:rsidRPr="006874B9">
        <w:rPr>
          <w:rFonts w:ascii="Sylfaen" w:hAnsi="Sylfaen" w:cs="Sylfaen"/>
          <w:bCs/>
          <w:sz w:val="24"/>
          <w:szCs w:val="24"/>
        </w:rPr>
        <w:t>,</w:t>
      </w:r>
      <w:r w:rsidR="001775A3" w:rsidRPr="006874B9">
        <w:rPr>
          <w:rFonts w:ascii="Sylfaen" w:hAnsi="Sylfaen" w:cs="Sylfaen"/>
          <w:bCs/>
          <w:sz w:val="24"/>
          <w:szCs w:val="24"/>
        </w:rPr>
        <w:t xml:space="preserve"> არ ქმნის საკონსტიტუციო სასამართლოს კოლეგიის განსჯადი საქმის პლენუმზე განსახილველად გადაცემის სამართლებრივ საფუძველს.</w:t>
      </w:r>
    </w:p>
    <w:p w14:paraId="4C316F54" w14:textId="3D4895CF" w:rsidR="00C91C3D" w:rsidRPr="00EC0F32" w:rsidRDefault="00F200BC" w:rsidP="00C91C3D">
      <w:pPr>
        <w:pStyle w:val="ListParagraph"/>
        <w:numPr>
          <w:ilvl w:val="0"/>
          <w:numId w:val="1"/>
        </w:numPr>
        <w:spacing w:after="0" w:line="276" w:lineRule="auto"/>
        <w:ind w:left="0" w:firstLine="284"/>
        <w:jc w:val="both"/>
        <w:rPr>
          <w:rFonts w:ascii="Sylfaen" w:hAnsi="Sylfaen" w:cs="Sylfaen"/>
          <w:bCs/>
          <w:sz w:val="24"/>
          <w:szCs w:val="24"/>
        </w:rPr>
      </w:pPr>
      <w:r w:rsidRPr="005D64AE">
        <w:rPr>
          <w:rFonts w:ascii="Sylfaen" w:hAnsi="Sylfaen" w:cs="Sylfaen"/>
          <w:bCs/>
          <w:sz w:val="24"/>
          <w:szCs w:val="24"/>
        </w:rPr>
        <w:t>ყოველივე ზემოაღნიშნულიდან გამომდინარე, მიგვაჩნია, რომ საჯარო თანამდებობის დაკავებისა და აღნიშნულ თანამდებობაზე საქმიანობის შეუფერხებლად განხორციელების უფლებაზე სადავო ნორმებიდან მომდინარე მასშტაბური ზეგავლენის მოხდენის პოტენციალი, სამართლებრივად</w:t>
      </w:r>
      <w:r w:rsidR="00424C03" w:rsidRPr="005D64AE">
        <w:rPr>
          <w:rFonts w:ascii="Sylfaen" w:hAnsi="Sylfaen" w:cs="Sylfaen"/>
          <w:bCs/>
          <w:sz w:val="24"/>
          <w:szCs w:val="24"/>
        </w:rPr>
        <w:t>,</w:t>
      </w:r>
      <w:r w:rsidRPr="005D64AE">
        <w:rPr>
          <w:rFonts w:ascii="Sylfaen" w:hAnsi="Sylfaen" w:cs="Sylfaen"/>
          <w:bCs/>
          <w:sz w:val="24"/>
          <w:szCs w:val="24"/>
        </w:rPr>
        <w:t xml:space="preserve"> ვერ ასაბუთებს საკონსტიტუციო სასამართლოს კოლეგიის განსჯადი საქმის პლენუმზე გადაცემას, მით უმეტეს</w:t>
      </w:r>
      <w:r w:rsidR="00597D13">
        <w:rPr>
          <w:rFonts w:ascii="Sylfaen" w:hAnsi="Sylfaen" w:cs="Sylfaen"/>
          <w:bCs/>
          <w:sz w:val="24"/>
          <w:szCs w:val="24"/>
        </w:rPr>
        <w:t>,</w:t>
      </w:r>
      <w:r w:rsidRPr="005D64AE">
        <w:rPr>
          <w:rFonts w:ascii="Sylfaen" w:hAnsi="Sylfaen" w:cs="Sylfaen"/>
          <w:bCs/>
          <w:sz w:val="24"/>
          <w:szCs w:val="24"/>
        </w:rPr>
        <w:t xml:space="preserve"> </w:t>
      </w:r>
      <w:r w:rsidR="00597D13">
        <w:rPr>
          <w:rFonts w:ascii="Sylfaen" w:hAnsi="Sylfaen" w:cs="Sylfaen"/>
          <w:bCs/>
          <w:sz w:val="24"/>
          <w:szCs w:val="24"/>
        </w:rPr>
        <w:t>მაშინ,</w:t>
      </w:r>
      <w:r w:rsidRPr="005D64AE">
        <w:rPr>
          <w:rFonts w:ascii="Sylfaen" w:hAnsi="Sylfaen" w:cs="Sylfaen"/>
          <w:bCs/>
          <w:sz w:val="24"/>
          <w:szCs w:val="24"/>
        </w:rPr>
        <w:t xml:space="preserve"> როდესაც კონსტიტუციური სტანდარტები უკვე განმტკიცებულია საკონსტიტუციო სასამართლოს პრაქტიკით</w:t>
      </w:r>
      <w:r w:rsidR="00B66E2D">
        <w:rPr>
          <w:rFonts w:ascii="Sylfaen" w:hAnsi="Sylfaen" w:cs="Sylfaen"/>
          <w:bCs/>
          <w:sz w:val="24"/>
          <w:szCs w:val="24"/>
        </w:rPr>
        <w:t xml:space="preserve">, რასაც, მათ შორის, არ უარყოფს არც შუამდგომლობის ავტორი </w:t>
      </w:r>
      <w:r w:rsidR="00B66E2D" w:rsidRPr="00C91C3D">
        <w:rPr>
          <w:rFonts w:ascii="Sylfaen" w:hAnsi="Sylfaen" w:cs="Sylfaen"/>
          <w:bCs/>
          <w:sz w:val="24"/>
          <w:szCs w:val="24"/>
        </w:rPr>
        <w:t>(</w:t>
      </w:r>
      <w:r w:rsidR="006C4B6F">
        <w:rPr>
          <w:rFonts w:ascii="Sylfaen" w:hAnsi="Sylfaen" w:cs="Sylfaen"/>
          <w:bCs/>
          <w:sz w:val="24"/>
          <w:szCs w:val="24"/>
        </w:rPr>
        <w:t xml:space="preserve">დასახელებულ კონსტიტუციურ </w:t>
      </w:r>
      <w:r w:rsidR="00B66E2D" w:rsidRPr="00C91C3D">
        <w:rPr>
          <w:rFonts w:ascii="Sylfaen" w:hAnsi="Sylfaen" w:cs="Sylfaen"/>
          <w:bCs/>
          <w:sz w:val="24"/>
          <w:szCs w:val="24"/>
        </w:rPr>
        <w:t xml:space="preserve">უფლებებთან მიმართებით საკონსტიტუციო სასამართლოს </w:t>
      </w:r>
      <w:r w:rsidR="00C91C3D" w:rsidRPr="00C91C3D">
        <w:rPr>
          <w:rFonts w:ascii="Sylfaen" w:hAnsi="Sylfaen" w:cs="Sylfaen"/>
          <w:bCs/>
          <w:sz w:val="24"/>
          <w:szCs w:val="24"/>
        </w:rPr>
        <w:t>გააჩნია ხანგრძლივი,</w:t>
      </w:r>
      <w:r w:rsidR="00B66E2D" w:rsidRPr="00C91C3D">
        <w:rPr>
          <w:rFonts w:ascii="Sylfaen" w:hAnsi="Sylfaen" w:cs="Sylfaen"/>
          <w:bCs/>
          <w:sz w:val="24"/>
          <w:szCs w:val="24"/>
        </w:rPr>
        <w:t xml:space="preserve"> </w:t>
      </w:r>
      <w:r w:rsidR="00C91C3D" w:rsidRPr="00C91C3D">
        <w:rPr>
          <w:rFonts w:ascii="Sylfaen" w:hAnsi="Sylfaen" w:cs="Sylfaen"/>
          <w:bCs/>
          <w:sz w:val="24"/>
          <w:szCs w:val="24"/>
        </w:rPr>
        <w:lastRenderedPageBreak/>
        <w:t>თანმიმდევრული და მკაფიოდ ჩამოყალიბებული</w:t>
      </w:r>
      <w:r w:rsidR="00B66E2D" w:rsidRPr="00C91C3D">
        <w:rPr>
          <w:rFonts w:ascii="Sylfaen" w:hAnsi="Sylfaen" w:cs="Sylfaen"/>
          <w:bCs/>
          <w:sz w:val="24"/>
          <w:szCs w:val="24"/>
        </w:rPr>
        <w:t xml:space="preserve"> პრაქტიკა, </w:t>
      </w:r>
      <w:r w:rsidR="00C91C3D" w:rsidRPr="00C91C3D">
        <w:rPr>
          <w:rFonts w:ascii="Sylfaen" w:hAnsi="Sylfaen" w:cs="Sylfaen"/>
          <w:bCs/>
          <w:sz w:val="24"/>
          <w:szCs w:val="24"/>
        </w:rPr>
        <w:t>რომელიც ქმნის სამართლებრივად მდგრად და განსაზღვრულ ჩარჩოს სადავო ნორმების კონსტიტუციურობის შეფასებისთვის</w:t>
      </w:r>
      <w:r w:rsidR="00C91C3D">
        <w:rPr>
          <w:rFonts w:ascii="Sylfaen" w:hAnsi="Sylfaen" w:cs="Sylfaen"/>
          <w:bCs/>
          <w:sz w:val="24"/>
          <w:szCs w:val="24"/>
        </w:rPr>
        <w:t xml:space="preserve"> </w:t>
      </w:r>
      <w:r w:rsidR="00B66E2D" w:rsidRPr="00C91C3D">
        <w:rPr>
          <w:rFonts w:ascii="Sylfaen" w:hAnsi="Sylfaen" w:cs="Sylfaen"/>
          <w:bCs/>
          <w:sz w:val="24"/>
          <w:szCs w:val="24"/>
        </w:rPr>
        <w:t>(იხ., მაგალითად, საქართველოს საკონსტიტუციო სასამართლოს 2025 წლის 28 მარტის №3/5/744 გადაწყვეტილება საქმეზე „ნათელა ჯაშიაშვილი საქართველოს პარლამენტის წინააღმდეგ“; საქართველოს საკონსტიტუციო სასამართლოს 2022 წლის 17 ნოემბრის №1/9/1673,1681 გადაწყვეტილება საქმეზე „ლონდა თოლორაია და საქართველოს სახალხო დამცველი საქართველოს პარლამენტის წინააღმდეგ“; საქართველოს საკონსტიტუციო სასამართლოს 2021 წლის 23 აპრილის №3/1/1298,1313 გადაწყვეტილება საქმეზე „თამაზ მეჭიაური საქართველოს პარლამენტის წინააღმდეგ“; საქართველოს საკონსტიტუციო სასამართლოს 2020 წლის 30 ივლისის №3/1/1459,1491 გადაწყვეტილება საქმეზე „საქართველოს სახალხო დამცველი საქართველოს პარლამენტის წინააღმდეგ“; საქართველოს საკონსტიტუციო სასამართლოს 2017 წლის 17 ოქტომბრის №3/5/626 გადაწყვეტილება საქმეზე „საქართველოს მოქალაქე ოლეგ ლაცაბიძე საქართველოს პარლამენტის წინააღმდეგ“ და სხვ.)</w:t>
      </w:r>
      <w:r w:rsidR="00C91C3D">
        <w:rPr>
          <w:rFonts w:ascii="Sylfaen" w:hAnsi="Sylfaen" w:cs="Sylfaen"/>
          <w:bCs/>
          <w:sz w:val="24"/>
          <w:szCs w:val="24"/>
        </w:rPr>
        <w:t xml:space="preserve">). შესაბამისად, </w:t>
      </w:r>
      <w:r w:rsidR="00C91C3D" w:rsidRPr="00C91C3D">
        <w:rPr>
          <w:rFonts w:ascii="Sylfaen" w:hAnsi="Sylfaen" w:cs="Sylfaen"/>
          <w:bCs/>
          <w:sz w:val="24"/>
          <w:szCs w:val="24"/>
        </w:rPr>
        <w:t>განსახილველი საკითხები არც ამ მხრივ წარმოშობდა საქართველოს კონსტიტუციის განმარტების ან/და გამოყენების იშვიათ ან/და განსაკუთრებით მნიშვნელოვან სამართლებრივ პრობლემას.</w:t>
      </w:r>
    </w:p>
    <w:p w14:paraId="0CA89FFA" w14:textId="06CA1B26" w:rsidR="00EA7DE2" w:rsidRPr="005D64AE" w:rsidRDefault="00AB0761" w:rsidP="005D64AE">
      <w:pPr>
        <w:pStyle w:val="ListParagraph"/>
        <w:numPr>
          <w:ilvl w:val="0"/>
          <w:numId w:val="1"/>
        </w:numPr>
        <w:spacing w:after="0" w:line="276" w:lineRule="auto"/>
        <w:ind w:left="0" w:firstLine="284"/>
        <w:jc w:val="both"/>
        <w:rPr>
          <w:rFonts w:ascii="Sylfaen" w:hAnsi="Sylfaen" w:cs="Sylfaen"/>
          <w:bCs/>
          <w:sz w:val="24"/>
          <w:szCs w:val="24"/>
        </w:rPr>
      </w:pPr>
      <w:r w:rsidRPr="006B4901">
        <w:rPr>
          <w:rFonts w:ascii="Sylfaen" w:hAnsi="Sylfaen" w:cs="Sylfaen"/>
          <w:bCs/>
          <w:sz w:val="24"/>
          <w:szCs w:val="24"/>
        </w:rPr>
        <w:t>№3/1-1/1859,1866</w:t>
      </w:r>
      <w:r w:rsidRPr="005D64AE">
        <w:rPr>
          <w:rFonts w:ascii="Sylfaen" w:hAnsi="Sylfaen" w:cs="Sylfaen"/>
          <w:bCs/>
          <w:sz w:val="24"/>
          <w:szCs w:val="24"/>
        </w:rPr>
        <w:t xml:space="preserve"> საოქმო ჩანაწერი</w:t>
      </w:r>
      <w:r>
        <w:rPr>
          <w:rFonts w:ascii="Sylfaen" w:hAnsi="Sylfaen" w:cs="Sylfaen"/>
          <w:bCs/>
          <w:sz w:val="24"/>
          <w:szCs w:val="24"/>
        </w:rPr>
        <w:t xml:space="preserve">ს მიხედვით, </w:t>
      </w:r>
      <w:r w:rsidR="005E09FD" w:rsidRPr="005D64AE">
        <w:rPr>
          <w:rFonts w:ascii="Sylfaen" w:hAnsi="Sylfaen" w:cs="Sylfaen"/>
          <w:bCs/>
          <w:sz w:val="24"/>
          <w:szCs w:val="24"/>
        </w:rPr>
        <w:t xml:space="preserve">განსაკუთრებით კომპლექსურ </w:t>
      </w:r>
      <w:proofErr w:type="spellStart"/>
      <w:r w:rsidR="005E09FD" w:rsidRPr="005D64AE">
        <w:rPr>
          <w:rFonts w:ascii="Sylfaen" w:hAnsi="Sylfaen" w:cs="Sylfaen"/>
          <w:bCs/>
          <w:sz w:val="24"/>
          <w:szCs w:val="24"/>
        </w:rPr>
        <w:t>კონსტიტუციურსამართლებრივ</w:t>
      </w:r>
      <w:proofErr w:type="spellEnd"/>
      <w:r w:rsidR="005E09FD" w:rsidRPr="005D64AE">
        <w:rPr>
          <w:rFonts w:ascii="Sylfaen" w:hAnsi="Sylfaen" w:cs="Sylfaen"/>
          <w:bCs/>
          <w:sz w:val="24"/>
          <w:szCs w:val="24"/>
        </w:rPr>
        <w:t xml:space="preserve"> ანალიზს საჭიროებს №1859 და №1866 კონსტიტუციური სარჩელებით სადავოდ გამხდარი ნორმებით საკონსტიტუციო სასამართლოს პრაქტიკის დაძლევის საკითხი</w:t>
      </w:r>
      <w:r w:rsidR="00260C46">
        <w:rPr>
          <w:rFonts w:ascii="Sylfaen" w:hAnsi="Sylfaen" w:cs="Sylfaen"/>
          <w:bCs/>
          <w:sz w:val="24"/>
          <w:szCs w:val="24"/>
        </w:rPr>
        <w:t>, რაც</w:t>
      </w:r>
      <w:r w:rsidR="000716FD">
        <w:rPr>
          <w:rFonts w:ascii="Sylfaen" w:hAnsi="Sylfaen" w:cs="Sylfaen"/>
          <w:bCs/>
          <w:sz w:val="24"/>
          <w:szCs w:val="24"/>
        </w:rPr>
        <w:t xml:space="preserve"> </w:t>
      </w:r>
      <w:r w:rsidR="00AC0B2B">
        <w:rPr>
          <w:rFonts w:ascii="Sylfaen" w:hAnsi="Sylfaen" w:cs="Sylfaen"/>
          <w:bCs/>
          <w:sz w:val="24"/>
          <w:szCs w:val="24"/>
        </w:rPr>
        <w:t>წარმოშობს</w:t>
      </w:r>
      <w:r w:rsidR="00260C46">
        <w:rPr>
          <w:rFonts w:ascii="Sylfaen" w:hAnsi="Sylfaen" w:cs="Sylfaen"/>
          <w:bCs/>
          <w:sz w:val="24"/>
          <w:szCs w:val="24"/>
        </w:rPr>
        <w:t xml:space="preserve"> ხსენებული საქმეების პლენუმზე განსახილველად მიღების საჭიროებას</w:t>
      </w:r>
      <w:r w:rsidR="00260C46" w:rsidRPr="005E09FD">
        <w:rPr>
          <w:rFonts w:ascii="Sylfaen" w:hAnsi="Sylfaen" w:cs="Sylfaen"/>
          <w:bCs/>
          <w:sz w:val="24"/>
          <w:szCs w:val="24"/>
        </w:rPr>
        <w:t>.</w:t>
      </w:r>
      <w:r w:rsidR="005E09FD" w:rsidRPr="005D64AE">
        <w:rPr>
          <w:rFonts w:ascii="Sylfaen" w:hAnsi="Sylfaen" w:cs="Sylfaen"/>
          <w:bCs/>
          <w:sz w:val="24"/>
          <w:szCs w:val="24"/>
        </w:rPr>
        <w:t xml:space="preserve"> ჩვენი კოლეგების მოსაზრებით, </w:t>
      </w:r>
      <w:r w:rsidR="00881543" w:rsidRPr="005D64AE">
        <w:rPr>
          <w:rFonts w:ascii="Sylfaen" w:hAnsi="Sylfaen" w:cs="Sylfaen"/>
          <w:bCs/>
          <w:sz w:val="24"/>
          <w:szCs w:val="24"/>
        </w:rPr>
        <w:t>საკონსტიტუციო სასამართლოს პლენუმ</w:t>
      </w:r>
      <w:r w:rsidR="00D51A27">
        <w:rPr>
          <w:rFonts w:ascii="Sylfaen" w:hAnsi="Sylfaen" w:cs="Sylfaen"/>
          <w:bCs/>
          <w:sz w:val="24"/>
          <w:szCs w:val="24"/>
        </w:rPr>
        <w:t>ზე</w:t>
      </w:r>
      <w:r w:rsidR="00881543" w:rsidRPr="005D64AE">
        <w:rPr>
          <w:rFonts w:ascii="Sylfaen" w:hAnsi="Sylfaen" w:cs="Sylfaen"/>
          <w:bCs/>
          <w:sz w:val="24"/>
          <w:szCs w:val="24"/>
        </w:rPr>
        <w:t xml:space="preserve"> </w:t>
      </w:r>
      <w:r w:rsidR="000716FD">
        <w:rPr>
          <w:rFonts w:ascii="Sylfaen" w:hAnsi="Sylfaen" w:cs="Sylfaen"/>
          <w:bCs/>
          <w:sz w:val="24"/>
          <w:szCs w:val="24"/>
        </w:rPr>
        <w:t>აღნიშნული საქმეების</w:t>
      </w:r>
      <w:r w:rsidR="00881543" w:rsidRPr="005D64AE">
        <w:rPr>
          <w:rFonts w:ascii="Sylfaen" w:hAnsi="Sylfaen" w:cs="Sylfaen"/>
          <w:bCs/>
          <w:sz w:val="24"/>
          <w:szCs w:val="24"/>
        </w:rPr>
        <w:t xml:space="preserve"> განხილვის აუცილებლობას წარმოშობს ის გარემოება, რომ დასადგენია, რამდენად განაპირობებს სადავო ნორმები</w:t>
      </w:r>
      <w:r w:rsidR="00AC0B2B">
        <w:rPr>
          <w:rFonts w:ascii="Sylfaen" w:hAnsi="Sylfaen" w:cs="Sylfaen"/>
          <w:bCs/>
          <w:sz w:val="24"/>
          <w:szCs w:val="24"/>
        </w:rPr>
        <w:t xml:space="preserve">ს ნაწილი </w:t>
      </w:r>
      <w:r w:rsidR="00881543" w:rsidRPr="005D64AE">
        <w:rPr>
          <w:rFonts w:ascii="Sylfaen" w:hAnsi="Sylfaen" w:cs="Sylfaen"/>
          <w:bCs/>
          <w:sz w:val="24"/>
          <w:szCs w:val="24"/>
        </w:rPr>
        <w:t>საქართველოს საკონსტიტუციო სასამართლოს 2017 წლის 17 ოქტომბრის №3/5/626 გადაწყვეტილების დაძლევას, იმის მხედველობაში მიღებით, რომ საკონსტიტუციო სასამართლო</w:t>
      </w:r>
      <w:r w:rsidR="000716FD">
        <w:rPr>
          <w:rFonts w:ascii="Sylfaen" w:hAnsi="Sylfaen" w:cs="Sylfaen"/>
          <w:bCs/>
          <w:sz w:val="24"/>
          <w:szCs w:val="24"/>
        </w:rPr>
        <w:t>ს გადაწყვეტილი აქვს</w:t>
      </w:r>
      <w:r w:rsidR="00881543" w:rsidRPr="005D64AE">
        <w:rPr>
          <w:rFonts w:ascii="Sylfaen" w:hAnsi="Sylfaen" w:cs="Sylfaen"/>
          <w:bCs/>
          <w:sz w:val="24"/>
          <w:szCs w:val="24"/>
        </w:rPr>
        <w:t xml:space="preserve"> მხოლოდ გამგეობის/მერიის პირველადი სტრუქტურული ერთეულის ხელმძღვანელის და არა, ზოგადად, ნებისმიერი საჯარო მოსამსახურის თანამდებობაზე დროებით</w:t>
      </w:r>
      <w:r w:rsidR="000716FD">
        <w:rPr>
          <w:rFonts w:ascii="Sylfaen" w:hAnsi="Sylfaen" w:cs="Sylfaen"/>
          <w:bCs/>
          <w:sz w:val="24"/>
          <w:szCs w:val="24"/>
        </w:rPr>
        <w:t>ი</w:t>
      </w:r>
      <w:r w:rsidR="00881543" w:rsidRPr="005D64AE">
        <w:rPr>
          <w:rFonts w:ascii="Sylfaen" w:hAnsi="Sylfaen" w:cs="Sylfaen"/>
          <w:bCs/>
          <w:sz w:val="24"/>
          <w:szCs w:val="24"/>
        </w:rPr>
        <w:t xml:space="preserve"> დანიშვნის კონსტიტუციურობის საკითხი.</w:t>
      </w:r>
    </w:p>
    <w:p w14:paraId="28148D0D" w14:textId="4F12959C" w:rsidR="009B696A" w:rsidRDefault="00881543" w:rsidP="009B696A">
      <w:pPr>
        <w:pStyle w:val="ListParagraph"/>
        <w:numPr>
          <w:ilvl w:val="0"/>
          <w:numId w:val="1"/>
        </w:numPr>
        <w:spacing w:after="0" w:line="276" w:lineRule="auto"/>
        <w:ind w:left="0" w:firstLine="284"/>
        <w:jc w:val="both"/>
        <w:rPr>
          <w:rFonts w:ascii="Sylfaen" w:hAnsi="Sylfaen" w:cs="Sylfaen"/>
          <w:bCs/>
          <w:sz w:val="24"/>
          <w:szCs w:val="24"/>
        </w:rPr>
      </w:pPr>
      <w:r w:rsidRPr="006A35B2">
        <w:rPr>
          <w:rFonts w:ascii="Sylfaen" w:hAnsi="Sylfaen" w:cs="Sylfaen"/>
          <w:bCs/>
          <w:sz w:val="24"/>
          <w:szCs w:val="24"/>
        </w:rPr>
        <w:t xml:space="preserve">აღსანიშნავია, რომ </w:t>
      </w:r>
      <w:r w:rsidR="00542672">
        <w:rPr>
          <w:rFonts w:ascii="Sylfaen" w:hAnsi="Sylfaen" w:cs="Sylfaen"/>
          <w:bCs/>
          <w:sz w:val="24"/>
          <w:szCs w:val="24"/>
        </w:rPr>
        <w:t>საკონსტიტუციო სამართალწარმოების პრაქტიკაში</w:t>
      </w:r>
      <w:r w:rsidR="003579DB" w:rsidRPr="006A35B2">
        <w:rPr>
          <w:rFonts w:ascii="Sylfaen" w:hAnsi="Sylfaen" w:cs="Sylfaen"/>
          <w:bCs/>
          <w:sz w:val="24"/>
          <w:szCs w:val="24"/>
        </w:rPr>
        <w:t xml:space="preserve"> </w:t>
      </w:r>
      <w:r w:rsidR="00FC3E78">
        <w:rPr>
          <w:rFonts w:ascii="Sylfaen" w:hAnsi="Sylfaen" w:cs="Sylfaen"/>
          <w:bCs/>
          <w:sz w:val="24"/>
          <w:szCs w:val="24"/>
        </w:rPr>
        <w:t xml:space="preserve">არსებობს </w:t>
      </w:r>
      <w:r w:rsidRPr="006A35B2">
        <w:rPr>
          <w:rFonts w:ascii="Sylfaen" w:hAnsi="Sylfaen" w:cs="Sylfaen"/>
          <w:bCs/>
          <w:sz w:val="24"/>
          <w:szCs w:val="24"/>
        </w:rPr>
        <w:t>საკმაოდ თანმიმდევრულ</w:t>
      </w:r>
      <w:r w:rsidR="003579DB" w:rsidRPr="006A35B2">
        <w:rPr>
          <w:rFonts w:ascii="Sylfaen" w:hAnsi="Sylfaen" w:cs="Sylfaen"/>
          <w:bCs/>
          <w:sz w:val="24"/>
          <w:szCs w:val="24"/>
        </w:rPr>
        <w:t>ი</w:t>
      </w:r>
      <w:r w:rsidRPr="006A35B2">
        <w:rPr>
          <w:rFonts w:ascii="Sylfaen" w:hAnsi="Sylfaen" w:cs="Sylfaen"/>
          <w:bCs/>
          <w:sz w:val="24"/>
          <w:szCs w:val="24"/>
        </w:rPr>
        <w:t xml:space="preserve"> </w:t>
      </w:r>
      <w:r w:rsidR="00542672">
        <w:rPr>
          <w:rFonts w:ascii="Sylfaen" w:hAnsi="Sylfaen" w:cs="Sylfaen"/>
          <w:bCs/>
          <w:sz w:val="24"/>
          <w:szCs w:val="24"/>
        </w:rPr>
        <w:t>მიდგომები</w:t>
      </w:r>
      <w:r w:rsidRPr="006A35B2">
        <w:rPr>
          <w:rFonts w:ascii="Sylfaen" w:hAnsi="Sylfaen" w:cs="Sylfaen"/>
          <w:bCs/>
          <w:sz w:val="24"/>
          <w:szCs w:val="24"/>
        </w:rPr>
        <w:t xml:space="preserve"> სადავო ნორმის საკონსტიტუციო სასამართლოს გადაწყვეტილების დამძლევ ნორმად მიჩნევის საკითხის გადაწყვეტის სტანდარტებთან დაკავშირებით. </w:t>
      </w:r>
      <w:r w:rsidR="006A35B2" w:rsidRPr="006A35B2">
        <w:rPr>
          <w:rFonts w:ascii="Sylfaen" w:hAnsi="Sylfaen" w:cs="Sylfaen"/>
          <w:bCs/>
          <w:sz w:val="24"/>
          <w:szCs w:val="24"/>
        </w:rPr>
        <w:t xml:space="preserve">კერძოდ, რეგულირება საკონსტიტუციო სასამართლოს გადაწყვეტილების დამძლევად მიიჩნევა მაშინ, როდესაც არსებობს შინაარსობრივი მსგავსება საკონსტიტუციო სასამართლოს მიერ არაკონსტიტუციურად ცნობილ ნორმას/ნორმებს და </w:t>
      </w:r>
      <w:r w:rsidR="00542672">
        <w:rPr>
          <w:rFonts w:ascii="Sylfaen" w:hAnsi="Sylfaen" w:cs="Sylfaen"/>
          <w:bCs/>
          <w:sz w:val="24"/>
          <w:szCs w:val="24"/>
        </w:rPr>
        <w:t>მიმდინარე</w:t>
      </w:r>
      <w:r w:rsidR="006A35B2" w:rsidRPr="006A35B2">
        <w:rPr>
          <w:rFonts w:ascii="Sylfaen" w:hAnsi="Sylfaen" w:cs="Sylfaen"/>
          <w:bCs/>
          <w:sz w:val="24"/>
          <w:szCs w:val="24"/>
        </w:rPr>
        <w:t xml:space="preserve"> საქმეზე სადავოდ </w:t>
      </w:r>
      <w:r w:rsidR="006A35B2" w:rsidRPr="006A35B2">
        <w:rPr>
          <w:rFonts w:ascii="Sylfaen" w:hAnsi="Sylfaen" w:cs="Sylfaen"/>
          <w:bCs/>
          <w:sz w:val="24"/>
          <w:szCs w:val="24"/>
        </w:rPr>
        <w:lastRenderedPageBreak/>
        <w:t xml:space="preserve">გამხდარ ნორმას/ნორმებს შორის, რაც, მოითხოვს, მათ შორის, </w:t>
      </w:r>
      <w:r w:rsidR="00542672">
        <w:rPr>
          <w:rFonts w:ascii="Sylfaen" w:hAnsi="Sylfaen" w:cs="Sylfaen"/>
          <w:bCs/>
          <w:sz w:val="24"/>
          <w:szCs w:val="24"/>
        </w:rPr>
        <w:t>მათი</w:t>
      </w:r>
      <w:r w:rsidR="006A35B2" w:rsidRPr="006A35B2">
        <w:rPr>
          <w:rFonts w:ascii="Sylfaen" w:hAnsi="Sylfaen" w:cs="Sylfaen"/>
          <w:bCs/>
          <w:sz w:val="24"/>
          <w:szCs w:val="24"/>
        </w:rPr>
        <w:t xml:space="preserve"> შინაარსის, მიზანმიმართულების, მათგან მომდინარე პოტენციური შედეგების, ისევე, როგორც კონსტიტუციურ უფლებებში ჩარევის ხასიათის შესწავლასა და გაანალიზებას </w:t>
      </w:r>
      <w:r w:rsidR="006A35B2" w:rsidRPr="006A35B2">
        <w:rPr>
          <w:rFonts w:ascii="Sylfaen" w:hAnsi="Sylfaen"/>
          <w:sz w:val="24"/>
          <w:szCs w:val="24"/>
        </w:rPr>
        <w:t>(იხ., საქართველოს საკონსტიტუციო სასამართლოს 2017 წლის 15 თებერვლის №3/1/855 განჩინება საქმეზე „ბოლნისის რაიონული სასამართლოს კონსტიტუციური წარდგინება საქართველოს სისხლის სამართლის კოდექსის 260-ე მუხლის პირველი ნაწილის იმ ნორმატიული შინაარსის კონსტიტუციურობის თაობაზე, რომელიც ითვალისწინებს</w:t>
      </w:r>
      <w:r w:rsidR="008047DA">
        <w:rPr>
          <w:rFonts w:ascii="Sylfaen" w:hAnsi="Sylfaen"/>
          <w:sz w:val="24"/>
          <w:szCs w:val="24"/>
        </w:rPr>
        <w:t>,</w:t>
      </w:r>
      <w:r w:rsidR="006A35B2" w:rsidRPr="006A35B2">
        <w:rPr>
          <w:rFonts w:ascii="Sylfaen" w:hAnsi="Sylfaen"/>
          <w:sz w:val="24"/>
          <w:szCs w:val="24"/>
        </w:rPr>
        <w:t xml:space="preserve"> სასჯელის სახით</w:t>
      </w:r>
      <w:r w:rsidR="00635B7C">
        <w:rPr>
          <w:rFonts w:ascii="Sylfaen" w:hAnsi="Sylfaen"/>
          <w:sz w:val="24"/>
          <w:szCs w:val="24"/>
        </w:rPr>
        <w:t>,</w:t>
      </w:r>
      <w:r w:rsidR="006A35B2" w:rsidRPr="006A35B2">
        <w:rPr>
          <w:rFonts w:ascii="Sylfaen" w:hAnsi="Sylfaen"/>
          <w:sz w:val="24"/>
          <w:szCs w:val="24"/>
        </w:rPr>
        <w:t xml:space="preserve"> თავისუფლების აღკვეთის გამოყენების შესაძლებლობას ნარკოტიკული საშუალება „ნედლი მარიხუანის“ პირადი მოხმარების მიზნებისთვის შეძენისა და შენახვის გამო“, II-5; საქართველოს საკონსტიტუციო სასამართლოს 2014 წლის 24 ივნისის №1/2/563 განჩინება საქმეზე „ავსტრიის მოქალაქე მათიას ჰუტერი საქართველოს პარლამენტის წინააღმდეგ“, II-10; საქართველოს საკონსტიტუციო სასამართლოს 2012 წლის 14 დეკემბრის №1/5/525 განჩინება საქმეზე „მოლდოვის მოქალაქე მარიანა კიკუ საქართველოს პარლამენტის წინააღმდეგ“, II-11). </w:t>
      </w:r>
      <w:r w:rsidR="00706848" w:rsidRPr="005D64AE">
        <w:rPr>
          <w:rFonts w:ascii="Sylfaen" w:hAnsi="Sylfaen" w:cs="Sylfaen"/>
          <w:bCs/>
          <w:sz w:val="24"/>
          <w:szCs w:val="24"/>
        </w:rPr>
        <w:t>მაშასადამე, საკონსტიტუციო სასამართლოს პრაქტიკა იძლევა არაორაზროვან პასუხებს იმ კუთხით, რა პირობებში შეიძლება/უნდა იქნეს ესა თუ ის რეგულირება საკონსტიტუციო სასამართლოს გადაწყვეტილების დამძლევ ნორმად მიჩნეული.</w:t>
      </w:r>
      <w:r w:rsidR="00CC7D5C">
        <w:rPr>
          <w:rFonts w:ascii="Sylfaen" w:hAnsi="Sylfaen" w:cs="Sylfaen"/>
          <w:bCs/>
          <w:sz w:val="24"/>
          <w:szCs w:val="24"/>
        </w:rPr>
        <w:t xml:space="preserve"> იმავდროულად,</w:t>
      </w:r>
      <w:r w:rsidR="00706848">
        <w:rPr>
          <w:rFonts w:ascii="Sylfaen" w:hAnsi="Sylfaen" w:cs="Sylfaen"/>
          <w:bCs/>
          <w:sz w:val="24"/>
          <w:szCs w:val="24"/>
        </w:rPr>
        <w:t xml:space="preserve"> </w:t>
      </w:r>
      <w:r w:rsidR="0076579B">
        <w:rPr>
          <w:rFonts w:ascii="Sylfaen" w:hAnsi="Sylfaen" w:cs="Sylfaen"/>
          <w:bCs/>
          <w:sz w:val="24"/>
          <w:szCs w:val="24"/>
        </w:rPr>
        <w:t>სადავო ნორმის</w:t>
      </w:r>
      <w:r w:rsidR="00CC7D5C" w:rsidRPr="006A35B2">
        <w:rPr>
          <w:rFonts w:ascii="Sylfaen" w:hAnsi="Sylfaen" w:cs="Sylfaen"/>
          <w:bCs/>
          <w:sz w:val="24"/>
          <w:szCs w:val="24"/>
        </w:rPr>
        <w:t xml:space="preserve"> საკონსტიტუციო სასამართლოს პრაქტიკის დამძლევ ნორმად გამოცხადების საკითხის გადაწყვეტა</w:t>
      </w:r>
      <w:r w:rsidR="00CC7D5C">
        <w:rPr>
          <w:rFonts w:ascii="Sylfaen" w:hAnsi="Sylfaen" w:cs="Sylfaen"/>
          <w:bCs/>
          <w:sz w:val="24"/>
          <w:szCs w:val="24"/>
        </w:rPr>
        <w:t xml:space="preserve"> </w:t>
      </w:r>
      <w:r w:rsidR="00CC7D5C" w:rsidRPr="006A35B2">
        <w:rPr>
          <w:rFonts w:ascii="Sylfaen" w:hAnsi="Sylfaen" w:cs="Sylfaen"/>
          <w:bCs/>
          <w:sz w:val="24"/>
          <w:szCs w:val="24"/>
        </w:rPr>
        <w:t>მოითხოვს</w:t>
      </w:r>
      <w:r w:rsidR="00E93FCB">
        <w:rPr>
          <w:rFonts w:ascii="Sylfaen" w:hAnsi="Sylfaen" w:cs="Sylfaen"/>
          <w:bCs/>
          <w:sz w:val="24"/>
          <w:szCs w:val="24"/>
        </w:rPr>
        <w:t xml:space="preserve"> </w:t>
      </w:r>
      <w:r w:rsidR="00CC7D5C" w:rsidRPr="006A35B2">
        <w:rPr>
          <w:rFonts w:ascii="Sylfaen" w:hAnsi="Sylfaen" w:cs="Sylfaen"/>
          <w:bCs/>
          <w:sz w:val="24"/>
          <w:szCs w:val="24"/>
        </w:rPr>
        <w:t xml:space="preserve">არა </w:t>
      </w:r>
      <w:r w:rsidR="00CC7D5C">
        <w:rPr>
          <w:rFonts w:ascii="Sylfaen" w:hAnsi="Sylfaen" w:cs="Sylfaen"/>
          <w:bCs/>
          <w:sz w:val="24"/>
          <w:szCs w:val="24"/>
        </w:rPr>
        <w:t>ძირეულად</w:t>
      </w:r>
      <w:r w:rsidR="00CC7D5C" w:rsidRPr="006A35B2">
        <w:rPr>
          <w:rFonts w:ascii="Sylfaen" w:hAnsi="Sylfaen" w:cs="Sylfaen"/>
          <w:bCs/>
          <w:sz w:val="24"/>
          <w:szCs w:val="24"/>
        </w:rPr>
        <w:t xml:space="preserve"> ახალი კონსტიტუციური სტანდარტების დადგენას, </w:t>
      </w:r>
      <w:r w:rsidR="00CC7D5C">
        <w:rPr>
          <w:rFonts w:ascii="Sylfaen" w:hAnsi="Sylfaen" w:cs="Sylfaen"/>
          <w:bCs/>
          <w:sz w:val="24"/>
          <w:szCs w:val="24"/>
        </w:rPr>
        <w:t>არამედ უკვე არსებული სტანდარტების</w:t>
      </w:r>
      <w:r w:rsidR="00CC7D5C" w:rsidRPr="006A35B2">
        <w:rPr>
          <w:rFonts w:ascii="Sylfaen" w:hAnsi="Sylfaen" w:cs="Sylfaen"/>
          <w:bCs/>
          <w:sz w:val="24"/>
          <w:szCs w:val="24"/>
        </w:rPr>
        <w:t xml:space="preserve"> </w:t>
      </w:r>
      <w:r w:rsidR="00CC7D5C">
        <w:rPr>
          <w:rFonts w:ascii="Sylfaen" w:hAnsi="Sylfaen" w:cs="Sylfaen"/>
          <w:bCs/>
          <w:sz w:val="24"/>
          <w:szCs w:val="24"/>
        </w:rPr>
        <w:t>მოძიებას,</w:t>
      </w:r>
      <w:r w:rsidR="00CC7D5C" w:rsidRPr="006A35B2">
        <w:rPr>
          <w:rFonts w:ascii="Sylfaen" w:hAnsi="Sylfaen" w:cs="Sylfaen"/>
          <w:bCs/>
          <w:sz w:val="24"/>
          <w:szCs w:val="24"/>
        </w:rPr>
        <w:t xml:space="preserve"> გააზრებასა და მისადაგებას სადავო ნორმასთან</w:t>
      </w:r>
      <w:r w:rsidR="0076579B">
        <w:rPr>
          <w:rFonts w:ascii="Sylfaen" w:hAnsi="Sylfaen" w:cs="Sylfaen"/>
          <w:bCs/>
          <w:sz w:val="24"/>
          <w:szCs w:val="24"/>
        </w:rPr>
        <w:t>/ნორმებთან</w:t>
      </w:r>
      <w:r w:rsidR="00CC7D5C" w:rsidRPr="006A35B2">
        <w:rPr>
          <w:rFonts w:ascii="Sylfaen" w:hAnsi="Sylfaen" w:cs="Sylfaen"/>
          <w:bCs/>
          <w:sz w:val="24"/>
          <w:szCs w:val="24"/>
        </w:rPr>
        <w:t xml:space="preserve"> მიმართებით</w:t>
      </w:r>
      <w:r w:rsidR="009B696A">
        <w:rPr>
          <w:rFonts w:ascii="Sylfaen" w:hAnsi="Sylfaen" w:cs="Sylfaen"/>
          <w:bCs/>
          <w:sz w:val="24"/>
          <w:szCs w:val="24"/>
        </w:rPr>
        <w:t xml:space="preserve">. აღნიშნული მექანიზმის გამოყენებით, საკონსტიტუციო სასამართლოს კოლეგიებს, </w:t>
      </w:r>
      <w:r w:rsidR="00391D65">
        <w:rPr>
          <w:rFonts w:ascii="Sylfaen" w:hAnsi="Sylfaen" w:cs="Sylfaen"/>
          <w:bCs/>
          <w:sz w:val="24"/>
          <w:szCs w:val="24"/>
        </w:rPr>
        <w:t>არაერთი</w:t>
      </w:r>
      <w:r w:rsidR="009B696A">
        <w:rPr>
          <w:rFonts w:ascii="Sylfaen" w:hAnsi="Sylfaen" w:cs="Sylfaen"/>
          <w:bCs/>
          <w:sz w:val="24"/>
          <w:szCs w:val="24"/>
        </w:rPr>
        <w:t xml:space="preserve"> კონსტიტუციური სარჩელის ფარგლებში, შეუფასებია </w:t>
      </w:r>
      <w:r w:rsidR="00E93FCB">
        <w:rPr>
          <w:rFonts w:ascii="Sylfaen" w:hAnsi="Sylfaen" w:cs="Sylfaen"/>
          <w:bCs/>
          <w:sz w:val="24"/>
          <w:szCs w:val="24"/>
        </w:rPr>
        <w:t>სადავო ნორმის/ნორმების</w:t>
      </w:r>
      <w:r w:rsidR="009B696A">
        <w:rPr>
          <w:rFonts w:ascii="Sylfaen" w:hAnsi="Sylfaen" w:cs="Sylfaen"/>
          <w:bCs/>
          <w:sz w:val="24"/>
          <w:szCs w:val="24"/>
        </w:rPr>
        <w:t xml:space="preserve"> </w:t>
      </w:r>
      <w:r w:rsidR="009B696A" w:rsidRPr="00E02B56">
        <w:rPr>
          <w:rFonts w:ascii="Sylfaen" w:hAnsi="Sylfaen" w:cs="Sylfaen"/>
          <w:bCs/>
          <w:sz w:val="24"/>
          <w:szCs w:val="24"/>
        </w:rPr>
        <w:t>საკონსტიტუციო სასამართლოს გადაწყვეტილების დამძლევ ნორმად მიჩნევის საკითხი</w:t>
      </w:r>
      <w:r w:rsidR="009B696A">
        <w:rPr>
          <w:rFonts w:ascii="Sylfaen" w:hAnsi="Sylfaen" w:cs="Sylfaen"/>
          <w:bCs/>
          <w:sz w:val="24"/>
          <w:szCs w:val="24"/>
        </w:rPr>
        <w:t>.</w:t>
      </w:r>
    </w:p>
    <w:p w14:paraId="407F0DB7" w14:textId="542F37B6" w:rsidR="00391D65" w:rsidRDefault="00625EB5" w:rsidP="00391D65">
      <w:pPr>
        <w:pStyle w:val="ListParagraph"/>
        <w:numPr>
          <w:ilvl w:val="0"/>
          <w:numId w:val="1"/>
        </w:numPr>
        <w:spacing w:after="0" w:line="276" w:lineRule="auto"/>
        <w:ind w:left="0" w:firstLine="284"/>
        <w:jc w:val="both"/>
        <w:rPr>
          <w:rFonts w:ascii="Sylfaen" w:hAnsi="Sylfaen" w:cs="Sylfaen"/>
          <w:bCs/>
          <w:sz w:val="24"/>
          <w:szCs w:val="24"/>
        </w:rPr>
      </w:pPr>
      <w:r w:rsidRPr="009B696A">
        <w:rPr>
          <w:rFonts w:ascii="Sylfaen" w:hAnsi="Sylfaen"/>
          <w:sz w:val="24"/>
          <w:szCs w:val="24"/>
        </w:rPr>
        <w:t xml:space="preserve">იმავდროულად, მიუხედავად იმისა, </w:t>
      </w:r>
      <w:r w:rsidR="003121DD" w:rsidRPr="009B696A">
        <w:rPr>
          <w:rFonts w:ascii="Sylfaen" w:hAnsi="Sylfaen"/>
          <w:sz w:val="24"/>
          <w:szCs w:val="24"/>
        </w:rPr>
        <w:t xml:space="preserve">რომ </w:t>
      </w:r>
      <w:r w:rsidRPr="009B696A">
        <w:rPr>
          <w:rFonts w:ascii="Sylfaen" w:hAnsi="Sylfaen" w:cs="Sylfaen"/>
          <w:bCs/>
          <w:sz w:val="24"/>
          <w:szCs w:val="24"/>
        </w:rPr>
        <w:t>2017 წლის 17 ოქტომბრის №3/5/626 გადაწყვეტილებაში</w:t>
      </w:r>
      <w:r w:rsidR="007E1BF4" w:rsidRPr="009B696A">
        <w:rPr>
          <w:rFonts w:ascii="Sylfaen" w:hAnsi="Sylfaen" w:cs="Sylfaen"/>
          <w:bCs/>
          <w:sz w:val="24"/>
          <w:szCs w:val="24"/>
        </w:rPr>
        <w:t>,</w:t>
      </w:r>
      <w:r w:rsidRPr="009B696A">
        <w:rPr>
          <w:rFonts w:ascii="Sylfaen" w:hAnsi="Sylfaen" w:cs="Sylfaen"/>
          <w:bCs/>
          <w:sz w:val="24"/>
          <w:szCs w:val="24"/>
        </w:rPr>
        <w:t xml:space="preserve"> </w:t>
      </w:r>
      <w:r w:rsidR="003121DD" w:rsidRPr="009B696A">
        <w:rPr>
          <w:rFonts w:ascii="Sylfaen" w:hAnsi="Sylfaen" w:cs="Sylfaen"/>
          <w:bCs/>
          <w:sz w:val="24"/>
          <w:szCs w:val="24"/>
        </w:rPr>
        <w:t xml:space="preserve">საკონსტიტუციო სასამართლო </w:t>
      </w:r>
      <w:r w:rsidRPr="009B696A">
        <w:rPr>
          <w:rFonts w:ascii="Sylfaen" w:hAnsi="Sylfaen" w:cs="Sylfaen"/>
          <w:bCs/>
          <w:sz w:val="24"/>
          <w:szCs w:val="24"/>
        </w:rPr>
        <w:t>შეზღუდული იყო სასარჩელო მოთხოვნით და</w:t>
      </w:r>
      <w:r w:rsidR="003121DD" w:rsidRPr="009B696A">
        <w:rPr>
          <w:rFonts w:ascii="Sylfaen" w:hAnsi="Sylfaen" w:cs="Sylfaen"/>
          <w:bCs/>
          <w:sz w:val="24"/>
          <w:szCs w:val="24"/>
        </w:rPr>
        <w:t xml:space="preserve"> </w:t>
      </w:r>
      <w:r w:rsidRPr="009B696A">
        <w:rPr>
          <w:rFonts w:ascii="Sylfaen" w:hAnsi="Sylfaen" w:cs="Sylfaen"/>
          <w:bCs/>
          <w:sz w:val="24"/>
          <w:szCs w:val="24"/>
        </w:rPr>
        <w:t>კონსტიტუციურობის შემოწმება შეეხებოდა გამგეობის/მერიის სტრუქტურული ერთეულის ხელმძღვანელების უფლებამოსილების ავტომატურად</w:t>
      </w:r>
      <w:r w:rsidR="00E93FCB">
        <w:rPr>
          <w:rFonts w:ascii="Sylfaen" w:hAnsi="Sylfaen" w:cs="Sylfaen"/>
          <w:bCs/>
          <w:sz w:val="24"/>
          <w:szCs w:val="24"/>
        </w:rPr>
        <w:t>,</w:t>
      </w:r>
      <w:r w:rsidRPr="009B696A">
        <w:rPr>
          <w:rFonts w:ascii="Sylfaen" w:hAnsi="Sylfaen" w:cs="Sylfaen"/>
          <w:bCs/>
          <w:sz w:val="24"/>
          <w:szCs w:val="24"/>
        </w:rPr>
        <w:t xml:space="preserve"> კვალიფიკაციის, გამოცდილებისა თუ სხვა უნარების შემოწმება-შეფასების გარეშე</w:t>
      </w:r>
      <w:r w:rsidR="003954F0" w:rsidRPr="009B696A">
        <w:rPr>
          <w:rFonts w:ascii="Sylfaen" w:hAnsi="Sylfaen" w:cs="Sylfaen"/>
          <w:bCs/>
          <w:sz w:val="24"/>
          <w:szCs w:val="24"/>
        </w:rPr>
        <w:t xml:space="preserve"> შეწყვეტას,</w:t>
      </w:r>
      <w:r w:rsidRPr="009B696A">
        <w:rPr>
          <w:rFonts w:ascii="Sylfaen" w:hAnsi="Sylfaen" w:cs="Sylfaen"/>
          <w:bCs/>
          <w:sz w:val="24"/>
          <w:szCs w:val="24"/>
        </w:rPr>
        <w:t xml:space="preserve"> ახალი გამგებლის/მერის მიერ უფლებამოსილების დაწყების მომენტიდან, </w:t>
      </w:r>
      <w:r w:rsidR="007E1BF4" w:rsidRPr="009B696A">
        <w:rPr>
          <w:rFonts w:ascii="Sylfaen" w:hAnsi="Sylfaen" w:cs="Sylfaen"/>
          <w:bCs/>
          <w:sz w:val="24"/>
          <w:szCs w:val="24"/>
        </w:rPr>
        <w:t xml:space="preserve">აღნიშნული გადაწყვეტილებით, საკონსტიტუციო სასამართლომ დაადგინა </w:t>
      </w:r>
      <w:r w:rsidR="00BD6BBB">
        <w:rPr>
          <w:rFonts w:ascii="Sylfaen" w:hAnsi="Sylfaen" w:cs="Sylfaen"/>
          <w:bCs/>
          <w:sz w:val="24"/>
          <w:szCs w:val="24"/>
        </w:rPr>
        <w:t>საჯარო თანამდებობების</w:t>
      </w:r>
      <w:r w:rsidR="00BC3C7E" w:rsidRPr="009B696A">
        <w:rPr>
          <w:rFonts w:ascii="Sylfaen" w:hAnsi="Sylfaen" w:cs="Sylfaen"/>
          <w:bCs/>
          <w:sz w:val="24"/>
          <w:szCs w:val="24"/>
        </w:rPr>
        <w:t xml:space="preserve"> </w:t>
      </w:r>
      <w:r w:rsidR="007E1BF4" w:rsidRPr="009B696A">
        <w:rPr>
          <w:rFonts w:ascii="Sylfaen" w:hAnsi="Sylfaen" w:cs="Sylfaen"/>
          <w:bCs/>
          <w:sz w:val="24"/>
          <w:szCs w:val="24"/>
        </w:rPr>
        <w:t>ბუნების</w:t>
      </w:r>
      <w:r w:rsidR="00BC1C7D" w:rsidRPr="009B696A">
        <w:rPr>
          <w:rFonts w:ascii="Sylfaen" w:hAnsi="Sylfaen" w:cs="Sylfaen"/>
          <w:bCs/>
          <w:sz w:val="24"/>
          <w:szCs w:val="24"/>
        </w:rPr>
        <w:t>/სტატუსის</w:t>
      </w:r>
      <w:r w:rsidR="007E1BF4" w:rsidRPr="009B696A">
        <w:rPr>
          <w:rFonts w:ascii="Sylfaen" w:hAnsi="Sylfaen" w:cs="Sylfaen"/>
          <w:bCs/>
          <w:sz w:val="24"/>
          <w:szCs w:val="24"/>
        </w:rPr>
        <w:t xml:space="preserve"> განმსაზღვრელი კრიტერიუმები და</w:t>
      </w:r>
      <w:r w:rsidR="00E93FCB">
        <w:rPr>
          <w:rFonts w:ascii="Sylfaen" w:hAnsi="Sylfaen" w:cs="Sylfaen"/>
          <w:bCs/>
          <w:sz w:val="24"/>
          <w:szCs w:val="24"/>
        </w:rPr>
        <w:t>,</w:t>
      </w:r>
      <w:r w:rsidR="007E1BF4" w:rsidRPr="009B696A">
        <w:rPr>
          <w:rFonts w:ascii="Sylfaen" w:hAnsi="Sylfaen" w:cs="Sylfaen"/>
          <w:bCs/>
          <w:sz w:val="24"/>
          <w:szCs w:val="24"/>
        </w:rPr>
        <w:t xml:space="preserve"> </w:t>
      </w:r>
      <w:r w:rsidR="00BD6BBB">
        <w:rPr>
          <w:rFonts w:ascii="Sylfaen" w:hAnsi="Sylfaen" w:cs="Sylfaen"/>
          <w:bCs/>
          <w:sz w:val="24"/>
          <w:szCs w:val="24"/>
        </w:rPr>
        <w:t>მათი</w:t>
      </w:r>
      <w:r w:rsidR="007E1BF4" w:rsidRPr="009B696A">
        <w:rPr>
          <w:rFonts w:ascii="Sylfaen" w:hAnsi="Sylfaen" w:cs="Sylfaen"/>
          <w:bCs/>
          <w:sz w:val="24"/>
          <w:szCs w:val="24"/>
        </w:rPr>
        <w:t xml:space="preserve"> თავისებურებების გათვალისწინებით, განსაზღვრა საჯარო თანამდებობაზე </w:t>
      </w:r>
      <w:r w:rsidR="00123C72" w:rsidRPr="009B696A">
        <w:rPr>
          <w:rFonts w:ascii="Sylfaen" w:hAnsi="Sylfaen" w:cs="Sylfaen"/>
          <w:bCs/>
          <w:sz w:val="24"/>
          <w:szCs w:val="24"/>
        </w:rPr>
        <w:t xml:space="preserve">პროფესიული ნიშნით განწესებული პირის </w:t>
      </w:r>
      <w:r w:rsidR="007E1BF4" w:rsidRPr="009B696A">
        <w:rPr>
          <w:rFonts w:ascii="Sylfaen" w:hAnsi="Sylfaen" w:cs="Sylfaen"/>
          <w:bCs/>
          <w:sz w:val="24"/>
          <w:szCs w:val="24"/>
        </w:rPr>
        <w:t xml:space="preserve">უფლებამოსილებების შეუფერხებლად განხორციელების, თანამდებობაში ჩაურევლობისა თუ დაკავებული თანამდებობიდან გათავისუფლებისაგან დაცვის </w:t>
      </w:r>
      <w:r w:rsidR="000E17F5" w:rsidRPr="009B696A">
        <w:rPr>
          <w:rFonts w:ascii="Sylfaen" w:hAnsi="Sylfaen" w:cs="Sylfaen"/>
          <w:bCs/>
          <w:sz w:val="24"/>
          <w:szCs w:val="24"/>
        </w:rPr>
        <w:lastRenderedPageBreak/>
        <w:t>კონსტიტუციური</w:t>
      </w:r>
      <w:r w:rsidR="007E1BF4" w:rsidRPr="009B696A">
        <w:rPr>
          <w:rFonts w:ascii="Sylfaen" w:hAnsi="Sylfaen" w:cs="Sylfaen"/>
          <w:bCs/>
          <w:sz w:val="24"/>
          <w:szCs w:val="24"/>
        </w:rPr>
        <w:t xml:space="preserve"> გარანტიებ</w:t>
      </w:r>
      <w:r w:rsidR="000E17F5" w:rsidRPr="009B696A">
        <w:rPr>
          <w:rFonts w:ascii="Sylfaen" w:hAnsi="Sylfaen" w:cs="Sylfaen"/>
          <w:bCs/>
          <w:sz w:val="24"/>
          <w:szCs w:val="24"/>
        </w:rPr>
        <w:t>ი (საქართველოს საკონსტიტუციო სასამართლოს 2017 წლის 17 ოქტომბრის №3/5/626 გადაწყვეტილება საქმეზე „საქართველოს მოქალაქე ოლეგ ლაცაბიძე საქართველოს პარლამენტის წინააღმდეგ“, II-17</w:t>
      </w:r>
      <w:r w:rsidR="008372D2" w:rsidRPr="009B696A">
        <w:rPr>
          <w:rFonts w:ascii="Sylfaen" w:hAnsi="Sylfaen" w:cs="Sylfaen"/>
          <w:bCs/>
          <w:sz w:val="24"/>
          <w:szCs w:val="24"/>
        </w:rPr>
        <w:t>).</w:t>
      </w:r>
      <w:r w:rsidR="00391D65">
        <w:rPr>
          <w:rFonts w:ascii="Sylfaen" w:hAnsi="Sylfaen" w:cs="Sylfaen"/>
          <w:bCs/>
          <w:sz w:val="24"/>
          <w:szCs w:val="24"/>
        </w:rPr>
        <w:t xml:space="preserve"> </w:t>
      </w:r>
    </w:p>
    <w:p w14:paraId="6A8CD7F2" w14:textId="3D42D188" w:rsidR="00391D65" w:rsidRPr="004A18A8" w:rsidRDefault="004A18A8" w:rsidP="00EB1370">
      <w:pPr>
        <w:pStyle w:val="ListParagraph"/>
        <w:numPr>
          <w:ilvl w:val="0"/>
          <w:numId w:val="1"/>
        </w:numPr>
        <w:spacing w:after="0" w:line="276" w:lineRule="auto"/>
        <w:ind w:left="0" w:firstLine="284"/>
        <w:jc w:val="both"/>
        <w:rPr>
          <w:rFonts w:ascii="Sylfaen" w:hAnsi="Sylfaen" w:cs="Sylfaen"/>
          <w:bCs/>
          <w:sz w:val="24"/>
          <w:szCs w:val="24"/>
        </w:rPr>
      </w:pPr>
      <w:r w:rsidRPr="004A18A8">
        <w:rPr>
          <w:rFonts w:ascii="Sylfaen" w:hAnsi="Sylfaen" w:cs="Sylfaen"/>
          <w:bCs/>
          <w:sz w:val="24"/>
          <w:szCs w:val="24"/>
        </w:rPr>
        <w:t>თავისთავად, ის გარემოება, რომ 2017 წლის 17 ოქტომბრის №3/5/626 გადაწყვეტილებით არაკონსტიტუციურად ცნობილი ნორმ</w:t>
      </w:r>
      <w:r w:rsidR="009D2E74">
        <w:rPr>
          <w:rFonts w:ascii="Sylfaen" w:hAnsi="Sylfaen" w:cs="Sylfaen"/>
          <w:bCs/>
          <w:sz w:val="24"/>
          <w:szCs w:val="24"/>
        </w:rPr>
        <w:t>ები</w:t>
      </w:r>
      <w:r w:rsidRPr="004A18A8">
        <w:rPr>
          <w:rFonts w:ascii="Sylfaen" w:hAnsi="Sylfaen" w:cs="Sylfaen"/>
          <w:bCs/>
          <w:sz w:val="24"/>
          <w:szCs w:val="24"/>
        </w:rPr>
        <w:t xml:space="preserve"> მიემართებოდა საჯარო თანამდებობაზე განწესებულ პირთა მხოლოდ გარკვეულ ნაწილს, </w:t>
      </w:r>
      <w:r w:rsidR="009D2E74">
        <w:rPr>
          <w:rFonts w:ascii="Sylfaen" w:hAnsi="Sylfaen" w:cs="Sylfaen"/>
          <w:bCs/>
          <w:sz w:val="24"/>
          <w:szCs w:val="24"/>
        </w:rPr>
        <w:t>ხოლო</w:t>
      </w:r>
      <w:r w:rsidRPr="004A18A8">
        <w:rPr>
          <w:rFonts w:ascii="Sylfaen" w:hAnsi="Sylfaen" w:cs="Sylfaen"/>
          <w:bCs/>
          <w:sz w:val="24"/>
          <w:szCs w:val="24"/>
        </w:rPr>
        <w:t xml:space="preserve"> სადავო რეგულირებები საჯარო სამსახურის სისტემაში დასაქმებულ ყველა საჯარო მოხელეს, არ წარმოადგენს </w:t>
      </w:r>
      <w:r w:rsidR="00B444B3">
        <w:rPr>
          <w:rFonts w:ascii="Sylfaen" w:hAnsi="Sylfaen" w:cs="Sylfaen"/>
          <w:bCs/>
          <w:sz w:val="24"/>
          <w:szCs w:val="24"/>
        </w:rPr>
        <w:t>მათ მიერ</w:t>
      </w:r>
      <w:r w:rsidRPr="004A18A8">
        <w:rPr>
          <w:rFonts w:ascii="Sylfaen" w:hAnsi="Sylfaen" w:cs="Sylfaen"/>
          <w:bCs/>
          <w:sz w:val="24"/>
          <w:szCs w:val="24"/>
        </w:rPr>
        <w:t xml:space="preserve"> საკონსტიტუციო სასამართლოს პრაქტიკის </w:t>
      </w:r>
      <w:proofErr w:type="spellStart"/>
      <w:r w:rsidRPr="004A18A8">
        <w:rPr>
          <w:rFonts w:ascii="Sylfaen" w:hAnsi="Sylfaen" w:cs="Sylfaen"/>
          <w:bCs/>
          <w:sz w:val="24"/>
          <w:szCs w:val="24"/>
        </w:rPr>
        <w:t>დამძლევობის</w:t>
      </w:r>
      <w:proofErr w:type="spellEnd"/>
      <w:r w:rsidRPr="004A18A8">
        <w:rPr>
          <w:rFonts w:ascii="Sylfaen" w:hAnsi="Sylfaen" w:cs="Sylfaen"/>
          <w:bCs/>
          <w:sz w:val="24"/>
          <w:szCs w:val="24"/>
        </w:rPr>
        <w:t xml:space="preserve"> საკითხის,</w:t>
      </w:r>
      <w:r w:rsidR="00B444B3">
        <w:rPr>
          <w:rFonts w:ascii="Sylfaen" w:hAnsi="Sylfaen" w:cs="Sylfaen"/>
          <w:bCs/>
          <w:sz w:val="24"/>
          <w:szCs w:val="24"/>
        </w:rPr>
        <w:t xml:space="preserve"> </w:t>
      </w:r>
      <w:r w:rsidRPr="004A18A8">
        <w:rPr>
          <w:rFonts w:ascii="Sylfaen" w:hAnsi="Sylfaen" w:cs="Sylfaen"/>
          <w:bCs/>
          <w:sz w:val="24"/>
          <w:szCs w:val="24"/>
        </w:rPr>
        <w:t>კოლეგიის ფორმატში</w:t>
      </w:r>
      <w:r w:rsidR="00FA78F6">
        <w:rPr>
          <w:rFonts w:ascii="Sylfaen" w:hAnsi="Sylfaen" w:cs="Sylfaen"/>
          <w:bCs/>
          <w:sz w:val="24"/>
          <w:szCs w:val="24"/>
        </w:rPr>
        <w:t>,</w:t>
      </w:r>
      <w:r w:rsidRPr="004A18A8">
        <w:rPr>
          <w:rFonts w:ascii="Sylfaen" w:hAnsi="Sylfaen" w:cs="Sylfaen"/>
          <w:bCs/>
          <w:sz w:val="24"/>
          <w:szCs w:val="24"/>
        </w:rPr>
        <w:t xml:space="preserve"> გადაწყვეტის </w:t>
      </w:r>
      <w:r w:rsidR="00B444B3">
        <w:rPr>
          <w:rFonts w:ascii="Sylfaen" w:hAnsi="Sylfaen" w:cs="Sylfaen"/>
          <w:bCs/>
          <w:sz w:val="24"/>
          <w:szCs w:val="24"/>
        </w:rPr>
        <w:t>შემაფერხებელ სამართლებრივ</w:t>
      </w:r>
      <w:r w:rsidRPr="004A18A8">
        <w:rPr>
          <w:rFonts w:ascii="Sylfaen" w:hAnsi="Sylfaen" w:cs="Sylfaen"/>
          <w:bCs/>
          <w:sz w:val="24"/>
          <w:szCs w:val="24"/>
        </w:rPr>
        <w:t xml:space="preserve"> გარემოებას. </w:t>
      </w:r>
      <w:r w:rsidR="00AD5E56" w:rsidRPr="004A18A8">
        <w:rPr>
          <w:rFonts w:ascii="Sylfaen" w:hAnsi="Sylfaen" w:cs="Sylfaen"/>
          <w:bCs/>
          <w:sz w:val="24"/>
          <w:szCs w:val="24"/>
        </w:rPr>
        <w:t xml:space="preserve">მაგალითად, საკონსტიტუციო სასამართლოს კოლეგიების ფარგლებში, </w:t>
      </w:r>
      <w:r w:rsidR="007F1AD1" w:rsidRPr="004A18A8">
        <w:rPr>
          <w:rFonts w:ascii="Sylfaen" w:hAnsi="Sylfaen" w:cs="Sylfaen"/>
          <w:bCs/>
          <w:sz w:val="24"/>
          <w:szCs w:val="24"/>
        </w:rPr>
        <w:t xml:space="preserve">საკონსტიტუციო სასამართლოს გადაწყვეტილების დამძლევ ნორმად იქნა მიჩნული (ა) </w:t>
      </w:r>
      <w:r w:rsidR="00E960E0" w:rsidRPr="004A18A8">
        <w:rPr>
          <w:rFonts w:ascii="Sylfaen" w:hAnsi="Sylfaen" w:cs="Sylfaen"/>
          <w:bCs/>
          <w:sz w:val="24"/>
          <w:szCs w:val="24"/>
        </w:rPr>
        <w:t>სახელმწიფოს მიერ დაფუძნებული უმაღლესი საგანმანათლებლო დაწესებულების აკადემიურ თანამდებობაზე პირის არჩევის ზღვრული</w:t>
      </w:r>
      <w:r w:rsidR="00E93FCB">
        <w:rPr>
          <w:rFonts w:ascii="Sylfaen" w:hAnsi="Sylfaen" w:cs="Sylfaen"/>
          <w:bCs/>
          <w:sz w:val="24"/>
          <w:szCs w:val="24"/>
        </w:rPr>
        <w:t xml:space="preserve"> ასაკის</w:t>
      </w:r>
      <w:r w:rsidR="00E960E0" w:rsidRPr="004A18A8">
        <w:rPr>
          <w:rFonts w:ascii="Sylfaen" w:hAnsi="Sylfaen" w:cs="Sylfaen"/>
          <w:bCs/>
          <w:sz w:val="24"/>
          <w:szCs w:val="24"/>
        </w:rPr>
        <w:t xml:space="preserve"> მომწესრიგებელი წესი</w:t>
      </w:r>
      <w:r w:rsidR="007F1AD1" w:rsidRPr="004A18A8">
        <w:rPr>
          <w:rFonts w:ascii="Sylfaen" w:hAnsi="Sylfaen" w:cs="Sylfaen"/>
          <w:bCs/>
          <w:sz w:val="24"/>
          <w:szCs w:val="24"/>
        </w:rPr>
        <w:t xml:space="preserve">, </w:t>
      </w:r>
      <w:r w:rsidR="00E960E0" w:rsidRPr="004A18A8">
        <w:rPr>
          <w:rFonts w:ascii="Sylfaen" w:hAnsi="Sylfaen" w:cs="Sylfaen"/>
          <w:bCs/>
          <w:sz w:val="24"/>
          <w:szCs w:val="24"/>
        </w:rPr>
        <w:t>იმ გადაწყვეტილებ</w:t>
      </w:r>
      <w:r w:rsidR="007F1AD1" w:rsidRPr="004A18A8">
        <w:rPr>
          <w:rFonts w:ascii="Sylfaen" w:hAnsi="Sylfaen" w:cs="Sylfaen"/>
          <w:bCs/>
          <w:sz w:val="24"/>
          <w:szCs w:val="24"/>
        </w:rPr>
        <w:t>აზე</w:t>
      </w:r>
      <w:r w:rsidR="00E960E0" w:rsidRPr="004A18A8">
        <w:rPr>
          <w:rFonts w:ascii="Sylfaen" w:hAnsi="Sylfaen" w:cs="Sylfaen"/>
          <w:bCs/>
          <w:sz w:val="24"/>
          <w:szCs w:val="24"/>
        </w:rPr>
        <w:t xml:space="preserve"> </w:t>
      </w:r>
      <w:r w:rsidR="007F1AD1" w:rsidRPr="004A18A8">
        <w:rPr>
          <w:rFonts w:ascii="Sylfaen" w:hAnsi="Sylfaen" w:cs="Sylfaen"/>
          <w:bCs/>
          <w:sz w:val="24"/>
          <w:szCs w:val="24"/>
        </w:rPr>
        <w:t xml:space="preserve">დაყრდნობით, </w:t>
      </w:r>
      <w:r w:rsidR="00E960E0" w:rsidRPr="004A18A8">
        <w:rPr>
          <w:rFonts w:ascii="Sylfaen" w:hAnsi="Sylfaen" w:cs="Sylfaen"/>
          <w:bCs/>
          <w:sz w:val="24"/>
          <w:szCs w:val="24"/>
        </w:rPr>
        <w:t xml:space="preserve">რომლითაც არაკონსტიტუციურად იქნა ცნობილი </w:t>
      </w:r>
      <w:r w:rsidR="007F1AD1" w:rsidRPr="004A18A8">
        <w:rPr>
          <w:rFonts w:ascii="Sylfaen" w:hAnsi="Sylfaen" w:cs="Sylfaen"/>
          <w:bCs/>
          <w:sz w:val="24"/>
          <w:szCs w:val="24"/>
        </w:rPr>
        <w:t>საქართველოს მეცნიერებათა აკადემიის პრეზიდენტად და ვიცე-პრეზიდენტად 70 წელს გადაცილებული პირის არჩევის აკრძალვა</w:t>
      </w:r>
      <w:r w:rsidR="00E960E0" w:rsidRPr="004A18A8">
        <w:rPr>
          <w:rFonts w:ascii="Sylfaen" w:hAnsi="Sylfaen" w:cs="Sylfaen"/>
          <w:bCs/>
          <w:sz w:val="24"/>
          <w:szCs w:val="24"/>
        </w:rPr>
        <w:t xml:space="preserve"> </w:t>
      </w:r>
      <w:r w:rsidR="00A50BB8" w:rsidRPr="004A18A8">
        <w:rPr>
          <w:rFonts w:ascii="Sylfaen" w:hAnsi="Sylfaen" w:cs="Sylfaen"/>
          <w:bCs/>
          <w:sz w:val="24"/>
          <w:szCs w:val="24"/>
        </w:rPr>
        <w:t xml:space="preserve">(იხ.,  საქართველოს საკონსტიტუციო სასამართლოს 2023 წლის 22 თებერვლის – 1/4/1691 განჩინება საქმეზე „გიორგი გოროშიძე და ინდიკო აბაშიძე საქართველოს პარლამენტის, საქართველოს განათლებისა და მეცნიერების მინისტრისა და სსიპ – ივანე ჯავახიშვილის სახელობის თბილისის სახელმწიფო უნივერსიტეტის აკადემიური საბჭოს წინააღმდეგ“); </w:t>
      </w:r>
      <w:r w:rsidR="007F1AD1" w:rsidRPr="004A18A8">
        <w:rPr>
          <w:rFonts w:ascii="Sylfaen" w:hAnsi="Sylfaen" w:cs="Sylfaen"/>
          <w:bCs/>
          <w:sz w:val="24"/>
          <w:szCs w:val="24"/>
        </w:rPr>
        <w:t xml:space="preserve">(ბ) </w:t>
      </w:r>
      <w:r w:rsidR="00A50BB8" w:rsidRPr="004A18A8">
        <w:rPr>
          <w:rFonts w:ascii="Sylfaen" w:hAnsi="Sylfaen" w:cs="Sylfaen"/>
          <w:bCs/>
          <w:sz w:val="24"/>
          <w:szCs w:val="24"/>
        </w:rPr>
        <w:t>საკონსტიტუციო სასამართლოს მანდატურად სამსახურის ზღვრული ასაკის მომწესრიგებელი რეგულირება</w:t>
      </w:r>
      <w:r w:rsidR="00E93FCB">
        <w:rPr>
          <w:rFonts w:ascii="Sylfaen" w:hAnsi="Sylfaen" w:cs="Sylfaen"/>
          <w:bCs/>
          <w:sz w:val="24"/>
          <w:szCs w:val="24"/>
        </w:rPr>
        <w:t>,</w:t>
      </w:r>
      <w:r w:rsidR="00A50BB8" w:rsidRPr="004A18A8">
        <w:rPr>
          <w:rFonts w:ascii="Sylfaen" w:hAnsi="Sylfaen" w:cs="Sylfaen"/>
          <w:bCs/>
          <w:sz w:val="24"/>
          <w:szCs w:val="24"/>
        </w:rPr>
        <w:t xml:space="preserve"> იმ გადაწყვეტილების საფუძველზე, რომლითაც არაკონსტიტუციურად იქნა ცნობილი საერთო სასამართლოს მანდატურად სამსახურის ზღვრული ასაკის მომწესრიგებელი რეგულირება (იხ., საქართველოს საკონსტიტუციო სასამართლოს 2022 წლის 23 დეკემბრის №3/17/1583 განჩინება საქმეზე „ირაკლი მაჭუტაძე საქართველოს პარლამენტის წინააღმდეგ“)</w:t>
      </w:r>
      <w:r w:rsidR="00E960E0" w:rsidRPr="004A18A8">
        <w:rPr>
          <w:rFonts w:ascii="Sylfaen" w:hAnsi="Sylfaen" w:cs="Sylfaen"/>
          <w:bCs/>
          <w:sz w:val="24"/>
          <w:szCs w:val="24"/>
        </w:rPr>
        <w:t xml:space="preserve">; </w:t>
      </w:r>
      <w:r w:rsidR="00B4104D" w:rsidRPr="004A18A8">
        <w:rPr>
          <w:rFonts w:ascii="Sylfaen" w:hAnsi="Sylfaen" w:cs="Sylfaen"/>
          <w:bCs/>
          <w:sz w:val="24"/>
          <w:szCs w:val="24"/>
        </w:rPr>
        <w:t xml:space="preserve">(გ) </w:t>
      </w:r>
      <w:r w:rsidR="00974783" w:rsidRPr="004A18A8">
        <w:rPr>
          <w:rFonts w:ascii="Sylfaen" w:hAnsi="Sylfaen" w:cs="Sylfaen"/>
          <w:bCs/>
          <w:sz w:val="24"/>
          <w:szCs w:val="24"/>
        </w:rPr>
        <w:t>მოსახმარად გამოუსადეგარი ოდენობით ნარკოტიკული საშუალების უკანონო შეძენისა და შენახვისთვის, სასჯელის სახით, თავისუფლების აღკვეთის</w:t>
      </w:r>
      <w:r w:rsidR="00B4104D" w:rsidRPr="004A18A8">
        <w:rPr>
          <w:rFonts w:ascii="Sylfaen" w:hAnsi="Sylfaen" w:cs="Sylfaen"/>
          <w:bCs/>
          <w:sz w:val="24"/>
          <w:szCs w:val="24"/>
        </w:rPr>
        <w:t xml:space="preserve"> გამოყენების შესაძლებლობის დამდგენი ნორმა, </w:t>
      </w:r>
      <w:r w:rsidR="00974783" w:rsidRPr="004A18A8">
        <w:rPr>
          <w:rFonts w:ascii="Sylfaen" w:hAnsi="Sylfaen" w:cs="Sylfaen"/>
          <w:bCs/>
          <w:sz w:val="24"/>
          <w:szCs w:val="24"/>
        </w:rPr>
        <w:t xml:space="preserve">იმ გადაწყვეტილებაზე დაყრდნობით, რომელშიც არაკონსტიტუციურად იქნა ცნობილი </w:t>
      </w:r>
      <w:r w:rsidR="00B4104D" w:rsidRPr="004A18A8">
        <w:rPr>
          <w:rFonts w:ascii="Sylfaen" w:hAnsi="Sylfaen" w:cs="Sylfaen"/>
          <w:bCs/>
          <w:sz w:val="24"/>
          <w:szCs w:val="24"/>
        </w:rPr>
        <w:t>მსგავსი</w:t>
      </w:r>
      <w:r w:rsidR="00974783" w:rsidRPr="004A18A8">
        <w:rPr>
          <w:rFonts w:ascii="Sylfaen" w:hAnsi="Sylfaen" w:cs="Sylfaen"/>
          <w:bCs/>
          <w:sz w:val="24"/>
          <w:szCs w:val="24"/>
        </w:rPr>
        <w:t xml:space="preserve"> შესაძლებლობ</w:t>
      </w:r>
      <w:r w:rsidR="00B4104D" w:rsidRPr="004A18A8">
        <w:rPr>
          <w:rFonts w:ascii="Sylfaen" w:hAnsi="Sylfaen" w:cs="Sylfaen"/>
          <w:bCs/>
          <w:sz w:val="24"/>
          <w:szCs w:val="24"/>
        </w:rPr>
        <w:t>ა</w:t>
      </w:r>
      <w:r w:rsidR="00974783" w:rsidRPr="004A18A8">
        <w:rPr>
          <w:rFonts w:ascii="Sylfaen" w:hAnsi="Sylfaen" w:cs="Sylfaen"/>
          <w:bCs/>
          <w:sz w:val="24"/>
          <w:szCs w:val="24"/>
        </w:rPr>
        <w:t xml:space="preserve"> მხოლოდ მოსარჩელის მიერ სადავოდ გამხდარი ოდენობით (0,00009 გრამი) კონკრეტული ნარკოტიკული საშუალების (დეზომორფინის) დამზადების, შეძენისა და შენახვის</w:t>
      </w:r>
      <w:r w:rsidR="00B4104D" w:rsidRPr="004A18A8">
        <w:rPr>
          <w:rFonts w:ascii="Sylfaen" w:hAnsi="Sylfaen" w:cs="Sylfaen"/>
          <w:bCs/>
          <w:sz w:val="24"/>
          <w:szCs w:val="24"/>
        </w:rPr>
        <w:t xml:space="preserve"> ჭრილში</w:t>
      </w:r>
      <w:r w:rsidR="00974783" w:rsidRPr="004A18A8">
        <w:rPr>
          <w:rFonts w:ascii="Sylfaen" w:hAnsi="Sylfaen" w:cs="Sylfaen"/>
          <w:bCs/>
          <w:sz w:val="24"/>
          <w:szCs w:val="24"/>
        </w:rPr>
        <w:t xml:space="preserve"> (იხ., საქართველოს საკონსტიტუციო სასამართლოს 2020 წლის 4 ივნისის №1/19/1265,1318 განჩინება საქმეზე „ნოე კორსავა და გიორგი გამგებელი საქართველოს პარლამენტის წინააღმდეგ“);</w:t>
      </w:r>
      <w:r w:rsidR="00B4104D" w:rsidRPr="004A18A8">
        <w:rPr>
          <w:rFonts w:ascii="Sylfaen" w:hAnsi="Sylfaen" w:cs="Sylfaen"/>
          <w:bCs/>
          <w:sz w:val="24"/>
          <w:szCs w:val="24"/>
        </w:rPr>
        <w:t xml:space="preserve"> (დ) </w:t>
      </w:r>
      <w:r w:rsidR="00CE3471" w:rsidRPr="004A18A8">
        <w:rPr>
          <w:rFonts w:ascii="Sylfaen" w:hAnsi="Sylfaen" w:cs="Sylfaen"/>
          <w:bCs/>
          <w:sz w:val="24"/>
          <w:szCs w:val="24"/>
        </w:rPr>
        <w:t xml:space="preserve">რეგულირება, რომელიც პენიტენციური სამსახურის თანამშრომლის უკანონო გათავისუფლების შემთხვევაში ზარალის ანაზღაურებას მაქსიმუმ 3 თვის </w:t>
      </w:r>
      <w:r w:rsidR="00CE3471" w:rsidRPr="004A18A8">
        <w:rPr>
          <w:rFonts w:ascii="Sylfaen" w:hAnsi="Sylfaen" w:cs="Sylfaen"/>
          <w:bCs/>
          <w:sz w:val="24"/>
          <w:szCs w:val="24"/>
        </w:rPr>
        <w:lastRenderedPageBreak/>
        <w:t xml:space="preserve">ხელფასით შემოფარგლავდა, იმ გადაწყვეტილების </w:t>
      </w:r>
      <w:r w:rsidR="00B4104D" w:rsidRPr="004A18A8">
        <w:rPr>
          <w:rFonts w:ascii="Sylfaen" w:hAnsi="Sylfaen" w:cs="Sylfaen"/>
          <w:bCs/>
          <w:sz w:val="24"/>
          <w:szCs w:val="24"/>
        </w:rPr>
        <w:t>მიხედვით,</w:t>
      </w:r>
      <w:r w:rsidR="00CE3471" w:rsidRPr="004A18A8">
        <w:rPr>
          <w:rFonts w:ascii="Sylfaen" w:hAnsi="Sylfaen" w:cs="Sylfaen"/>
          <w:bCs/>
          <w:sz w:val="24"/>
          <w:szCs w:val="24"/>
        </w:rPr>
        <w:t xml:space="preserve"> </w:t>
      </w:r>
      <w:r w:rsidR="007F1AD1" w:rsidRPr="004A18A8">
        <w:rPr>
          <w:rFonts w:ascii="Sylfaen" w:hAnsi="Sylfaen" w:cs="Sylfaen"/>
          <w:bCs/>
          <w:sz w:val="24"/>
          <w:szCs w:val="24"/>
        </w:rPr>
        <w:t>რომელშიც არაკონსტიტუციურად იქნა ცნობილი, ზოგადად, საჯარო მოხელის სამსახურიდან უკანონოდ გათავისუფლების შემთხვევაში</w:t>
      </w:r>
      <w:r w:rsidR="005902EA" w:rsidRPr="004A18A8">
        <w:rPr>
          <w:rFonts w:ascii="Sylfaen" w:hAnsi="Sylfaen" w:cs="Sylfaen"/>
          <w:bCs/>
          <w:sz w:val="24"/>
          <w:szCs w:val="24"/>
        </w:rPr>
        <w:t xml:space="preserve"> გასამრჯელო არა უმეტეს 3 თვის ოდენობით შემოსაზღვრავდა</w:t>
      </w:r>
      <w:r w:rsidR="006D2996" w:rsidRPr="004A18A8">
        <w:rPr>
          <w:rFonts w:ascii="Sylfaen" w:hAnsi="Sylfaen" w:cs="Sylfaen"/>
          <w:bCs/>
          <w:sz w:val="24"/>
          <w:szCs w:val="24"/>
        </w:rPr>
        <w:t xml:space="preserve"> (საქართველოს საკონსტიტუციო სასამართლოს 2017 წლის 16 ნოემბრის №2/16/1218 განჩინება საქმეზე „საქართველოს მოქალაქეები – ივანე პეტრიაშვილი და ირაკლი ულუმბელაშვილი საქართველოს პარლამენტის წინააღმდეგ“</w:t>
      </w:r>
      <w:r w:rsidR="00572188" w:rsidRPr="004A18A8">
        <w:rPr>
          <w:rFonts w:ascii="Sylfaen" w:hAnsi="Sylfaen" w:cs="Sylfaen"/>
          <w:bCs/>
          <w:sz w:val="24"/>
          <w:szCs w:val="24"/>
        </w:rPr>
        <w:t xml:space="preserve">; (ე) სისხლის სამართალწარმოების პროცესში, პროცესის მონაწილეთა არასაპატიო მიზეზით გამოუცხადებლობის საფუძვლით დაკისრებული ჯარიმის გასაჩივრების შესაძლებლობის შემზღუდველი რეგულირება, იმ გადაწყვეტილების შესაბამისად, რომელშიც არაკონსტიტუციურად გამოცხადდა სამოქალაქო </w:t>
      </w:r>
      <w:r w:rsidR="00367D9F" w:rsidRPr="004A18A8">
        <w:rPr>
          <w:rFonts w:ascii="Sylfaen" w:hAnsi="Sylfaen" w:cs="Sylfaen"/>
          <w:bCs/>
          <w:sz w:val="24"/>
          <w:szCs w:val="24"/>
        </w:rPr>
        <w:t>საქმეებზე, სასამართლოში</w:t>
      </w:r>
      <w:r w:rsidR="00572188" w:rsidRPr="004A18A8">
        <w:rPr>
          <w:rFonts w:ascii="Sylfaen" w:hAnsi="Sylfaen" w:cs="Sylfaen"/>
          <w:bCs/>
          <w:sz w:val="24"/>
          <w:szCs w:val="24"/>
        </w:rPr>
        <w:t xml:space="preserve"> </w:t>
      </w:r>
      <w:r w:rsidR="00367D9F" w:rsidRPr="004A18A8">
        <w:rPr>
          <w:rFonts w:ascii="Sylfaen" w:hAnsi="Sylfaen" w:cs="Sylfaen"/>
          <w:bCs/>
          <w:sz w:val="24"/>
          <w:szCs w:val="24"/>
        </w:rPr>
        <w:t>წესრიგის დარღვევის გამო დაჯარიმების ან/და სხდომის დარბაზიდან გაძევების შესახებ სასამართლოს განკარგულების გასაჩივრების აკრძალვა (</w:t>
      </w:r>
      <w:r w:rsidR="00115A59" w:rsidRPr="004A18A8">
        <w:rPr>
          <w:rFonts w:ascii="Sylfaen" w:hAnsi="Sylfaen" w:cs="Sylfaen"/>
          <w:bCs/>
          <w:sz w:val="24"/>
          <w:szCs w:val="24"/>
        </w:rPr>
        <w:t xml:space="preserve">საქართველოს საკონსტიტუციო სასამართლოს 2017 წლის 13 ოქტომბრის №1/20/1219,1236 განჩინება საქმეზე </w:t>
      </w:r>
      <w:r w:rsidR="00B81B34" w:rsidRPr="004A18A8">
        <w:rPr>
          <w:rFonts w:ascii="Sylfaen" w:hAnsi="Sylfaen" w:cs="Sylfaen"/>
          <w:bCs/>
          <w:sz w:val="24"/>
          <w:szCs w:val="24"/>
        </w:rPr>
        <w:t>„</w:t>
      </w:r>
      <w:r w:rsidR="00115A59" w:rsidRPr="004A18A8">
        <w:rPr>
          <w:rFonts w:ascii="Sylfaen" w:hAnsi="Sylfaen" w:cs="Sylfaen"/>
          <w:bCs/>
          <w:sz w:val="24"/>
          <w:szCs w:val="24"/>
        </w:rPr>
        <w:t>საქართველოს მოქალაქეები</w:t>
      </w:r>
      <w:r w:rsidR="00B81B34" w:rsidRPr="004A18A8">
        <w:rPr>
          <w:rFonts w:ascii="Sylfaen" w:hAnsi="Sylfaen" w:cs="Sylfaen"/>
          <w:bCs/>
          <w:sz w:val="24"/>
          <w:szCs w:val="24"/>
        </w:rPr>
        <w:t xml:space="preserve"> –</w:t>
      </w:r>
      <w:r w:rsidR="00115A59" w:rsidRPr="004A18A8">
        <w:rPr>
          <w:rFonts w:ascii="Sylfaen" w:hAnsi="Sylfaen" w:cs="Sylfaen"/>
          <w:bCs/>
          <w:sz w:val="24"/>
          <w:szCs w:val="24"/>
        </w:rPr>
        <w:t xml:space="preserve"> ემზარ პაქსაძე და თამარ სადრაძე საქართველოს პარლამენტის წინააღმდეგ</w:t>
      </w:r>
      <w:r w:rsidR="00B81B34" w:rsidRPr="004A18A8">
        <w:rPr>
          <w:rFonts w:ascii="Sylfaen" w:hAnsi="Sylfaen" w:cs="Sylfaen"/>
          <w:bCs/>
          <w:sz w:val="24"/>
          <w:szCs w:val="24"/>
        </w:rPr>
        <w:t>“)</w:t>
      </w:r>
      <w:r w:rsidR="007F0A5E" w:rsidRPr="004A18A8">
        <w:rPr>
          <w:rFonts w:ascii="Sylfaen" w:hAnsi="Sylfaen" w:cs="Sylfaen"/>
          <w:bCs/>
          <w:sz w:val="24"/>
          <w:szCs w:val="24"/>
        </w:rPr>
        <w:t xml:space="preserve"> და სხვ.</w:t>
      </w:r>
      <w:r w:rsidR="00FA78F6">
        <w:rPr>
          <w:rFonts w:ascii="Sylfaen" w:hAnsi="Sylfaen" w:cs="Sylfaen"/>
          <w:bCs/>
          <w:sz w:val="24"/>
          <w:szCs w:val="24"/>
        </w:rPr>
        <w:t>.</w:t>
      </w:r>
      <w:r w:rsidR="0081355D" w:rsidRPr="004A18A8">
        <w:rPr>
          <w:rFonts w:ascii="Sylfaen" w:hAnsi="Sylfaen" w:cs="Sylfaen"/>
          <w:bCs/>
          <w:sz w:val="24"/>
          <w:szCs w:val="24"/>
        </w:rPr>
        <w:t xml:space="preserve"> </w:t>
      </w:r>
    </w:p>
    <w:p w14:paraId="0A89BFBA" w14:textId="55E124AD" w:rsidR="008D34BD" w:rsidRPr="00B444B3" w:rsidRDefault="007F0A5E" w:rsidP="00B444B3">
      <w:pPr>
        <w:pStyle w:val="ListParagraph"/>
        <w:numPr>
          <w:ilvl w:val="0"/>
          <w:numId w:val="1"/>
        </w:numPr>
        <w:spacing w:after="0" w:line="276" w:lineRule="auto"/>
        <w:ind w:left="0" w:firstLine="284"/>
        <w:jc w:val="both"/>
        <w:rPr>
          <w:rFonts w:ascii="Sylfaen" w:hAnsi="Sylfaen" w:cs="Sylfaen"/>
          <w:bCs/>
          <w:sz w:val="24"/>
          <w:szCs w:val="24"/>
        </w:rPr>
      </w:pPr>
      <w:r w:rsidRPr="003E00B2">
        <w:rPr>
          <w:rFonts w:ascii="Sylfaen" w:hAnsi="Sylfaen" w:cs="Sylfaen"/>
          <w:bCs/>
          <w:sz w:val="24"/>
          <w:szCs w:val="24"/>
        </w:rPr>
        <w:t xml:space="preserve">ამდენად, საკონსტიტუციო სასამართლოს პრაქტიკაში </w:t>
      </w:r>
      <w:r w:rsidR="00B444B3">
        <w:rPr>
          <w:rFonts w:ascii="Sylfaen" w:hAnsi="Sylfaen" w:cs="Sylfaen"/>
          <w:bCs/>
          <w:sz w:val="24"/>
          <w:szCs w:val="24"/>
        </w:rPr>
        <w:t>არსებობს</w:t>
      </w:r>
      <w:r w:rsidRPr="003E00B2">
        <w:rPr>
          <w:rFonts w:ascii="Sylfaen" w:hAnsi="Sylfaen" w:cs="Sylfaen"/>
          <w:bCs/>
          <w:sz w:val="24"/>
          <w:szCs w:val="24"/>
        </w:rPr>
        <w:t xml:space="preserve"> არაერთი საქმე, რომლის ფარგლებშიც, საკონსტიტუციო სასამართლოს კოლეგიას</w:t>
      </w:r>
      <w:r w:rsidR="000C0810" w:rsidRPr="003E00B2">
        <w:rPr>
          <w:rFonts w:ascii="Sylfaen" w:hAnsi="Sylfaen" w:cs="Sylfaen"/>
          <w:bCs/>
          <w:sz w:val="24"/>
          <w:szCs w:val="24"/>
        </w:rPr>
        <w:t xml:space="preserve">, </w:t>
      </w:r>
      <w:r w:rsidR="00B444B3">
        <w:rPr>
          <w:rFonts w:ascii="Sylfaen" w:hAnsi="Sylfaen" w:cs="Sylfaen"/>
          <w:bCs/>
          <w:sz w:val="24"/>
          <w:szCs w:val="24"/>
        </w:rPr>
        <w:t xml:space="preserve">სადავო ნორმების განმწესრიგებელ სხდომაზე ძალადაკარგულად გამოცხადების კონტექსტში, მოუწია </w:t>
      </w:r>
      <w:r w:rsidR="00B444B3" w:rsidRPr="00B444B3">
        <w:rPr>
          <w:rFonts w:ascii="Sylfaen" w:hAnsi="Sylfaen" w:cs="Sylfaen"/>
          <w:bCs/>
          <w:sz w:val="24"/>
          <w:szCs w:val="24"/>
        </w:rPr>
        <w:t>თავისივე</w:t>
      </w:r>
      <w:r w:rsidRPr="00B444B3">
        <w:rPr>
          <w:rFonts w:ascii="Sylfaen" w:hAnsi="Sylfaen" w:cs="Sylfaen"/>
          <w:bCs/>
          <w:sz w:val="24"/>
          <w:szCs w:val="24"/>
        </w:rPr>
        <w:t xml:space="preserve"> გადაწყვეტილებით დადგენილი</w:t>
      </w:r>
      <w:r w:rsidR="00B444B3" w:rsidRPr="00B444B3">
        <w:rPr>
          <w:rFonts w:ascii="Sylfaen" w:hAnsi="Sylfaen" w:cs="Sylfaen"/>
          <w:bCs/>
          <w:sz w:val="24"/>
          <w:szCs w:val="24"/>
        </w:rPr>
        <w:t xml:space="preserve"> </w:t>
      </w:r>
      <w:r w:rsidRPr="00B444B3">
        <w:rPr>
          <w:rFonts w:ascii="Sylfaen" w:hAnsi="Sylfaen" w:cs="Sylfaen"/>
          <w:bCs/>
          <w:sz w:val="24"/>
          <w:szCs w:val="24"/>
        </w:rPr>
        <w:t>სტანდარტები</w:t>
      </w:r>
      <w:r w:rsidR="00B444B3">
        <w:rPr>
          <w:rFonts w:ascii="Sylfaen" w:hAnsi="Sylfaen" w:cs="Sylfaen"/>
          <w:bCs/>
          <w:sz w:val="24"/>
          <w:szCs w:val="24"/>
        </w:rPr>
        <w:t>ს</w:t>
      </w:r>
      <w:r w:rsidRPr="00B444B3">
        <w:rPr>
          <w:rFonts w:ascii="Sylfaen" w:hAnsi="Sylfaen" w:cs="Sylfaen"/>
          <w:bCs/>
          <w:sz w:val="24"/>
          <w:szCs w:val="24"/>
        </w:rPr>
        <w:t xml:space="preserve"> </w:t>
      </w:r>
      <w:r w:rsidR="00B444B3">
        <w:rPr>
          <w:rFonts w:ascii="Sylfaen" w:hAnsi="Sylfaen" w:cs="Sylfaen"/>
          <w:bCs/>
          <w:sz w:val="24"/>
          <w:szCs w:val="24"/>
        </w:rPr>
        <w:t>გავრცელება</w:t>
      </w:r>
      <w:r w:rsidR="00176DEC" w:rsidRPr="00B444B3">
        <w:rPr>
          <w:rFonts w:ascii="Sylfaen" w:hAnsi="Sylfaen" w:cs="Sylfaen"/>
          <w:bCs/>
          <w:sz w:val="24"/>
          <w:szCs w:val="24"/>
        </w:rPr>
        <w:t xml:space="preserve"> სხვა, მსგავს სამართლებრივ ურთიერთობაზე</w:t>
      </w:r>
      <w:r w:rsidR="00B444B3">
        <w:rPr>
          <w:rFonts w:ascii="Sylfaen" w:hAnsi="Sylfaen" w:cs="Sylfaen"/>
          <w:bCs/>
          <w:sz w:val="24"/>
          <w:szCs w:val="24"/>
        </w:rPr>
        <w:t xml:space="preserve">. ამ პროცესში, </w:t>
      </w:r>
      <w:r w:rsidR="00B444B3" w:rsidRPr="00B444B3">
        <w:rPr>
          <w:rFonts w:ascii="Sylfaen" w:hAnsi="Sylfaen" w:cs="Sylfaen"/>
          <w:bCs/>
          <w:sz w:val="24"/>
          <w:szCs w:val="24"/>
        </w:rPr>
        <w:t>ზოგიერთ შემთხვევაში,</w:t>
      </w:r>
      <w:r w:rsidR="0074544E">
        <w:rPr>
          <w:rFonts w:ascii="Sylfaen" w:hAnsi="Sylfaen" w:cs="Sylfaen"/>
          <w:bCs/>
          <w:sz w:val="24"/>
          <w:szCs w:val="24"/>
        </w:rPr>
        <w:t xml:space="preserve"> მოიძებნება როგორც </w:t>
      </w:r>
      <w:r w:rsidR="00B444B3" w:rsidRPr="00B444B3">
        <w:rPr>
          <w:rFonts w:ascii="Sylfaen" w:hAnsi="Sylfaen" w:cs="Sylfaen"/>
          <w:bCs/>
          <w:sz w:val="24"/>
          <w:szCs w:val="24"/>
        </w:rPr>
        <w:t>საკონსტიტუციო სასამართლოს კოლეგი</w:t>
      </w:r>
      <w:r w:rsidR="0074544E">
        <w:rPr>
          <w:rFonts w:ascii="Sylfaen" w:hAnsi="Sylfaen" w:cs="Sylfaen"/>
          <w:bCs/>
          <w:sz w:val="24"/>
          <w:szCs w:val="24"/>
        </w:rPr>
        <w:t>ის მიერ</w:t>
      </w:r>
      <w:r w:rsidR="00B444B3" w:rsidRPr="00B444B3">
        <w:rPr>
          <w:rFonts w:ascii="Sylfaen" w:hAnsi="Sylfaen" w:cs="Sylfaen"/>
          <w:bCs/>
          <w:sz w:val="24"/>
          <w:szCs w:val="24"/>
        </w:rPr>
        <w:t xml:space="preserve"> ზოგადი კონსტიტუციური სტანდარტები კონკრეტულ სამართლებრივ ურთიერთობა</w:t>
      </w:r>
      <w:r w:rsidR="0074544E">
        <w:rPr>
          <w:rFonts w:ascii="Sylfaen" w:hAnsi="Sylfaen" w:cs="Sylfaen"/>
          <w:bCs/>
          <w:sz w:val="24"/>
          <w:szCs w:val="24"/>
        </w:rPr>
        <w:t>ზე</w:t>
      </w:r>
      <w:r w:rsidR="00B444B3" w:rsidRPr="00B444B3">
        <w:rPr>
          <w:rFonts w:ascii="Sylfaen" w:hAnsi="Sylfaen" w:cs="Sylfaen"/>
          <w:bCs/>
          <w:sz w:val="24"/>
          <w:szCs w:val="24"/>
        </w:rPr>
        <w:t xml:space="preserve"> </w:t>
      </w:r>
      <w:r w:rsidR="0074544E">
        <w:rPr>
          <w:rFonts w:ascii="Sylfaen" w:hAnsi="Sylfaen" w:cs="Sylfaen"/>
          <w:bCs/>
          <w:sz w:val="24"/>
          <w:szCs w:val="24"/>
        </w:rPr>
        <w:t>მორგების, აგრეთვე</w:t>
      </w:r>
      <w:r w:rsidR="00B444B3" w:rsidRPr="00B444B3">
        <w:rPr>
          <w:rFonts w:ascii="Sylfaen" w:hAnsi="Sylfaen" w:cs="Sylfaen"/>
          <w:bCs/>
          <w:sz w:val="24"/>
          <w:szCs w:val="24"/>
        </w:rPr>
        <w:t xml:space="preserve"> პირიქით </w:t>
      </w:r>
      <w:r w:rsidR="00B444B3">
        <w:rPr>
          <w:rFonts w:ascii="Sylfaen" w:hAnsi="Sylfaen" w:cs="Sylfaen"/>
          <w:bCs/>
          <w:sz w:val="24"/>
          <w:szCs w:val="24"/>
        </w:rPr>
        <w:t xml:space="preserve">– </w:t>
      </w:r>
      <w:r w:rsidR="00B444B3" w:rsidRPr="00B444B3">
        <w:rPr>
          <w:rFonts w:ascii="Sylfaen" w:hAnsi="Sylfaen" w:cs="Sylfaen"/>
          <w:bCs/>
          <w:sz w:val="24"/>
          <w:szCs w:val="24"/>
        </w:rPr>
        <w:t xml:space="preserve">კონკრეტულ საქმეზე ჩამოყალიბებული მიდგომები ლოგიკურად </w:t>
      </w:r>
      <w:r w:rsidR="00B444B3">
        <w:rPr>
          <w:rFonts w:ascii="Sylfaen" w:hAnsi="Sylfaen" w:cs="Sylfaen"/>
          <w:bCs/>
          <w:sz w:val="24"/>
          <w:szCs w:val="24"/>
        </w:rPr>
        <w:t>გან</w:t>
      </w:r>
      <w:r w:rsidR="0074544E">
        <w:rPr>
          <w:rFonts w:ascii="Sylfaen" w:hAnsi="Sylfaen" w:cs="Sylfaen"/>
          <w:bCs/>
          <w:sz w:val="24"/>
          <w:szCs w:val="24"/>
        </w:rPr>
        <w:t xml:space="preserve">ვრცობის შემთხვევები. </w:t>
      </w:r>
    </w:p>
    <w:p w14:paraId="608B1C4E" w14:textId="4A87F04F" w:rsidR="008D34BD" w:rsidRPr="00B8636A" w:rsidRDefault="00391D65" w:rsidP="008D34BD">
      <w:pPr>
        <w:pStyle w:val="ListParagraph"/>
        <w:numPr>
          <w:ilvl w:val="0"/>
          <w:numId w:val="1"/>
        </w:numPr>
        <w:spacing w:after="0" w:line="276" w:lineRule="auto"/>
        <w:ind w:left="0" w:firstLine="284"/>
        <w:jc w:val="both"/>
        <w:rPr>
          <w:rFonts w:ascii="Sylfaen" w:hAnsi="Sylfaen" w:cs="Sylfaen"/>
          <w:bCs/>
          <w:sz w:val="24"/>
          <w:szCs w:val="24"/>
        </w:rPr>
      </w:pPr>
      <w:r w:rsidRPr="008D34BD">
        <w:rPr>
          <w:rFonts w:ascii="Sylfaen" w:hAnsi="Sylfaen" w:cs="Sylfaen"/>
          <w:bCs/>
          <w:sz w:val="24"/>
          <w:szCs w:val="24"/>
        </w:rPr>
        <w:t xml:space="preserve">მოცემულ შემთხვევაში, </w:t>
      </w:r>
      <w:r w:rsidR="00BF72EC" w:rsidRPr="008D34BD">
        <w:rPr>
          <w:rFonts w:ascii="Sylfaen" w:hAnsi="Sylfaen" w:cs="Sylfaen"/>
          <w:bCs/>
          <w:sz w:val="24"/>
          <w:szCs w:val="24"/>
        </w:rPr>
        <w:t xml:space="preserve">საკონსტიტუციო სასამართლოს </w:t>
      </w:r>
      <w:r w:rsidR="00900B9E" w:rsidRPr="008D34BD">
        <w:rPr>
          <w:rFonts w:ascii="Sylfaen" w:hAnsi="Sylfaen" w:cs="Sylfaen"/>
          <w:bCs/>
          <w:sz w:val="24"/>
          <w:szCs w:val="24"/>
        </w:rPr>
        <w:t>მეორე კოლეგიის წევრები იდგნენ</w:t>
      </w:r>
      <w:r w:rsidR="009A77E1">
        <w:rPr>
          <w:rFonts w:ascii="Sylfaen" w:hAnsi="Sylfaen" w:cs="Sylfaen"/>
          <w:bCs/>
          <w:sz w:val="24"/>
          <w:szCs w:val="24"/>
        </w:rPr>
        <w:t xml:space="preserve"> </w:t>
      </w:r>
      <w:r w:rsidR="00900B9E" w:rsidRPr="008D34BD">
        <w:rPr>
          <w:rFonts w:ascii="Sylfaen" w:hAnsi="Sylfaen" w:cs="Sylfaen"/>
          <w:bCs/>
          <w:sz w:val="24"/>
          <w:szCs w:val="24"/>
        </w:rPr>
        <w:t>საკონსტიტუციო სასამართლოს</w:t>
      </w:r>
      <w:r w:rsidR="00BD50B4" w:rsidRPr="008D34BD">
        <w:rPr>
          <w:rFonts w:ascii="Sylfaen" w:hAnsi="Sylfaen" w:cs="Sylfaen"/>
          <w:bCs/>
          <w:sz w:val="24"/>
          <w:szCs w:val="24"/>
        </w:rPr>
        <w:t xml:space="preserve"> პლენუმის</w:t>
      </w:r>
      <w:r w:rsidR="008419C6" w:rsidRPr="008D34BD">
        <w:rPr>
          <w:rFonts w:ascii="Sylfaen" w:hAnsi="Sylfaen" w:cs="Sylfaen"/>
          <w:bCs/>
          <w:sz w:val="24"/>
          <w:szCs w:val="24"/>
        </w:rPr>
        <w:t xml:space="preserve"> მიერ</w:t>
      </w:r>
      <w:r w:rsidR="00900B9E" w:rsidRPr="008D34BD">
        <w:rPr>
          <w:rFonts w:ascii="Sylfaen" w:hAnsi="Sylfaen" w:cs="Sylfaen"/>
          <w:bCs/>
          <w:sz w:val="24"/>
          <w:szCs w:val="24"/>
        </w:rPr>
        <w:t xml:space="preserve"> </w:t>
      </w:r>
      <w:r w:rsidR="00576E1D" w:rsidRPr="008D34BD">
        <w:rPr>
          <w:rFonts w:ascii="Sylfaen" w:hAnsi="Sylfaen" w:cs="Sylfaen"/>
          <w:bCs/>
          <w:sz w:val="24"/>
          <w:szCs w:val="24"/>
        </w:rPr>
        <w:t xml:space="preserve">უკვე ჩამოყალიბებული კონსტიტუციური სტანდარტების </w:t>
      </w:r>
      <w:r w:rsidR="009F665A" w:rsidRPr="008D34BD">
        <w:rPr>
          <w:rFonts w:ascii="Sylfaen" w:hAnsi="Sylfaen" w:cs="Sylfaen"/>
          <w:bCs/>
          <w:sz w:val="24"/>
          <w:szCs w:val="24"/>
        </w:rPr>
        <w:t xml:space="preserve">სადავოდ გამხდარ საკითხებთან </w:t>
      </w:r>
      <w:r w:rsidR="00226ACF" w:rsidRPr="008D34BD">
        <w:rPr>
          <w:rFonts w:ascii="Sylfaen" w:hAnsi="Sylfaen" w:cs="Sylfaen"/>
          <w:bCs/>
          <w:sz w:val="24"/>
          <w:szCs w:val="24"/>
        </w:rPr>
        <w:t xml:space="preserve">მისადაგების საჭიროების წინაშე. </w:t>
      </w:r>
      <w:r w:rsidR="00671F43" w:rsidRPr="008D34BD">
        <w:rPr>
          <w:rFonts w:ascii="Sylfaen" w:hAnsi="Sylfaen" w:cs="Sylfaen"/>
          <w:bCs/>
          <w:sz w:val="24"/>
          <w:szCs w:val="24"/>
        </w:rPr>
        <w:t xml:space="preserve">ამ პროცესში, </w:t>
      </w:r>
      <w:r w:rsidR="00BA011F" w:rsidRPr="008D34BD">
        <w:rPr>
          <w:rFonts w:ascii="Sylfaen" w:hAnsi="Sylfaen" w:cs="Sylfaen"/>
          <w:bCs/>
          <w:sz w:val="24"/>
          <w:szCs w:val="24"/>
        </w:rPr>
        <w:t>ბუნებრივია</w:t>
      </w:r>
      <w:r w:rsidR="00226ACF" w:rsidRPr="008D34BD">
        <w:rPr>
          <w:rFonts w:ascii="Sylfaen" w:hAnsi="Sylfaen" w:cs="Sylfaen"/>
          <w:bCs/>
          <w:sz w:val="24"/>
          <w:szCs w:val="24"/>
        </w:rPr>
        <w:t>,</w:t>
      </w:r>
      <w:r w:rsidR="00BA011F" w:rsidRPr="008D34BD">
        <w:rPr>
          <w:rFonts w:ascii="Sylfaen" w:hAnsi="Sylfaen" w:cs="Sylfaen"/>
          <w:bCs/>
          <w:sz w:val="24"/>
          <w:szCs w:val="24"/>
        </w:rPr>
        <w:t xml:space="preserve"> არ გამოვრიცხავთ, რომ</w:t>
      </w:r>
      <w:r w:rsidR="00226ACF" w:rsidRPr="008D34BD">
        <w:rPr>
          <w:rFonts w:ascii="Sylfaen" w:hAnsi="Sylfaen" w:cs="Sylfaen"/>
          <w:bCs/>
          <w:sz w:val="24"/>
          <w:szCs w:val="24"/>
        </w:rPr>
        <w:t xml:space="preserve"> </w:t>
      </w:r>
      <w:r w:rsidR="00F85293">
        <w:rPr>
          <w:rFonts w:ascii="Sylfaen" w:hAnsi="Sylfaen" w:cs="Sylfaen"/>
          <w:bCs/>
          <w:sz w:val="24"/>
          <w:szCs w:val="24"/>
        </w:rPr>
        <w:t>ჩვენი კოლეგები</w:t>
      </w:r>
      <w:r w:rsidR="00BA011F" w:rsidRPr="008D34BD">
        <w:rPr>
          <w:rFonts w:ascii="Sylfaen" w:hAnsi="Sylfaen" w:cs="Sylfaen"/>
          <w:bCs/>
          <w:sz w:val="24"/>
          <w:szCs w:val="24"/>
        </w:rPr>
        <w:t xml:space="preserve"> დამდგარიყვნენ </w:t>
      </w:r>
      <w:r w:rsidR="005F48DB" w:rsidRPr="008D34BD">
        <w:rPr>
          <w:rFonts w:ascii="Sylfaen" w:hAnsi="Sylfaen" w:cs="Sylfaen"/>
          <w:bCs/>
          <w:sz w:val="24"/>
          <w:szCs w:val="24"/>
        </w:rPr>
        <w:t>საჯარო დაწესებულებების პირველადი სტრუქტურული ერთეულების ხელმძღვანელების ფუნქციებთან და საქმიანობის ბუნებასთან, პასუხისმგებლობის ფორმებთან და ყველა სხვა</w:t>
      </w:r>
      <w:r w:rsidR="00811B7A" w:rsidRPr="008D34BD">
        <w:rPr>
          <w:rFonts w:ascii="Sylfaen" w:hAnsi="Sylfaen" w:cs="Sylfaen"/>
          <w:bCs/>
          <w:sz w:val="24"/>
          <w:szCs w:val="24"/>
        </w:rPr>
        <w:t xml:space="preserve"> რელევანტურ</w:t>
      </w:r>
      <w:r w:rsidR="005F48DB" w:rsidRPr="008D34BD">
        <w:rPr>
          <w:rFonts w:ascii="Sylfaen" w:hAnsi="Sylfaen" w:cs="Sylfaen"/>
          <w:bCs/>
          <w:sz w:val="24"/>
          <w:szCs w:val="24"/>
        </w:rPr>
        <w:t xml:space="preserve"> საკითხთან</w:t>
      </w:r>
      <w:r w:rsidR="00811B7A" w:rsidRPr="008D34BD">
        <w:rPr>
          <w:rFonts w:ascii="Sylfaen" w:hAnsi="Sylfaen" w:cs="Sylfaen"/>
          <w:bCs/>
          <w:sz w:val="24"/>
          <w:szCs w:val="24"/>
        </w:rPr>
        <w:t xml:space="preserve"> დაკავშირებული საკანონმდებლო აქტების</w:t>
      </w:r>
      <w:r w:rsidR="00CD3B39">
        <w:rPr>
          <w:rFonts w:ascii="Sylfaen" w:hAnsi="Sylfaen" w:cs="Sylfaen"/>
          <w:bCs/>
          <w:sz w:val="24"/>
          <w:szCs w:val="24"/>
        </w:rPr>
        <w:t xml:space="preserve">, </w:t>
      </w:r>
      <w:r w:rsidR="00EA6B26" w:rsidRPr="008D34BD">
        <w:rPr>
          <w:rFonts w:ascii="Sylfaen" w:hAnsi="Sylfaen" w:cs="Sylfaen"/>
          <w:bCs/>
          <w:sz w:val="24"/>
          <w:szCs w:val="24"/>
        </w:rPr>
        <w:t xml:space="preserve">ისევე, როგორც </w:t>
      </w:r>
      <w:r w:rsidR="002F3EFD" w:rsidRPr="008D34BD">
        <w:rPr>
          <w:rFonts w:ascii="Sylfaen" w:hAnsi="Sylfaen" w:cs="Sylfaen"/>
          <w:bCs/>
          <w:sz w:val="24"/>
          <w:szCs w:val="24"/>
        </w:rPr>
        <w:t>კონკრეტული თანამდებობის მიმართ წაყენებული კონსტიტუციური სტანდარტების იდენტიფიცირებისა და აღნიშნული სტანდარტების</w:t>
      </w:r>
      <w:r w:rsidR="0097545F" w:rsidRPr="008D34BD">
        <w:rPr>
          <w:rFonts w:ascii="Sylfaen" w:hAnsi="Sylfaen" w:cs="Sylfaen"/>
          <w:bCs/>
          <w:sz w:val="24"/>
          <w:szCs w:val="24"/>
        </w:rPr>
        <w:t xml:space="preserve"> </w:t>
      </w:r>
      <w:r w:rsidR="004F33F1" w:rsidRPr="008D34BD">
        <w:rPr>
          <w:rFonts w:ascii="Sylfaen" w:hAnsi="Sylfaen" w:cs="Sylfaen"/>
          <w:bCs/>
          <w:sz w:val="24"/>
          <w:szCs w:val="24"/>
        </w:rPr>
        <w:t>კონკრეტული საქმის გარემოებებთან</w:t>
      </w:r>
      <w:r w:rsidR="00A84C52" w:rsidRPr="008D34BD">
        <w:rPr>
          <w:rFonts w:ascii="Sylfaen" w:hAnsi="Sylfaen" w:cs="Sylfaen"/>
          <w:bCs/>
          <w:sz w:val="24"/>
          <w:szCs w:val="24"/>
        </w:rPr>
        <w:t>, სამართლებრივ ურთიერთობასთან</w:t>
      </w:r>
      <w:r w:rsidR="004F33F1" w:rsidRPr="008D34BD">
        <w:rPr>
          <w:rFonts w:ascii="Sylfaen" w:hAnsi="Sylfaen" w:cs="Sylfaen"/>
          <w:bCs/>
          <w:sz w:val="24"/>
          <w:szCs w:val="24"/>
        </w:rPr>
        <w:t xml:space="preserve"> მისადაგებ</w:t>
      </w:r>
      <w:r w:rsidR="0097545F" w:rsidRPr="008D34BD">
        <w:rPr>
          <w:rFonts w:ascii="Sylfaen" w:hAnsi="Sylfaen" w:cs="Sylfaen"/>
          <w:bCs/>
          <w:sz w:val="24"/>
          <w:szCs w:val="24"/>
        </w:rPr>
        <w:t>ის საჭიროების წინაშე, თუმცა</w:t>
      </w:r>
      <w:r w:rsidR="00FA78F6">
        <w:rPr>
          <w:rFonts w:ascii="Sylfaen" w:hAnsi="Sylfaen" w:cs="Sylfaen"/>
          <w:bCs/>
          <w:sz w:val="24"/>
          <w:szCs w:val="24"/>
        </w:rPr>
        <w:t>,</w:t>
      </w:r>
      <w:r w:rsidR="0097545F" w:rsidRPr="008D34BD">
        <w:rPr>
          <w:rFonts w:ascii="Sylfaen" w:hAnsi="Sylfaen" w:cs="Sylfaen"/>
          <w:bCs/>
          <w:sz w:val="24"/>
          <w:szCs w:val="24"/>
        </w:rPr>
        <w:t xml:space="preserve"> მივიჩნევთ, რო</w:t>
      </w:r>
      <w:r w:rsidR="00304BBE" w:rsidRPr="008D34BD">
        <w:rPr>
          <w:rFonts w:ascii="Sylfaen" w:hAnsi="Sylfaen" w:cs="Sylfaen"/>
          <w:bCs/>
          <w:sz w:val="24"/>
          <w:szCs w:val="24"/>
        </w:rPr>
        <w:t xml:space="preserve">მ ხსენებული წარმოადგენს საკონსტიტუციო კონტროლისა და </w:t>
      </w:r>
      <w:r w:rsidR="00856202" w:rsidRPr="008D34BD">
        <w:rPr>
          <w:rFonts w:ascii="Sylfaen" w:hAnsi="Sylfaen" w:cs="Sylfaen"/>
          <w:bCs/>
          <w:sz w:val="24"/>
          <w:szCs w:val="24"/>
        </w:rPr>
        <w:t xml:space="preserve">კონკრეტულ საქმეზე გადაწყვეტილების მიღების არსებით </w:t>
      </w:r>
      <w:r w:rsidR="00365419" w:rsidRPr="008D34BD">
        <w:rPr>
          <w:rFonts w:ascii="Sylfaen" w:hAnsi="Sylfaen" w:cs="Sylfaen"/>
          <w:bCs/>
          <w:sz w:val="24"/>
          <w:szCs w:val="24"/>
        </w:rPr>
        <w:t xml:space="preserve">წინაპირობას და სამოსამართლო ფუნქციის განხორციელების </w:t>
      </w:r>
      <w:r w:rsidR="00365419" w:rsidRPr="008D34BD">
        <w:rPr>
          <w:rFonts w:ascii="Sylfaen" w:hAnsi="Sylfaen" w:cs="Sylfaen"/>
          <w:bCs/>
          <w:sz w:val="24"/>
          <w:szCs w:val="24"/>
        </w:rPr>
        <w:lastRenderedPageBreak/>
        <w:t>ქვაკუთხედს</w:t>
      </w:r>
      <w:r w:rsidR="00477EBF" w:rsidRPr="008D34BD">
        <w:rPr>
          <w:rFonts w:ascii="Sylfaen" w:hAnsi="Sylfaen" w:cs="Sylfaen"/>
          <w:bCs/>
          <w:sz w:val="24"/>
          <w:szCs w:val="24"/>
        </w:rPr>
        <w:t xml:space="preserve">, როგორც საკონსტიტუციო სასამართლოს პლენუმის, აგრეთვე კოლეგიის ფორმატში. </w:t>
      </w:r>
      <w:r w:rsidR="00E8639B" w:rsidRPr="008D34BD">
        <w:rPr>
          <w:rFonts w:ascii="Sylfaen" w:hAnsi="Sylfaen" w:cs="Sylfaen"/>
          <w:bCs/>
          <w:sz w:val="24"/>
          <w:szCs w:val="24"/>
        </w:rPr>
        <w:t>მოსამართლის ფუნქციის არსი სწორედ სამართლებრივი წესების</w:t>
      </w:r>
      <w:r w:rsidR="00CE46BB" w:rsidRPr="008D34BD">
        <w:rPr>
          <w:rFonts w:ascii="Sylfaen" w:hAnsi="Sylfaen" w:cs="Sylfaen"/>
          <w:bCs/>
          <w:sz w:val="24"/>
          <w:szCs w:val="24"/>
        </w:rPr>
        <w:t>/პრეცედენტული სამართლის</w:t>
      </w:r>
      <w:r w:rsidR="00E8639B" w:rsidRPr="008D34BD">
        <w:rPr>
          <w:rFonts w:ascii="Sylfaen" w:hAnsi="Sylfaen" w:cs="Sylfaen"/>
          <w:bCs/>
          <w:sz w:val="24"/>
          <w:szCs w:val="24"/>
        </w:rPr>
        <w:t xml:space="preserve"> ინტერპრეტირება</w:t>
      </w:r>
      <w:r w:rsidR="00477EBF" w:rsidRPr="008D34BD">
        <w:rPr>
          <w:rFonts w:ascii="Sylfaen" w:hAnsi="Sylfaen" w:cs="Sylfaen"/>
          <w:bCs/>
          <w:sz w:val="24"/>
          <w:szCs w:val="24"/>
        </w:rPr>
        <w:t>-განვრცობა</w:t>
      </w:r>
      <w:r w:rsidR="0052605D" w:rsidRPr="008D34BD">
        <w:rPr>
          <w:rFonts w:ascii="Sylfaen" w:hAnsi="Sylfaen" w:cs="Sylfaen"/>
          <w:bCs/>
          <w:sz w:val="24"/>
          <w:szCs w:val="24"/>
        </w:rPr>
        <w:t>სა</w:t>
      </w:r>
      <w:r w:rsidR="00E8639B" w:rsidRPr="008D34BD">
        <w:rPr>
          <w:rFonts w:ascii="Sylfaen" w:hAnsi="Sylfaen" w:cs="Sylfaen"/>
          <w:bCs/>
          <w:sz w:val="24"/>
          <w:szCs w:val="24"/>
        </w:rPr>
        <w:t xml:space="preserve"> და კონკრეტული საქმის გარემოებებთან </w:t>
      </w:r>
      <w:r w:rsidR="00477EBF" w:rsidRPr="008D34BD">
        <w:rPr>
          <w:rFonts w:ascii="Sylfaen" w:hAnsi="Sylfaen" w:cs="Sylfaen"/>
          <w:bCs/>
          <w:sz w:val="24"/>
          <w:szCs w:val="24"/>
        </w:rPr>
        <w:t>მისადაგებაში</w:t>
      </w:r>
      <w:r w:rsidR="00E8639B" w:rsidRPr="008D34BD">
        <w:rPr>
          <w:rFonts w:ascii="Sylfaen" w:hAnsi="Sylfaen" w:cs="Sylfaen"/>
          <w:bCs/>
          <w:sz w:val="24"/>
          <w:szCs w:val="24"/>
        </w:rPr>
        <w:t xml:space="preserve"> ვლინდება.</w:t>
      </w:r>
      <w:r w:rsidR="008D34BD" w:rsidRPr="008D34BD">
        <w:rPr>
          <w:rFonts w:ascii="Sylfaen" w:hAnsi="Sylfaen" w:cs="Sylfaen"/>
          <w:bCs/>
          <w:sz w:val="24"/>
          <w:szCs w:val="24"/>
        </w:rPr>
        <w:t xml:space="preserve"> ამგვარად, სადავო ნორმებით საკონსტიტუციო სასამართლოს გადაწყვეტილების დაძლევის საკითხის საკონსტიტუციო სასამართლოს კოლეგიის ფარგლებში გადაუწყვეტელობა არათუ არ წარმოადგენს პლენუმის მიერ საქმის პლენუმზე განსახილველად მიღების საკანონმდებლო წინაპირობას, არამედ არსებითად ეწინააღმდეგება საკონსტიტუციო სასამართლოს პლენუმსა და კოლეგიებს შორის კომპეტენციათა შიდაინსტიტუციური გამიჯვნის მიმართ დადგენილ ნორმატიულ წესრიგს.</w:t>
      </w:r>
    </w:p>
    <w:p w14:paraId="6D90FF6B" w14:textId="695A41EF" w:rsidR="000D1CFC" w:rsidRPr="005D64AE" w:rsidRDefault="00CD3B39" w:rsidP="005D64AE">
      <w:pPr>
        <w:pStyle w:val="ListParagraph"/>
        <w:numPr>
          <w:ilvl w:val="0"/>
          <w:numId w:val="1"/>
        </w:numPr>
        <w:spacing w:after="0" w:line="276" w:lineRule="auto"/>
        <w:ind w:left="0" w:firstLine="284"/>
        <w:jc w:val="both"/>
        <w:rPr>
          <w:rFonts w:ascii="Sylfaen" w:hAnsi="Sylfaen" w:cs="Sylfaen"/>
          <w:bCs/>
          <w:sz w:val="24"/>
          <w:szCs w:val="24"/>
        </w:rPr>
      </w:pPr>
      <w:r>
        <w:rPr>
          <w:rFonts w:ascii="Sylfaen" w:hAnsi="Sylfaen" w:cs="Sylfaen"/>
          <w:bCs/>
          <w:sz w:val="24"/>
          <w:szCs w:val="24"/>
        </w:rPr>
        <w:t>წინამდებარე საქმეების საკონსტიტუციო სასამართლოს პლენუმის მიერ</w:t>
      </w:r>
      <w:r w:rsidR="00B63FB7" w:rsidRPr="005D64AE">
        <w:rPr>
          <w:rFonts w:ascii="Sylfaen" w:hAnsi="Sylfaen" w:cs="Sylfaen"/>
          <w:bCs/>
          <w:sz w:val="24"/>
          <w:szCs w:val="24"/>
        </w:rPr>
        <w:t xml:space="preserve"> განსახილველად მიღების </w:t>
      </w:r>
      <w:r w:rsidR="00525AA2" w:rsidRPr="005D64AE">
        <w:rPr>
          <w:rFonts w:ascii="Sylfaen" w:hAnsi="Sylfaen" w:cs="Sylfaen"/>
          <w:bCs/>
          <w:sz w:val="24"/>
          <w:szCs w:val="24"/>
        </w:rPr>
        <w:t>გასამართლებლად</w:t>
      </w:r>
      <w:r w:rsidR="00674C8C">
        <w:rPr>
          <w:rFonts w:ascii="Sylfaen" w:hAnsi="Sylfaen" w:cs="Sylfaen"/>
          <w:bCs/>
          <w:sz w:val="24"/>
          <w:szCs w:val="24"/>
        </w:rPr>
        <w:t>,</w:t>
      </w:r>
      <w:r w:rsidR="00525AA2" w:rsidRPr="005D64AE">
        <w:rPr>
          <w:rFonts w:ascii="Sylfaen" w:hAnsi="Sylfaen" w:cs="Sylfaen"/>
          <w:bCs/>
          <w:sz w:val="24"/>
          <w:szCs w:val="24"/>
        </w:rPr>
        <w:t xml:space="preserve"> არ გამოდგება არც ის არგუმენტი, რომ </w:t>
      </w:r>
      <w:r w:rsidR="00F17B07" w:rsidRPr="005D64AE">
        <w:rPr>
          <w:rFonts w:ascii="Sylfaen" w:hAnsi="Sylfaen" w:cs="Sylfaen"/>
          <w:bCs/>
          <w:sz w:val="24"/>
          <w:szCs w:val="24"/>
        </w:rPr>
        <w:t>სადავო</w:t>
      </w:r>
      <w:r>
        <w:rPr>
          <w:rFonts w:ascii="Sylfaen" w:hAnsi="Sylfaen" w:cs="Sylfaen"/>
          <w:bCs/>
          <w:sz w:val="24"/>
          <w:szCs w:val="24"/>
        </w:rPr>
        <w:t xml:space="preserve"> ნორმები</w:t>
      </w:r>
      <w:r w:rsidR="00F17B07" w:rsidRPr="005D64AE">
        <w:rPr>
          <w:rFonts w:ascii="Sylfaen" w:hAnsi="Sylfaen" w:cs="Sylfaen"/>
          <w:bCs/>
          <w:sz w:val="24"/>
          <w:szCs w:val="24"/>
        </w:rPr>
        <w:t xml:space="preserve"> ვრცელდება საჯარო სექტორ</w:t>
      </w:r>
      <w:r>
        <w:rPr>
          <w:rFonts w:ascii="Sylfaen" w:hAnsi="Sylfaen" w:cs="Sylfaen"/>
          <w:bCs/>
          <w:sz w:val="24"/>
          <w:szCs w:val="24"/>
        </w:rPr>
        <w:t>ში დასაქმებული პირების</w:t>
      </w:r>
      <w:r w:rsidR="00F17B07" w:rsidRPr="005D64AE">
        <w:rPr>
          <w:rFonts w:ascii="Sylfaen" w:hAnsi="Sylfaen" w:cs="Sylfaen"/>
          <w:bCs/>
          <w:sz w:val="24"/>
          <w:szCs w:val="24"/>
        </w:rPr>
        <w:t xml:space="preserve"> ფართო სპექტრზე</w:t>
      </w:r>
      <w:r w:rsidR="00D97AE0" w:rsidRPr="005D64AE">
        <w:rPr>
          <w:rFonts w:ascii="Sylfaen" w:hAnsi="Sylfaen" w:cs="Sylfaen"/>
          <w:bCs/>
          <w:sz w:val="24"/>
          <w:szCs w:val="24"/>
        </w:rPr>
        <w:t>. სადავო ნორმების გავრცელების არეალმა</w:t>
      </w:r>
      <w:r w:rsidR="004F1A96" w:rsidRPr="005D64AE">
        <w:rPr>
          <w:rFonts w:ascii="Sylfaen" w:hAnsi="Sylfaen" w:cs="Sylfaen"/>
          <w:bCs/>
          <w:sz w:val="24"/>
          <w:szCs w:val="24"/>
        </w:rPr>
        <w:t xml:space="preserve"> ან ადრესატთა</w:t>
      </w:r>
      <w:r w:rsidR="000D1CFC" w:rsidRPr="005D64AE">
        <w:rPr>
          <w:rFonts w:ascii="Sylfaen" w:hAnsi="Sylfaen" w:cs="Sylfaen"/>
          <w:bCs/>
          <w:sz w:val="24"/>
          <w:szCs w:val="24"/>
        </w:rPr>
        <w:t xml:space="preserve"> სიმრავლემ</w:t>
      </w:r>
      <w:r w:rsidR="00B555B3">
        <w:rPr>
          <w:rFonts w:ascii="Sylfaen" w:hAnsi="Sylfaen" w:cs="Sylfaen"/>
          <w:bCs/>
          <w:sz w:val="24"/>
          <w:szCs w:val="24"/>
        </w:rPr>
        <w:t xml:space="preserve"> </w:t>
      </w:r>
      <w:r w:rsidR="00B555B3" w:rsidRPr="005D64AE">
        <w:rPr>
          <w:rFonts w:ascii="Sylfaen" w:hAnsi="Sylfaen" w:cs="Sylfaen"/>
          <w:bCs/>
          <w:sz w:val="24"/>
          <w:szCs w:val="24"/>
        </w:rPr>
        <w:t xml:space="preserve">შესაძლებელია, </w:t>
      </w:r>
      <w:r w:rsidR="000D1CFC" w:rsidRPr="005D64AE">
        <w:rPr>
          <w:rFonts w:ascii="Sylfaen" w:hAnsi="Sylfaen" w:cs="Sylfaen"/>
          <w:bCs/>
          <w:sz w:val="24"/>
          <w:szCs w:val="24"/>
        </w:rPr>
        <w:t xml:space="preserve">წარმოშვას მხოლოდ </w:t>
      </w:r>
      <w:r w:rsidR="005378F1" w:rsidRPr="005D64AE">
        <w:rPr>
          <w:rFonts w:ascii="Sylfaen" w:hAnsi="Sylfaen" w:cs="Sylfaen"/>
          <w:bCs/>
          <w:sz w:val="24"/>
          <w:szCs w:val="24"/>
        </w:rPr>
        <w:t>გამოსაკვლევი/შესაფასებელი საკითხების მრავალფეროვნება, კომპლექსურობა</w:t>
      </w:r>
      <w:r w:rsidR="009910CF" w:rsidRPr="005D64AE">
        <w:rPr>
          <w:rFonts w:ascii="Sylfaen" w:hAnsi="Sylfaen" w:cs="Sylfaen"/>
          <w:bCs/>
          <w:sz w:val="24"/>
          <w:szCs w:val="24"/>
        </w:rPr>
        <w:t xml:space="preserve">, რაც შესაძლოა, საჭიროებდეს </w:t>
      </w:r>
      <w:r w:rsidR="00926AD4" w:rsidRPr="005D64AE">
        <w:rPr>
          <w:rFonts w:ascii="Sylfaen" w:hAnsi="Sylfaen" w:cs="Sylfaen"/>
          <w:bCs/>
          <w:sz w:val="24"/>
          <w:szCs w:val="24"/>
        </w:rPr>
        <w:t>შედარებით მეტი</w:t>
      </w:r>
      <w:r w:rsidR="002848D2" w:rsidRPr="005D64AE">
        <w:rPr>
          <w:rFonts w:ascii="Sylfaen" w:hAnsi="Sylfaen" w:cs="Sylfaen"/>
          <w:bCs/>
          <w:sz w:val="24"/>
          <w:szCs w:val="24"/>
        </w:rPr>
        <w:t xml:space="preserve"> მოცულობის</w:t>
      </w:r>
      <w:r w:rsidR="00926AD4" w:rsidRPr="005D64AE">
        <w:rPr>
          <w:rFonts w:ascii="Sylfaen" w:hAnsi="Sylfaen" w:cs="Sylfaen"/>
          <w:bCs/>
          <w:sz w:val="24"/>
          <w:szCs w:val="24"/>
        </w:rPr>
        <w:t xml:space="preserve"> </w:t>
      </w:r>
      <w:r w:rsidR="006828B5" w:rsidRPr="005D64AE">
        <w:rPr>
          <w:rFonts w:ascii="Sylfaen" w:hAnsi="Sylfaen" w:cs="Sylfaen"/>
          <w:bCs/>
          <w:sz w:val="24"/>
          <w:szCs w:val="24"/>
        </w:rPr>
        <w:t>იურიდიული</w:t>
      </w:r>
      <w:r w:rsidR="00926AD4" w:rsidRPr="005D64AE">
        <w:rPr>
          <w:rFonts w:ascii="Sylfaen" w:hAnsi="Sylfaen" w:cs="Sylfaen"/>
          <w:bCs/>
          <w:sz w:val="24"/>
          <w:szCs w:val="24"/>
        </w:rPr>
        <w:t xml:space="preserve"> მასალის დამუშავებას და ნორმატიული ჩარჩოს სიღრმისეულ გააზრებას, თუმცა </w:t>
      </w:r>
      <w:r w:rsidR="00B555B3">
        <w:rPr>
          <w:rFonts w:ascii="Sylfaen" w:hAnsi="Sylfaen" w:cs="Sylfaen"/>
          <w:bCs/>
          <w:sz w:val="24"/>
          <w:szCs w:val="24"/>
        </w:rPr>
        <w:t xml:space="preserve">მსგავსი მახასიათებელი, როგორც </w:t>
      </w:r>
      <w:r>
        <w:rPr>
          <w:rFonts w:ascii="Sylfaen" w:hAnsi="Sylfaen" w:cs="Sylfaen"/>
          <w:bCs/>
          <w:sz w:val="24"/>
          <w:szCs w:val="24"/>
        </w:rPr>
        <w:t xml:space="preserve">არაერთხელ </w:t>
      </w:r>
      <w:r w:rsidR="00B555B3">
        <w:rPr>
          <w:rFonts w:ascii="Sylfaen" w:hAnsi="Sylfaen" w:cs="Sylfaen"/>
          <w:bCs/>
          <w:sz w:val="24"/>
          <w:szCs w:val="24"/>
        </w:rPr>
        <w:t>აღინიშნა,</w:t>
      </w:r>
      <w:r w:rsidR="00926AD4" w:rsidRPr="005D64AE">
        <w:rPr>
          <w:rFonts w:ascii="Sylfaen" w:hAnsi="Sylfaen" w:cs="Sylfaen"/>
          <w:bCs/>
          <w:sz w:val="24"/>
          <w:szCs w:val="24"/>
        </w:rPr>
        <w:t xml:space="preserve"> </w:t>
      </w:r>
      <w:r w:rsidR="00B555B3">
        <w:rPr>
          <w:rFonts w:ascii="Sylfaen" w:hAnsi="Sylfaen" w:cs="Sylfaen"/>
          <w:bCs/>
          <w:sz w:val="24"/>
          <w:szCs w:val="24"/>
        </w:rPr>
        <w:t>ავტომატურად,</w:t>
      </w:r>
      <w:r w:rsidR="00926AD4" w:rsidRPr="005D64AE">
        <w:rPr>
          <w:rFonts w:ascii="Sylfaen" w:hAnsi="Sylfaen" w:cs="Sylfaen"/>
          <w:bCs/>
          <w:sz w:val="24"/>
          <w:szCs w:val="24"/>
        </w:rPr>
        <w:t xml:space="preserve"> </w:t>
      </w:r>
      <w:r w:rsidR="007C1C7A" w:rsidRPr="005D64AE">
        <w:rPr>
          <w:rFonts w:ascii="Sylfaen" w:hAnsi="Sylfaen" w:cs="Sylfaen"/>
          <w:bCs/>
          <w:sz w:val="24"/>
          <w:szCs w:val="24"/>
        </w:rPr>
        <w:t>არ მიუთითებს კონკრეტული საქმის კონსტიტუციურ</w:t>
      </w:r>
      <w:r>
        <w:rPr>
          <w:rFonts w:ascii="Sylfaen" w:hAnsi="Sylfaen" w:cs="Sylfaen"/>
          <w:bCs/>
          <w:sz w:val="24"/>
          <w:szCs w:val="24"/>
        </w:rPr>
        <w:t xml:space="preserve"> </w:t>
      </w:r>
      <w:r w:rsidR="007C1C7A" w:rsidRPr="005D64AE">
        <w:rPr>
          <w:rFonts w:ascii="Sylfaen" w:hAnsi="Sylfaen" w:cs="Sylfaen"/>
          <w:bCs/>
          <w:sz w:val="24"/>
          <w:szCs w:val="24"/>
        </w:rPr>
        <w:t xml:space="preserve"> სირთულეზე ან/და განსაკუთრებულ მნიშვნელობაზე</w:t>
      </w:r>
      <w:r w:rsidR="003558F7">
        <w:rPr>
          <w:rFonts w:ascii="Sylfaen" w:hAnsi="Sylfaen" w:cs="Sylfaen"/>
          <w:bCs/>
          <w:sz w:val="24"/>
          <w:szCs w:val="24"/>
        </w:rPr>
        <w:t xml:space="preserve">. </w:t>
      </w:r>
    </w:p>
    <w:p w14:paraId="240442F8" w14:textId="4DC43B52" w:rsidR="00CD3B39" w:rsidRPr="00820B48" w:rsidRDefault="00ED4225" w:rsidP="00820B48">
      <w:pPr>
        <w:pStyle w:val="ListParagraph"/>
        <w:numPr>
          <w:ilvl w:val="0"/>
          <w:numId w:val="1"/>
        </w:numPr>
        <w:spacing w:after="0" w:line="276" w:lineRule="auto"/>
        <w:ind w:left="0" w:firstLine="284"/>
        <w:jc w:val="both"/>
        <w:rPr>
          <w:rFonts w:ascii="Sylfaen" w:hAnsi="Sylfaen" w:cs="Sylfaen"/>
          <w:bCs/>
          <w:sz w:val="24"/>
          <w:szCs w:val="24"/>
        </w:rPr>
      </w:pPr>
      <w:r w:rsidRPr="005D64AE">
        <w:rPr>
          <w:rFonts w:ascii="Sylfaen" w:hAnsi="Sylfaen" w:cs="Sylfaen"/>
          <w:bCs/>
          <w:sz w:val="24"/>
          <w:szCs w:val="24"/>
        </w:rPr>
        <w:t xml:space="preserve">იმ </w:t>
      </w:r>
      <w:r w:rsidR="00133298" w:rsidRPr="005D64AE">
        <w:rPr>
          <w:rFonts w:ascii="Sylfaen" w:hAnsi="Sylfaen" w:cs="Sylfaen"/>
          <w:bCs/>
          <w:sz w:val="24"/>
          <w:szCs w:val="24"/>
        </w:rPr>
        <w:t xml:space="preserve">თეორიული </w:t>
      </w:r>
      <w:r w:rsidRPr="005D64AE">
        <w:rPr>
          <w:rFonts w:ascii="Sylfaen" w:hAnsi="Sylfaen" w:cs="Sylfaen"/>
          <w:bCs/>
          <w:sz w:val="24"/>
          <w:szCs w:val="24"/>
        </w:rPr>
        <w:t xml:space="preserve">დაშვებითაც კი, </w:t>
      </w:r>
      <w:r w:rsidR="00133298" w:rsidRPr="005D64AE">
        <w:rPr>
          <w:rFonts w:ascii="Sylfaen" w:hAnsi="Sylfaen" w:cs="Sylfaen"/>
          <w:bCs/>
          <w:sz w:val="24"/>
          <w:szCs w:val="24"/>
        </w:rPr>
        <w:t>რომ</w:t>
      </w:r>
      <w:r w:rsidRPr="005D64AE">
        <w:rPr>
          <w:rFonts w:ascii="Sylfaen" w:hAnsi="Sylfaen" w:cs="Sylfaen"/>
          <w:bCs/>
          <w:sz w:val="24"/>
          <w:szCs w:val="24"/>
        </w:rPr>
        <w:t xml:space="preserve"> სადავო ნორმების დაფარვის არეალი ან ადრესატთა სიმრავლე შესაძლებელია, რაიმე თვალსაზრისით, განხილულ იქნეს საქართველოს საკონსტიტუციო სასამართლოს 2017 წლის 17 ოქტომბრის №3/5/626 გადაწყვეტილებით დადგენილი სტანდარტების, საკონსტიტუციო სასამართლოს კოლეგიის ფორმატში, </w:t>
      </w:r>
      <w:r w:rsidRPr="00CD3B39">
        <w:rPr>
          <w:rFonts w:ascii="Sylfaen" w:hAnsi="Sylfaen" w:cs="Sylfaen"/>
          <w:bCs/>
          <w:sz w:val="24"/>
          <w:szCs w:val="24"/>
        </w:rPr>
        <w:t xml:space="preserve">ნორმებთან მისადაგების დამაბრკოლებელ გარემოებად, </w:t>
      </w:r>
      <w:r w:rsidR="00820B48">
        <w:rPr>
          <w:rFonts w:ascii="Sylfaen" w:hAnsi="Sylfaen" w:cs="Sylfaen"/>
          <w:bCs/>
          <w:sz w:val="24"/>
          <w:szCs w:val="24"/>
        </w:rPr>
        <w:t>სათანადო მზაობის პირობებში, შესაძლებელი იყო, განსახილველ კონსტიტუციურ სარჩელებზე განმწესრიგებელი სხდომის, ზეპირი მოსმენით, ჩატარება და ყველა რელევანტური გარემოების გამოკვლევა, რაც არ მომხდარა. შუამდგომლობის ავტორი მოსამართლე და შემდგომ – საკონსტიტუციო სასამართლოს პლენუმის შემადგენლობა, საკითხის სიღრმისეული გამოკვლევის გარეშე, მივიდა დასკვნამდე, რომ</w:t>
      </w:r>
      <w:r w:rsidR="00194D5C">
        <w:rPr>
          <w:rFonts w:ascii="Sylfaen" w:hAnsi="Sylfaen" w:cs="Sylfaen"/>
          <w:bCs/>
          <w:sz w:val="24"/>
          <w:szCs w:val="24"/>
        </w:rPr>
        <w:t xml:space="preserve">, </w:t>
      </w:r>
      <w:r w:rsidR="00194D5C">
        <w:rPr>
          <w:rFonts w:ascii="Sylfaen" w:hAnsi="Sylfaen" w:cs="Sylfaen"/>
          <w:bCs/>
          <w:sz w:val="24"/>
          <w:szCs w:val="24"/>
        </w:rPr>
        <w:t>მათ შორის,</w:t>
      </w:r>
      <w:r w:rsidR="00820B48">
        <w:rPr>
          <w:rFonts w:ascii="Sylfaen" w:hAnsi="Sylfaen" w:cs="Sylfaen"/>
          <w:bCs/>
          <w:sz w:val="24"/>
          <w:szCs w:val="24"/>
        </w:rPr>
        <w:t xml:space="preserve"> კონსტიტუციურ სარჩელებში წარმოდგენილი შუამდგომლობის გამო აუცილებელი იყო მათი განხილვის</w:t>
      </w:r>
      <w:r w:rsidR="00194D5C">
        <w:rPr>
          <w:rFonts w:ascii="Sylfaen" w:hAnsi="Sylfaen" w:cs="Sylfaen"/>
          <w:bCs/>
          <w:sz w:val="24"/>
          <w:szCs w:val="24"/>
        </w:rPr>
        <w:t>ა და გადაწყვეტის</w:t>
      </w:r>
      <w:r w:rsidR="00820B48">
        <w:rPr>
          <w:rFonts w:ascii="Sylfaen" w:hAnsi="Sylfaen" w:cs="Sylfaen"/>
          <w:bCs/>
          <w:sz w:val="24"/>
          <w:szCs w:val="24"/>
        </w:rPr>
        <w:t xml:space="preserve"> პროცესში საკონსტიტუციო სასამართლოს პლენუმის მონაწილეობა.</w:t>
      </w:r>
    </w:p>
    <w:p w14:paraId="61306888" w14:textId="241AD925" w:rsidR="00E33AD0" w:rsidRPr="00E33AD0" w:rsidRDefault="00820B48" w:rsidP="00E33AD0">
      <w:pPr>
        <w:pStyle w:val="ListParagraph"/>
        <w:numPr>
          <w:ilvl w:val="0"/>
          <w:numId w:val="1"/>
        </w:numPr>
        <w:spacing w:after="0" w:line="276" w:lineRule="auto"/>
        <w:ind w:left="0" w:firstLine="284"/>
        <w:jc w:val="both"/>
        <w:rPr>
          <w:rFonts w:ascii="Sylfaen" w:hAnsi="Sylfaen" w:cs="Sylfaen"/>
          <w:bCs/>
          <w:sz w:val="24"/>
          <w:szCs w:val="24"/>
        </w:rPr>
      </w:pPr>
      <w:r>
        <w:rPr>
          <w:rFonts w:ascii="Sylfaen" w:hAnsi="Sylfaen" w:cs="Sylfaen"/>
          <w:bCs/>
          <w:sz w:val="24"/>
          <w:szCs w:val="24"/>
        </w:rPr>
        <w:t xml:space="preserve">ესეც რომ არა, </w:t>
      </w:r>
      <w:r w:rsidR="00ED4225" w:rsidRPr="005D64AE">
        <w:rPr>
          <w:rFonts w:ascii="Sylfaen" w:hAnsi="Sylfaen" w:cs="Sylfaen"/>
          <w:bCs/>
          <w:sz w:val="24"/>
          <w:szCs w:val="24"/>
        </w:rPr>
        <w:t xml:space="preserve">მხედველობაშია მისაღები №1866 კონსტიტუციური სარჩელის ავტორის მოთხოვნის ფორმულირება, სადავო </w:t>
      </w:r>
      <w:r w:rsidR="00133298" w:rsidRPr="005D64AE">
        <w:rPr>
          <w:rFonts w:ascii="Sylfaen" w:hAnsi="Sylfaen" w:cs="Sylfaen"/>
          <w:bCs/>
          <w:sz w:val="24"/>
          <w:szCs w:val="24"/>
        </w:rPr>
        <w:t>ნორმების</w:t>
      </w:r>
      <w:r w:rsidR="00ED4225" w:rsidRPr="005D64AE">
        <w:rPr>
          <w:rFonts w:ascii="Sylfaen" w:hAnsi="Sylfaen" w:cs="Sylfaen"/>
          <w:bCs/>
          <w:sz w:val="24"/>
          <w:szCs w:val="24"/>
        </w:rPr>
        <w:t xml:space="preserve"> საკონსტიტუციო სასამართლოს გადაწყვეტილების დამძლევ ნორმებად ცნობის კონტექსტში. </w:t>
      </w:r>
      <w:r w:rsidR="001F3ED5" w:rsidRPr="005D64AE">
        <w:rPr>
          <w:rFonts w:ascii="Sylfaen" w:hAnsi="Sylfaen" w:cs="Sylfaen"/>
          <w:bCs/>
          <w:sz w:val="24"/>
          <w:szCs w:val="24"/>
        </w:rPr>
        <w:t>№1866 კონსტიტუციური სარჩელის ფარგლებში, მოსარჩელე ირაკლი ქსოვრელ</w:t>
      </w:r>
      <w:r w:rsidR="002438DD" w:rsidRPr="005D64AE">
        <w:rPr>
          <w:rFonts w:ascii="Sylfaen" w:hAnsi="Sylfaen" w:cs="Sylfaen"/>
          <w:bCs/>
          <w:sz w:val="24"/>
          <w:szCs w:val="24"/>
        </w:rPr>
        <w:t>ი</w:t>
      </w:r>
      <w:r w:rsidR="004E12A8" w:rsidRPr="005D64AE">
        <w:rPr>
          <w:rFonts w:ascii="Sylfaen" w:hAnsi="Sylfaen" w:cs="Sylfaen"/>
          <w:bCs/>
          <w:sz w:val="24"/>
          <w:szCs w:val="24"/>
        </w:rPr>
        <w:t xml:space="preserve">ს </w:t>
      </w:r>
      <w:r w:rsidR="00ED5A2D" w:rsidRPr="005D64AE">
        <w:rPr>
          <w:rFonts w:ascii="Sylfaen" w:hAnsi="Sylfaen" w:cs="Sylfaen"/>
          <w:bCs/>
          <w:sz w:val="24"/>
          <w:szCs w:val="24"/>
        </w:rPr>
        <w:t xml:space="preserve">მოთხოვნა </w:t>
      </w:r>
      <w:r>
        <w:rPr>
          <w:rFonts w:ascii="Sylfaen" w:hAnsi="Sylfaen" w:cs="Sylfaen"/>
          <w:bCs/>
          <w:sz w:val="24"/>
          <w:szCs w:val="24"/>
        </w:rPr>
        <w:t xml:space="preserve">იყო საკმაოდ კონკრეტული. </w:t>
      </w:r>
      <w:r w:rsidR="00272B1C" w:rsidRPr="005D64AE">
        <w:rPr>
          <w:rFonts w:ascii="Sylfaen" w:hAnsi="Sylfaen" w:cs="Sylfaen"/>
          <w:bCs/>
          <w:sz w:val="24"/>
          <w:szCs w:val="24"/>
        </w:rPr>
        <w:t xml:space="preserve">კერძოდ, </w:t>
      </w:r>
      <w:r w:rsidR="0024067C">
        <w:rPr>
          <w:rFonts w:ascii="Sylfaen" w:hAnsi="Sylfaen" w:cs="Sylfaen"/>
          <w:bCs/>
          <w:sz w:val="24"/>
          <w:szCs w:val="24"/>
        </w:rPr>
        <w:t>მოსარჩელის</w:t>
      </w:r>
      <w:r w:rsidR="00D137E1" w:rsidRPr="005D64AE">
        <w:rPr>
          <w:rFonts w:ascii="Sylfaen" w:hAnsi="Sylfaen" w:cs="Sylfaen"/>
          <w:bCs/>
          <w:sz w:val="24"/>
          <w:szCs w:val="24"/>
        </w:rPr>
        <w:t xml:space="preserve"> განმარტებით,</w:t>
      </w:r>
      <w:r w:rsidR="00AD43B0" w:rsidRPr="005D64AE">
        <w:rPr>
          <w:rFonts w:ascii="Sylfaen" w:hAnsi="Sylfaen" w:cs="Sylfaen"/>
          <w:bCs/>
          <w:sz w:val="24"/>
          <w:szCs w:val="24"/>
        </w:rPr>
        <w:t xml:space="preserve"> </w:t>
      </w:r>
      <w:r w:rsidR="00340F86" w:rsidRPr="005D64AE">
        <w:rPr>
          <w:rFonts w:ascii="Sylfaen" w:hAnsi="Sylfaen" w:cs="Sylfaen"/>
          <w:bCs/>
          <w:sz w:val="24"/>
          <w:szCs w:val="24"/>
        </w:rPr>
        <w:t xml:space="preserve">თუ </w:t>
      </w:r>
      <w:r w:rsidR="00340F86" w:rsidRPr="005D64AE">
        <w:rPr>
          <w:rFonts w:ascii="Sylfaen" w:hAnsi="Sylfaen" w:cs="Sylfaen"/>
          <w:bCs/>
          <w:sz w:val="24"/>
          <w:szCs w:val="24"/>
        </w:rPr>
        <w:lastRenderedPageBreak/>
        <w:t>საკონსტიტუციო სასამართლო დაასკვნიდა, რომ სადავო ნორმების დამძლევ ნორმებად მიჩნევის საკითხი უნდა შეფასებულიყო თითოეული საჯარო დაწესებულების ფუნქციებისა და კომპეტენციების და ამ საჯარო დაწესებულების პირველადი სტრუქტურული ერთეულის ხელმძღვანელისათვის მინიჭებული უფლებამოსილებების ჭრილში, იგი მოითხოვდა, რომ განმწესრიგებელ სხდომაზე ძალადაკარგულად გამოცხადებულიყო სადავო ნორმები სასამართლო ხელისუფლების ორგანიზაციის ფარგლებში ან</w:t>
      </w:r>
      <w:r w:rsidR="00D90935" w:rsidRPr="005D64AE">
        <w:rPr>
          <w:rFonts w:ascii="Sylfaen" w:hAnsi="Sylfaen" w:cs="Sylfaen"/>
          <w:bCs/>
          <w:sz w:val="24"/>
          <w:szCs w:val="24"/>
        </w:rPr>
        <w:t>,</w:t>
      </w:r>
      <w:r w:rsidR="00340F86" w:rsidRPr="005D64AE">
        <w:rPr>
          <w:rFonts w:ascii="Sylfaen" w:hAnsi="Sylfaen" w:cs="Sylfaen"/>
          <w:bCs/>
          <w:sz w:val="24"/>
          <w:szCs w:val="24"/>
        </w:rPr>
        <w:t xml:space="preserve"> სულ მცირე</w:t>
      </w:r>
      <w:r w:rsidR="00D90935" w:rsidRPr="005D64AE">
        <w:rPr>
          <w:rFonts w:ascii="Sylfaen" w:hAnsi="Sylfaen" w:cs="Sylfaen"/>
          <w:bCs/>
          <w:sz w:val="24"/>
          <w:szCs w:val="24"/>
        </w:rPr>
        <w:t>,</w:t>
      </w:r>
      <w:r w:rsidR="00340F86" w:rsidRPr="005D64AE">
        <w:rPr>
          <w:rFonts w:ascii="Sylfaen" w:hAnsi="Sylfaen" w:cs="Sylfaen"/>
          <w:bCs/>
          <w:sz w:val="24"/>
          <w:szCs w:val="24"/>
        </w:rPr>
        <w:t xml:space="preserve"> საკონსტიტუციო სასამართლოს პირველადი სტრუქტურული ერთეულის ხელმძღვანელისათვის უფლებამოსილების კანონმდებლობით მკაფიოდ განსაზღვრული</w:t>
      </w:r>
      <w:r w:rsidR="00302DB7" w:rsidRPr="005D64AE">
        <w:rPr>
          <w:rFonts w:ascii="Sylfaen" w:hAnsi="Sylfaen" w:cs="Sylfaen"/>
          <w:bCs/>
          <w:sz w:val="24"/>
          <w:szCs w:val="24"/>
        </w:rPr>
        <w:t>,</w:t>
      </w:r>
      <w:r w:rsidR="00340F86" w:rsidRPr="005D64AE">
        <w:rPr>
          <w:rFonts w:ascii="Sylfaen" w:hAnsi="Sylfaen" w:cs="Sylfaen"/>
          <w:bCs/>
          <w:sz w:val="24"/>
          <w:szCs w:val="24"/>
        </w:rPr>
        <w:t xml:space="preserve"> სათანადო საფუძვლის გარეშე და დაუსაბუთებლად შეწყვეტის ჭრილში</w:t>
      </w:r>
      <w:r w:rsidR="00302DB7" w:rsidRPr="005D64AE">
        <w:rPr>
          <w:rFonts w:ascii="Sylfaen" w:hAnsi="Sylfaen" w:cs="Sylfaen"/>
          <w:bCs/>
          <w:sz w:val="24"/>
          <w:szCs w:val="24"/>
        </w:rPr>
        <w:t xml:space="preserve"> (იხ., №1866 კონსტიტუციური სარჩელი, 24-ე გვერდი). </w:t>
      </w:r>
      <w:r>
        <w:rPr>
          <w:rFonts w:ascii="Sylfaen" w:hAnsi="Sylfaen" w:cs="Sylfaen"/>
          <w:bCs/>
          <w:sz w:val="24"/>
          <w:szCs w:val="24"/>
        </w:rPr>
        <w:t xml:space="preserve">ამდენად, </w:t>
      </w:r>
      <w:r w:rsidRPr="005D64AE">
        <w:rPr>
          <w:rFonts w:ascii="Sylfaen" w:hAnsi="Sylfaen" w:cs="Sylfaen"/>
          <w:bCs/>
          <w:sz w:val="24"/>
          <w:szCs w:val="24"/>
        </w:rPr>
        <w:t>№1866 კონსტიტუციური სარჩელის</w:t>
      </w:r>
      <w:r>
        <w:rPr>
          <w:rFonts w:ascii="Sylfaen" w:hAnsi="Sylfaen" w:cs="Sylfaen"/>
          <w:bCs/>
          <w:sz w:val="24"/>
          <w:szCs w:val="24"/>
        </w:rPr>
        <w:t xml:space="preserve"> ავტორის შუამდგომლობის გადაწყვეტა (დადებითად თუ უარყოფითად) არ წარმოადგენდა განსაკუთრებულ სირთულეს არც შუამდგომლობის ავტორი მოსამართლის მიერ შემოთავაზებული და არც საკონსტიტუციო სასამართლოს პლენუმის მიერ გაზიარებული/განვითარებული ლოგიკით. </w:t>
      </w:r>
    </w:p>
    <w:p w14:paraId="25B59AA2" w14:textId="41E787B1" w:rsidR="00E33AD0" w:rsidRPr="00E33AD0" w:rsidRDefault="00E33AD0" w:rsidP="00E33AD0">
      <w:pPr>
        <w:pStyle w:val="ListParagraph"/>
        <w:numPr>
          <w:ilvl w:val="0"/>
          <w:numId w:val="1"/>
        </w:numPr>
        <w:spacing w:after="100" w:afterAutospacing="1" w:line="276" w:lineRule="auto"/>
        <w:ind w:left="0" w:firstLine="284"/>
        <w:jc w:val="both"/>
        <w:rPr>
          <w:rFonts w:ascii="Sylfaen" w:hAnsi="Sylfaen" w:cs="Sylfaen"/>
          <w:bCs/>
          <w:sz w:val="24"/>
          <w:szCs w:val="24"/>
        </w:rPr>
      </w:pPr>
      <w:r>
        <w:rPr>
          <w:rFonts w:ascii="Sylfaen" w:hAnsi="Sylfaen" w:cs="Sylfaen"/>
          <w:bCs/>
          <w:sz w:val="24"/>
          <w:szCs w:val="24"/>
        </w:rPr>
        <w:t xml:space="preserve">ყოველივე </w:t>
      </w:r>
      <w:r w:rsidR="00B029B7">
        <w:rPr>
          <w:rFonts w:ascii="Sylfaen" w:hAnsi="Sylfaen" w:cs="Sylfaen"/>
          <w:bCs/>
          <w:sz w:val="24"/>
          <w:szCs w:val="24"/>
        </w:rPr>
        <w:t>ზემოაღნიშნულის</w:t>
      </w:r>
      <w:r>
        <w:rPr>
          <w:rFonts w:ascii="Sylfaen" w:hAnsi="Sylfaen" w:cs="Sylfaen"/>
          <w:bCs/>
          <w:sz w:val="24"/>
          <w:szCs w:val="24"/>
        </w:rPr>
        <w:t xml:space="preserve"> გათვალისწინებით, ნათელია,</w:t>
      </w:r>
      <w:r w:rsidR="001A1401" w:rsidRPr="005D64AE">
        <w:rPr>
          <w:rFonts w:ascii="Sylfaen" w:hAnsi="Sylfaen" w:cs="Sylfaen"/>
          <w:bCs/>
          <w:sz w:val="24"/>
          <w:szCs w:val="24"/>
        </w:rPr>
        <w:t xml:space="preserve"> რომ </w:t>
      </w:r>
      <w:r w:rsidR="0024067C">
        <w:rPr>
          <w:rFonts w:ascii="Sylfaen" w:hAnsi="Sylfaen" w:cs="Sylfaen"/>
          <w:bCs/>
          <w:sz w:val="24"/>
          <w:szCs w:val="24"/>
        </w:rPr>
        <w:t>შუამდგომლობის ავტორის მიერ დასახელებულ</w:t>
      </w:r>
      <w:r>
        <w:rPr>
          <w:rFonts w:ascii="Sylfaen" w:hAnsi="Sylfaen" w:cs="Sylfaen"/>
          <w:bCs/>
          <w:sz w:val="24"/>
          <w:szCs w:val="24"/>
        </w:rPr>
        <w:t>ი არც ერთი არგუმენტი არ ადასტურებს</w:t>
      </w:r>
      <w:r w:rsidR="001A1401" w:rsidRPr="005D64AE">
        <w:rPr>
          <w:rFonts w:ascii="Sylfaen" w:hAnsi="Sylfaen" w:cs="Sylfaen"/>
          <w:bCs/>
          <w:sz w:val="24"/>
          <w:szCs w:val="24"/>
        </w:rPr>
        <w:t xml:space="preserve"> კოლეგიის განსჯადი საქმის პლენუმ</w:t>
      </w:r>
      <w:r w:rsidR="0024067C">
        <w:rPr>
          <w:rFonts w:ascii="Sylfaen" w:hAnsi="Sylfaen" w:cs="Sylfaen"/>
          <w:bCs/>
          <w:sz w:val="24"/>
          <w:szCs w:val="24"/>
        </w:rPr>
        <w:t>ზე</w:t>
      </w:r>
      <w:r w:rsidR="001A1401" w:rsidRPr="005D64AE">
        <w:rPr>
          <w:rFonts w:ascii="Sylfaen" w:hAnsi="Sylfaen" w:cs="Sylfaen"/>
          <w:bCs/>
          <w:sz w:val="24"/>
          <w:szCs w:val="24"/>
        </w:rPr>
        <w:t xml:space="preserve"> განსახილველად მიღების</w:t>
      </w:r>
      <w:r w:rsidR="0024067C">
        <w:rPr>
          <w:rFonts w:ascii="Sylfaen" w:hAnsi="Sylfaen" w:cs="Sylfaen"/>
          <w:bCs/>
          <w:sz w:val="24"/>
          <w:szCs w:val="24"/>
        </w:rPr>
        <w:t xml:space="preserve"> </w:t>
      </w:r>
      <w:r>
        <w:rPr>
          <w:rFonts w:ascii="Sylfaen" w:hAnsi="Sylfaen" w:cs="Sylfaen"/>
          <w:bCs/>
          <w:sz w:val="24"/>
          <w:szCs w:val="24"/>
        </w:rPr>
        <w:t>საქართველოს კანონმდებლობით გათვალისწინებულ</w:t>
      </w:r>
      <w:r w:rsidR="00B029B7">
        <w:rPr>
          <w:rFonts w:ascii="Sylfaen" w:hAnsi="Sylfaen" w:cs="Sylfaen"/>
          <w:bCs/>
          <w:sz w:val="24"/>
          <w:szCs w:val="24"/>
        </w:rPr>
        <w:t>ი</w:t>
      </w:r>
      <w:r>
        <w:rPr>
          <w:rFonts w:ascii="Sylfaen" w:hAnsi="Sylfaen" w:cs="Sylfaen"/>
          <w:bCs/>
          <w:sz w:val="24"/>
          <w:szCs w:val="24"/>
        </w:rPr>
        <w:t xml:space="preserve"> სამართლებრივ</w:t>
      </w:r>
      <w:r w:rsidR="00B029B7">
        <w:rPr>
          <w:rFonts w:ascii="Sylfaen" w:hAnsi="Sylfaen" w:cs="Sylfaen"/>
          <w:bCs/>
          <w:sz w:val="24"/>
          <w:szCs w:val="24"/>
        </w:rPr>
        <w:t>ი</w:t>
      </w:r>
      <w:r>
        <w:rPr>
          <w:rFonts w:ascii="Sylfaen" w:hAnsi="Sylfaen" w:cs="Sylfaen"/>
          <w:bCs/>
          <w:sz w:val="24"/>
          <w:szCs w:val="24"/>
        </w:rPr>
        <w:t xml:space="preserve"> </w:t>
      </w:r>
      <w:r w:rsidR="00B029B7">
        <w:rPr>
          <w:rFonts w:ascii="Sylfaen" w:hAnsi="Sylfaen" w:cs="Sylfaen"/>
          <w:bCs/>
          <w:sz w:val="24"/>
          <w:szCs w:val="24"/>
        </w:rPr>
        <w:t>საფუძვლის არსებობას.</w:t>
      </w:r>
      <w:r>
        <w:rPr>
          <w:rFonts w:ascii="Sylfaen" w:hAnsi="Sylfaen" w:cs="Sylfaen"/>
          <w:bCs/>
          <w:sz w:val="24"/>
          <w:szCs w:val="24"/>
        </w:rPr>
        <w:t xml:space="preserve"> კერძოდ, </w:t>
      </w:r>
      <w:r w:rsidRPr="005D64AE">
        <w:rPr>
          <w:rFonts w:ascii="Sylfaen" w:hAnsi="Sylfaen" w:cs="Sylfaen"/>
          <w:bCs/>
          <w:sz w:val="24"/>
          <w:szCs w:val="24"/>
        </w:rPr>
        <w:t>საჯარო სამსახურის კონცეფციის სისტემურ</w:t>
      </w:r>
      <w:r>
        <w:rPr>
          <w:rFonts w:ascii="Sylfaen" w:hAnsi="Sylfaen" w:cs="Sylfaen"/>
          <w:bCs/>
          <w:sz w:val="24"/>
          <w:szCs w:val="24"/>
        </w:rPr>
        <w:t xml:space="preserve">ი ცვლილება, </w:t>
      </w:r>
      <w:r w:rsidR="00B029B7">
        <w:rPr>
          <w:rFonts w:ascii="Sylfaen" w:hAnsi="Sylfaen" w:cs="Sylfaen"/>
          <w:bCs/>
          <w:sz w:val="24"/>
          <w:szCs w:val="24"/>
        </w:rPr>
        <w:t>სადავო ნორმებისგან</w:t>
      </w:r>
      <w:r>
        <w:rPr>
          <w:rFonts w:ascii="Sylfaen" w:hAnsi="Sylfaen" w:cs="Sylfaen"/>
          <w:bCs/>
          <w:sz w:val="24"/>
          <w:szCs w:val="24"/>
        </w:rPr>
        <w:t xml:space="preserve"> მომდინარე </w:t>
      </w:r>
      <w:r w:rsidRPr="005D64AE">
        <w:rPr>
          <w:rFonts w:ascii="Sylfaen" w:hAnsi="Sylfaen" w:cs="Sylfaen"/>
          <w:bCs/>
          <w:sz w:val="24"/>
          <w:szCs w:val="24"/>
        </w:rPr>
        <w:t>მასშტაბური ზეგავლენის პოტენციალი საჯარო თანამდებობის დაკავებისა და საქმიანობის შეუფერხებლად განხორციელების კონსტიტუციურ უფლებებზე</w:t>
      </w:r>
      <w:r>
        <w:rPr>
          <w:rFonts w:ascii="Sylfaen" w:hAnsi="Sylfaen" w:cs="Sylfaen"/>
          <w:bCs/>
          <w:sz w:val="24"/>
          <w:szCs w:val="24"/>
        </w:rPr>
        <w:t xml:space="preserve">, ისევე, როგორც სადავო ნორმებით საკონსტიტუციო სასამართლოს პრაქტიკის დამძლევობის საკითხის გადაწყვეტა, ცალსახად, არ გულისხმობს </w:t>
      </w:r>
      <w:r w:rsidRPr="005D64AE">
        <w:rPr>
          <w:rFonts w:ascii="Sylfaen" w:hAnsi="Sylfaen" w:cs="Sylfaen"/>
          <w:bCs/>
          <w:sz w:val="24"/>
          <w:szCs w:val="24"/>
        </w:rPr>
        <w:t xml:space="preserve">საქართველოს </w:t>
      </w:r>
      <w:r w:rsidRPr="005D64AE">
        <w:rPr>
          <w:rFonts w:ascii="Sylfaen" w:hAnsi="Sylfaen" w:cs="Sylfaen"/>
          <w:color w:val="000000"/>
          <w:sz w:val="24"/>
          <w:szCs w:val="24"/>
        </w:rPr>
        <w:t>კონსტიტუციის</w:t>
      </w:r>
      <w:r w:rsidRPr="005D64AE">
        <w:rPr>
          <w:rFonts w:ascii="Sylfaen" w:hAnsi="Sylfaen"/>
          <w:color w:val="000000"/>
          <w:sz w:val="24"/>
          <w:szCs w:val="24"/>
        </w:rPr>
        <w:t xml:space="preserve"> </w:t>
      </w:r>
      <w:r w:rsidRPr="005D64AE">
        <w:rPr>
          <w:rFonts w:ascii="Sylfaen" w:hAnsi="Sylfaen" w:cs="Sylfaen"/>
          <w:color w:val="000000"/>
          <w:sz w:val="24"/>
          <w:szCs w:val="24"/>
        </w:rPr>
        <w:t>განმარტების</w:t>
      </w:r>
      <w:r w:rsidRPr="005D64AE">
        <w:rPr>
          <w:rFonts w:ascii="Sylfaen" w:hAnsi="Sylfaen"/>
          <w:color w:val="000000"/>
          <w:sz w:val="24"/>
          <w:szCs w:val="24"/>
        </w:rPr>
        <w:t xml:space="preserve"> </w:t>
      </w:r>
      <w:r w:rsidRPr="005D64AE">
        <w:rPr>
          <w:rFonts w:ascii="Sylfaen" w:hAnsi="Sylfaen" w:cs="Sylfaen"/>
          <w:color w:val="000000"/>
          <w:sz w:val="24"/>
          <w:szCs w:val="24"/>
        </w:rPr>
        <w:t>ან</w:t>
      </w:r>
      <w:r w:rsidRPr="005D64AE">
        <w:rPr>
          <w:rFonts w:ascii="Sylfaen" w:hAnsi="Sylfaen"/>
          <w:color w:val="000000"/>
          <w:sz w:val="24"/>
          <w:szCs w:val="24"/>
        </w:rPr>
        <w:t>/</w:t>
      </w:r>
      <w:r w:rsidRPr="005D64AE">
        <w:rPr>
          <w:rFonts w:ascii="Sylfaen" w:hAnsi="Sylfaen" w:cs="Sylfaen"/>
          <w:color w:val="000000"/>
          <w:sz w:val="24"/>
          <w:szCs w:val="24"/>
        </w:rPr>
        <w:t>და</w:t>
      </w:r>
      <w:r w:rsidRPr="005D64AE">
        <w:rPr>
          <w:rFonts w:ascii="Sylfaen" w:hAnsi="Sylfaen"/>
          <w:color w:val="000000"/>
          <w:sz w:val="24"/>
          <w:szCs w:val="24"/>
        </w:rPr>
        <w:t xml:space="preserve"> </w:t>
      </w:r>
      <w:r w:rsidRPr="005D64AE">
        <w:rPr>
          <w:rFonts w:ascii="Sylfaen" w:hAnsi="Sylfaen" w:cs="Sylfaen"/>
          <w:color w:val="000000"/>
          <w:sz w:val="24"/>
          <w:szCs w:val="24"/>
        </w:rPr>
        <w:t>გამოყენების</w:t>
      </w:r>
      <w:r w:rsidRPr="005D64AE">
        <w:rPr>
          <w:rFonts w:ascii="Sylfaen" w:hAnsi="Sylfaen"/>
          <w:color w:val="000000"/>
          <w:sz w:val="24"/>
          <w:szCs w:val="24"/>
        </w:rPr>
        <w:t xml:space="preserve"> </w:t>
      </w:r>
      <w:r w:rsidRPr="005D64AE">
        <w:rPr>
          <w:rFonts w:ascii="Sylfaen" w:hAnsi="Sylfaen" w:cs="Sylfaen"/>
          <w:color w:val="000000"/>
          <w:sz w:val="24"/>
          <w:szCs w:val="24"/>
        </w:rPr>
        <w:t>იშვიათი</w:t>
      </w:r>
      <w:r w:rsidRPr="005D64AE">
        <w:rPr>
          <w:rFonts w:ascii="Sylfaen" w:hAnsi="Sylfaen"/>
          <w:color w:val="000000"/>
          <w:sz w:val="24"/>
          <w:szCs w:val="24"/>
        </w:rPr>
        <w:t xml:space="preserve"> </w:t>
      </w:r>
      <w:r w:rsidRPr="005D64AE">
        <w:rPr>
          <w:rFonts w:ascii="Sylfaen" w:hAnsi="Sylfaen" w:cs="Sylfaen"/>
          <w:color w:val="000000"/>
          <w:sz w:val="24"/>
          <w:szCs w:val="24"/>
        </w:rPr>
        <w:t>ან</w:t>
      </w:r>
      <w:r w:rsidRPr="005D64AE">
        <w:rPr>
          <w:rFonts w:ascii="Sylfaen" w:hAnsi="Sylfaen"/>
          <w:color w:val="000000"/>
          <w:sz w:val="24"/>
          <w:szCs w:val="24"/>
        </w:rPr>
        <w:t>/</w:t>
      </w:r>
      <w:r w:rsidRPr="005D64AE">
        <w:rPr>
          <w:rFonts w:ascii="Sylfaen" w:hAnsi="Sylfaen" w:cs="Sylfaen"/>
          <w:color w:val="000000"/>
          <w:sz w:val="24"/>
          <w:szCs w:val="24"/>
        </w:rPr>
        <w:t>და</w:t>
      </w:r>
      <w:r w:rsidRPr="005D64AE">
        <w:rPr>
          <w:rFonts w:ascii="Sylfaen" w:hAnsi="Sylfaen"/>
          <w:color w:val="000000"/>
          <w:sz w:val="24"/>
          <w:szCs w:val="24"/>
        </w:rPr>
        <w:t xml:space="preserve"> </w:t>
      </w:r>
      <w:r w:rsidRPr="005D64AE">
        <w:rPr>
          <w:rFonts w:ascii="Sylfaen" w:hAnsi="Sylfaen" w:cs="Sylfaen"/>
          <w:color w:val="000000"/>
          <w:sz w:val="24"/>
          <w:szCs w:val="24"/>
        </w:rPr>
        <w:t>განსაკუთრებით</w:t>
      </w:r>
      <w:r w:rsidRPr="005D64AE">
        <w:rPr>
          <w:rFonts w:ascii="Sylfaen" w:hAnsi="Sylfaen"/>
          <w:color w:val="000000"/>
          <w:sz w:val="24"/>
          <w:szCs w:val="24"/>
        </w:rPr>
        <w:t xml:space="preserve"> </w:t>
      </w:r>
      <w:r w:rsidRPr="005D64AE">
        <w:rPr>
          <w:rFonts w:ascii="Sylfaen" w:hAnsi="Sylfaen" w:cs="Sylfaen"/>
          <w:color w:val="000000"/>
          <w:sz w:val="24"/>
          <w:szCs w:val="24"/>
        </w:rPr>
        <w:t>მნიშვნელოვანი</w:t>
      </w:r>
      <w:r w:rsidRPr="005D64AE">
        <w:rPr>
          <w:rFonts w:ascii="Sylfaen" w:hAnsi="Sylfaen"/>
          <w:color w:val="000000"/>
          <w:sz w:val="24"/>
          <w:szCs w:val="24"/>
        </w:rPr>
        <w:t xml:space="preserve"> </w:t>
      </w:r>
      <w:r w:rsidRPr="005D64AE">
        <w:rPr>
          <w:rFonts w:ascii="Sylfaen" w:hAnsi="Sylfaen" w:cs="Sylfaen"/>
          <w:color w:val="000000"/>
          <w:sz w:val="24"/>
          <w:szCs w:val="24"/>
        </w:rPr>
        <w:t>სამართლებრივი</w:t>
      </w:r>
      <w:r w:rsidRPr="005D64AE">
        <w:rPr>
          <w:rFonts w:ascii="Sylfaen" w:hAnsi="Sylfaen"/>
          <w:color w:val="000000"/>
          <w:sz w:val="24"/>
          <w:szCs w:val="24"/>
        </w:rPr>
        <w:t xml:space="preserve"> </w:t>
      </w:r>
      <w:r w:rsidRPr="005D64AE">
        <w:rPr>
          <w:rFonts w:ascii="Sylfaen" w:hAnsi="Sylfaen" w:cs="Sylfaen"/>
          <w:color w:val="000000"/>
          <w:sz w:val="24"/>
          <w:szCs w:val="24"/>
        </w:rPr>
        <w:t>პრობლემის არსებობა</w:t>
      </w:r>
      <w:r>
        <w:rPr>
          <w:rFonts w:ascii="Sylfaen" w:hAnsi="Sylfaen" w:cs="Sylfaen"/>
          <w:color w:val="000000"/>
          <w:sz w:val="24"/>
          <w:szCs w:val="24"/>
        </w:rPr>
        <w:t>ს</w:t>
      </w:r>
      <w:r w:rsidRPr="005D64AE">
        <w:rPr>
          <w:rFonts w:ascii="Sylfaen" w:hAnsi="Sylfaen" w:cs="Sylfaen"/>
          <w:color w:val="000000"/>
          <w:sz w:val="24"/>
          <w:szCs w:val="24"/>
        </w:rPr>
        <w:t>.</w:t>
      </w:r>
      <w:r>
        <w:rPr>
          <w:rFonts w:ascii="Sylfaen" w:hAnsi="Sylfaen" w:cs="Sylfaen"/>
          <w:color w:val="000000"/>
          <w:sz w:val="24"/>
          <w:szCs w:val="24"/>
        </w:rPr>
        <w:t xml:space="preserve"> სწორედ ამიტომ, </w:t>
      </w:r>
      <w:r w:rsidR="001A1401" w:rsidRPr="00E33AD0">
        <w:rPr>
          <w:rFonts w:ascii="Sylfaen" w:hAnsi="Sylfaen" w:cs="Sylfaen"/>
          <w:sz w:val="24"/>
          <w:szCs w:val="24"/>
        </w:rPr>
        <w:t xml:space="preserve">მიგვაჩნია, რომ საკონსტიტუციო სასამართლოს პლენუმს </w:t>
      </w:r>
      <w:r w:rsidR="001823EA" w:rsidRPr="00E33AD0">
        <w:rPr>
          <w:rFonts w:ascii="Sylfaen" w:hAnsi="Sylfaen" w:cs="Sylfaen"/>
          <w:sz w:val="24"/>
          <w:szCs w:val="24"/>
        </w:rPr>
        <w:t xml:space="preserve">პლენუმზე </w:t>
      </w:r>
      <w:r w:rsidR="001A1401" w:rsidRPr="00E33AD0">
        <w:rPr>
          <w:rFonts w:ascii="Sylfaen" w:hAnsi="Sylfaen" w:cs="Sylfaen"/>
          <w:sz w:val="24"/>
          <w:szCs w:val="24"/>
        </w:rPr>
        <w:t xml:space="preserve">განსახილველად </w:t>
      </w:r>
      <w:r w:rsidR="001823EA" w:rsidRPr="00E33AD0">
        <w:rPr>
          <w:rFonts w:ascii="Sylfaen" w:hAnsi="Sylfaen" w:cs="Sylfaen"/>
          <w:sz w:val="24"/>
          <w:szCs w:val="24"/>
        </w:rPr>
        <w:t xml:space="preserve">არ უნდა მიეღო </w:t>
      </w:r>
      <w:r w:rsidR="001A1401" w:rsidRPr="00E33AD0">
        <w:rPr>
          <w:rFonts w:ascii="Sylfaen" w:hAnsi="Sylfaen" w:cs="Sylfaen"/>
          <w:sz w:val="24"/>
          <w:szCs w:val="24"/>
        </w:rPr>
        <w:t xml:space="preserve">კოლეგიის განსჯადი </w:t>
      </w:r>
      <w:r>
        <w:rPr>
          <w:rFonts w:ascii="Sylfaen" w:hAnsi="Sylfaen" w:cs="Sylfaen"/>
          <w:sz w:val="24"/>
          <w:szCs w:val="24"/>
        </w:rPr>
        <w:t>№1859 და №1866 კონსტიტუციური სარჩელები.</w:t>
      </w:r>
    </w:p>
    <w:p w14:paraId="0DAF1825" w14:textId="0DC3A5A0" w:rsidR="001A1401" w:rsidRPr="005D64AE" w:rsidRDefault="001A1401" w:rsidP="005D64AE">
      <w:pPr>
        <w:spacing w:after="100" w:afterAutospacing="1" w:line="276" w:lineRule="auto"/>
        <w:jc w:val="both"/>
        <w:rPr>
          <w:rFonts w:ascii="Sylfaen" w:hAnsi="Sylfaen" w:cs="Sylfaen"/>
          <w:b/>
          <w:bCs/>
          <w:sz w:val="24"/>
          <w:szCs w:val="24"/>
        </w:rPr>
      </w:pPr>
      <w:r w:rsidRPr="005D64AE">
        <w:rPr>
          <w:rFonts w:ascii="Sylfaen" w:hAnsi="Sylfaen" w:cs="Sylfaen"/>
          <w:b/>
          <w:bCs/>
          <w:sz w:val="24"/>
          <w:szCs w:val="24"/>
        </w:rPr>
        <w:t>საქართველოს</w:t>
      </w:r>
      <w:r w:rsidRPr="005D64AE">
        <w:rPr>
          <w:rFonts w:ascii="Sylfaen" w:hAnsi="Sylfaen"/>
          <w:b/>
          <w:bCs/>
          <w:sz w:val="24"/>
          <w:szCs w:val="24"/>
        </w:rPr>
        <w:t xml:space="preserve"> </w:t>
      </w:r>
      <w:r w:rsidRPr="005D64AE">
        <w:rPr>
          <w:rFonts w:ascii="Sylfaen" w:hAnsi="Sylfaen" w:cs="Sylfaen"/>
          <w:b/>
          <w:bCs/>
          <w:sz w:val="24"/>
          <w:szCs w:val="24"/>
        </w:rPr>
        <w:t>საკონსტიტუციო</w:t>
      </w:r>
      <w:r w:rsidRPr="005D64AE">
        <w:rPr>
          <w:rFonts w:ascii="Sylfaen" w:hAnsi="Sylfaen"/>
          <w:b/>
          <w:bCs/>
          <w:sz w:val="24"/>
          <w:szCs w:val="24"/>
        </w:rPr>
        <w:t xml:space="preserve"> </w:t>
      </w:r>
      <w:r w:rsidRPr="005D64AE">
        <w:rPr>
          <w:rFonts w:ascii="Sylfaen" w:hAnsi="Sylfaen" w:cs="Sylfaen"/>
          <w:b/>
          <w:bCs/>
          <w:sz w:val="24"/>
          <w:szCs w:val="24"/>
        </w:rPr>
        <w:t>სასამართლოს</w:t>
      </w:r>
      <w:r w:rsidRPr="005D64AE">
        <w:rPr>
          <w:rFonts w:ascii="Sylfaen" w:hAnsi="Sylfaen"/>
          <w:b/>
          <w:bCs/>
          <w:sz w:val="24"/>
          <w:szCs w:val="24"/>
        </w:rPr>
        <w:t xml:space="preserve"> </w:t>
      </w:r>
      <w:r w:rsidRPr="005D64AE">
        <w:rPr>
          <w:rFonts w:ascii="Sylfaen" w:hAnsi="Sylfaen" w:cs="Sylfaen"/>
          <w:b/>
          <w:bCs/>
          <w:sz w:val="24"/>
          <w:szCs w:val="24"/>
        </w:rPr>
        <w:t>წევრები</w:t>
      </w:r>
      <w:bookmarkEnd w:id="0"/>
    </w:p>
    <w:p w14:paraId="113E09CD" w14:textId="77777777" w:rsidR="001A1401" w:rsidRPr="005D64AE" w:rsidRDefault="001A1401" w:rsidP="005D64AE">
      <w:pPr>
        <w:spacing w:after="100" w:afterAutospacing="1" w:line="276" w:lineRule="auto"/>
        <w:jc w:val="both"/>
        <w:rPr>
          <w:rFonts w:ascii="Sylfaen" w:hAnsi="Sylfaen" w:cs="Sylfaen"/>
          <w:sz w:val="24"/>
          <w:szCs w:val="24"/>
        </w:rPr>
      </w:pPr>
      <w:r w:rsidRPr="005D64AE">
        <w:rPr>
          <w:rFonts w:ascii="Sylfaen" w:hAnsi="Sylfaen" w:cs="Sylfaen"/>
          <w:sz w:val="24"/>
          <w:szCs w:val="24"/>
        </w:rPr>
        <w:t>გიორგი კვერენჩხილაძე</w:t>
      </w:r>
    </w:p>
    <w:p w14:paraId="140AC675" w14:textId="77777777" w:rsidR="001A1401" w:rsidRPr="005D64AE" w:rsidRDefault="001A1401" w:rsidP="00A00A84">
      <w:pPr>
        <w:spacing w:after="100" w:afterAutospacing="1" w:line="276" w:lineRule="auto"/>
        <w:jc w:val="both"/>
        <w:rPr>
          <w:rFonts w:ascii="Sylfaen" w:hAnsi="Sylfaen" w:cs="Sylfaen"/>
          <w:sz w:val="24"/>
          <w:szCs w:val="24"/>
        </w:rPr>
      </w:pPr>
    </w:p>
    <w:p w14:paraId="4DDBF85E" w14:textId="7439AAA7" w:rsidR="00D41916" w:rsidRPr="005D64AE" w:rsidRDefault="001A1401" w:rsidP="006B0252">
      <w:pPr>
        <w:spacing w:after="100" w:afterAutospacing="1" w:line="276" w:lineRule="auto"/>
        <w:jc w:val="both"/>
        <w:rPr>
          <w:rFonts w:ascii="Sylfaen" w:hAnsi="Sylfaen"/>
        </w:rPr>
      </w:pPr>
      <w:r w:rsidRPr="005D64AE">
        <w:rPr>
          <w:rFonts w:ascii="Sylfaen" w:hAnsi="Sylfaen" w:cs="Sylfaen"/>
          <w:sz w:val="24"/>
          <w:szCs w:val="24"/>
        </w:rPr>
        <w:t>თეიმურაზ ტუღუშ</w:t>
      </w:r>
      <w:bookmarkEnd w:id="1"/>
      <w:r w:rsidR="006B0252">
        <w:rPr>
          <w:rFonts w:ascii="Sylfaen" w:hAnsi="Sylfaen" w:cs="Sylfaen"/>
          <w:sz w:val="24"/>
          <w:szCs w:val="24"/>
        </w:rPr>
        <w:t>ი</w:t>
      </w:r>
    </w:p>
    <w:sectPr w:rsidR="00D41916" w:rsidRPr="005D64AE" w:rsidSect="005D64AE">
      <w:footerReference w:type="default" r:id="rId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0DE4C" w14:textId="77777777" w:rsidR="00F81227" w:rsidRDefault="00F81227">
      <w:pPr>
        <w:spacing w:after="0" w:line="240" w:lineRule="auto"/>
      </w:pPr>
      <w:r>
        <w:separator/>
      </w:r>
    </w:p>
  </w:endnote>
  <w:endnote w:type="continuationSeparator" w:id="0">
    <w:p w14:paraId="43600423" w14:textId="77777777" w:rsidR="00F81227" w:rsidRDefault="00F81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7728B" w14:textId="77777777" w:rsidR="00973383" w:rsidRPr="00DE2123" w:rsidRDefault="00EE1A06">
    <w:pPr>
      <w:pStyle w:val="Footer"/>
      <w:jc w:val="right"/>
      <w:rPr>
        <w:rFonts w:ascii="Sylfaen" w:hAnsi="Sylfaen"/>
        <w:sz w:val="20"/>
        <w:szCs w:val="20"/>
      </w:rPr>
    </w:pPr>
    <w:r w:rsidRPr="00DE2123">
      <w:rPr>
        <w:rFonts w:ascii="Sylfaen" w:hAnsi="Sylfaen"/>
        <w:sz w:val="20"/>
        <w:szCs w:val="20"/>
      </w:rPr>
      <w:fldChar w:fldCharType="begin"/>
    </w:r>
    <w:r w:rsidRPr="00DE2123">
      <w:rPr>
        <w:rFonts w:ascii="Sylfaen" w:hAnsi="Sylfaen"/>
        <w:sz w:val="20"/>
        <w:szCs w:val="20"/>
      </w:rPr>
      <w:instrText xml:space="preserve"> PAGE   \* MERGEFORMAT </w:instrText>
    </w:r>
    <w:r w:rsidRPr="00DE2123">
      <w:rPr>
        <w:rFonts w:ascii="Sylfaen" w:hAnsi="Sylfaen"/>
        <w:sz w:val="20"/>
        <w:szCs w:val="20"/>
      </w:rPr>
      <w:fldChar w:fldCharType="separate"/>
    </w:r>
    <w:r w:rsidR="00117FCE">
      <w:rPr>
        <w:rFonts w:ascii="Sylfaen" w:hAnsi="Sylfaen"/>
        <w:noProof/>
        <w:sz w:val="20"/>
        <w:szCs w:val="20"/>
      </w:rPr>
      <w:t>16</w:t>
    </w:r>
    <w:r w:rsidRPr="00DE2123">
      <w:rPr>
        <w:rFonts w:ascii="Sylfaen" w:hAnsi="Sylfaen"/>
        <w:sz w:val="20"/>
        <w:szCs w:val="20"/>
      </w:rPr>
      <w:fldChar w:fldCharType="end"/>
    </w:r>
  </w:p>
  <w:p w14:paraId="1871FCFD" w14:textId="77777777" w:rsidR="00973383" w:rsidRPr="00DE2123" w:rsidRDefault="00973383">
    <w:pPr>
      <w:pStyle w:val="Footer"/>
      <w:rPr>
        <w:rFonts w:ascii="Sylfaen" w:hAnsi="Sylfae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EB86D" w14:textId="77777777" w:rsidR="00F81227" w:rsidRDefault="00F81227">
      <w:pPr>
        <w:spacing w:after="0" w:line="240" w:lineRule="auto"/>
      </w:pPr>
      <w:r>
        <w:separator/>
      </w:r>
    </w:p>
  </w:footnote>
  <w:footnote w:type="continuationSeparator" w:id="0">
    <w:p w14:paraId="3EDC6590" w14:textId="77777777" w:rsidR="00F81227" w:rsidRDefault="00F812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22E6E"/>
    <w:multiLevelType w:val="hybridMultilevel"/>
    <w:tmpl w:val="7C320532"/>
    <w:lvl w:ilvl="0" w:tplc="0409000F">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E024B6"/>
    <w:multiLevelType w:val="hybridMultilevel"/>
    <w:tmpl w:val="96C47D56"/>
    <w:lvl w:ilvl="0" w:tplc="FFFFFFFF">
      <w:start w:val="1"/>
      <w:numFmt w:val="decimal"/>
      <w:lvlText w:val="%1."/>
      <w:lvlJc w:val="left"/>
      <w:pPr>
        <w:ind w:left="3479"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0D6493E"/>
    <w:multiLevelType w:val="multilevel"/>
    <w:tmpl w:val="0D6E8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330C2E"/>
    <w:multiLevelType w:val="hybridMultilevel"/>
    <w:tmpl w:val="96C47D56"/>
    <w:lvl w:ilvl="0" w:tplc="A2B8DE82">
      <w:start w:val="1"/>
      <w:numFmt w:val="decimal"/>
      <w:lvlText w:val="%1."/>
      <w:lvlJc w:val="left"/>
      <w:pPr>
        <w:ind w:left="3479"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D0715C"/>
    <w:multiLevelType w:val="hybridMultilevel"/>
    <w:tmpl w:val="96C47D56"/>
    <w:lvl w:ilvl="0" w:tplc="FFFFFFFF">
      <w:start w:val="1"/>
      <w:numFmt w:val="decimal"/>
      <w:lvlText w:val="%1."/>
      <w:lvlJc w:val="left"/>
      <w:pPr>
        <w:ind w:left="3479"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07753100">
    <w:abstractNumId w:val="3"/>
  </w:num>
  <w:num w:numId="2" w16cid:durableId="799693746">
    <w:abstractNumId w:val="2"/>
  </w:num>
  <w:num w:numId="3" w16cid:durableId="1548830875">
    <w:abstractNumId w:val="4"/>
  </w:num>
  <w:num w:numId="4" w16cid:durableId="1583878556">
    <w:abstractNumId w:val="0"/>
  </w:num>
  <w:num w:numId="5" w16cid:durableId="685328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4D2"/>
    <w:rsid w:val="00002C99"/>
    <w:rsid w:val="00004948"/>
    <w:rsid w:val="00020201"/>
    <w:rsid w:val="0002471E"/>
    <w:rsid w:val="00035206"/>
    <w:rsid w:val="00040DEA"/>
    <w:rsid w:val="00051C2A"/>
    <w:rsid w:val="00054B08"/>
    <w:rsid w:val="00070B53"/>
    <w:rsid w:val="000716FD"/>
    <w:rsid w:val="00072612"/>
    <w:rsid w:val="00076172"/>
    <w:rsid w:val="000813DF"/>
    <w:rsid w:val="000843E4"/>
    <w:rsid w:val="000869B9"/>
    <w:rsid w:val="000911B3"/>
    <w:rsid w:val="000979C9"/>
    <w:rsid w:val="000A296F"/>
    <w:rsid w:val="000C0810"/>
    <w:rsid w:val="000C320D"/>
    <w:rsid w:val="000C6054"/>
    <w:rsid w:val="000C63A6"/>
    <w:rsid w:val="000D1CFC"/>
    <w:rsid w:val="000D4FC2"/>
    <w:rsid w:val="000E17F5"/>
    <w:rsid w:val="000E2098"/>
    <w:rsid w:val="00102090"/>
    <w:rsid w:val="00115A59"/>
    <w:rsid w:val="00117FCE"/>
    <w:rsid w:val="001219CA"/>
    <w:rsid w:val="00123C72"/>
    <w:rsid w:val="001300AA"/>
    <w:rsid w:val="00133298"/>
    <w:rsid w:val="00133E6C"/>
    <w:rsid w:val="00135A94"/>
    <w:rsid w:val="001369EA"/>
    <w:rsid w:val="0014048F"/>
    <w:rsid w:val="00151C8B"/>
    <w:rsid w:val="00171C0A"/>
    <w:rsid w:val="0017322F"/>
    <w:rsid w:val="00175601"/>
    <w:rsid w:val="00176DEC"/>
    <w:rsid w:val="001775A3"/>
    <w:rsid w:val="001823EA"/>
    <w:rsid w:val="0019157A"/>
    <w:rsid w:val="00194AB2"/>
    <w:rsid w:val="00194D5C"/>
    <w:rsid w:val="001A1401"/>
    <w:rsid w:val="001C1D8F"/>
    <w:rsid w:val="001C2BBE"/>
    <w:rsid w:val="001C60B8"/>
    <w:rsid w:val="001D4925"/>
    <w:rsid w:val="001D5848"/>
    <w:rsid w:val="001F3529"/>
    <w:rsid w:val="001F3ED5"/>
    <w:rsid w:val="001F70ED"/>
    <w:rsid w:val="001F7555"/>
    <w:rsid w:val="001F78AF"/>
    <w:rsid w:val="00200581"/>
    <w:rsid w:val="002126A3"/>
    <w:rsid w:val="002153C0"/>
    <w:rsid w:val="00224A63"/>
    <w:rsid w:val="00226ACF"/>
    <w:rsid w:val="00227847"/>
    <w:rsid w:val="00236BA6"/>
    <w:rsid w:val="0024067C"/>
    <w:rsid w:val="002438DD"/>
    <w:rsid w:val="0024412E"/>
    <w:rsid w:val="002568A0"/>
    <w:rsid w:val="00260C46"/>
    <w:rsid w:val="00272B1C"/>
    <w:rsid w:val="002848D2"/>
    <w:rsid w:val="002A0AEF"/>
    <w:rsid w:val="002A6AF9"/>
    <w:rsid w:val="002A71F0"/>
    <w:rsid w:val="002C2B6E"/>
    <w:rsid w:val="002C7C95"/>
    <w:rsid w:val="002D47EC"/>
    <w:rsid w:val="002D78B9"/>
    <w:rsid w:val="002E3DBF"/>
    <w:rsid w:val="002E7782"/>
    <w:rsid w:val="002F3EFD"/>
    <w:rsid w:val="00302DB7"/>
    <w:rsid w:val="00303893"/>
    <w:rsid w:val="00304BBE"/>
    <w:rsid w:val="003121DD"/>
    <w:rsid w:val="00312430"/>
    <w:rsid w:val="0033209B"/>
    <w:rsid w:val="00340CDB"/>
    <w:rsid w:val="00340F86"/>
    <w:rsid w:val="00342565"/>
    <w:rsid w:val="003542FA"/>
    <w:rsid w:val="003558F7"/>
    <w:rsid w:val="003579DB"/>
    <w:rsid w:val="00360102"/>
    <w:rsid w:val="00365419"/>
    <w:rsid w:val="00367033"/>
    <w:rsid w:val="00367D9F"/>
    <w:rsid w:val="00373B3A"/>
    <w:rsid w:val="00375685"/>
    <w:rsid w:val="00391D65"/>
    <w:rsid w:val="003954F0"/>
    <w:rsid w:val="003A78B1"/>
    <w:rsid w:val="003D29D3"/>
    <w:rsid w:val="003D7289"/>
    <w:rsid w:val="003E00B2"/>
    <w:rsid w:val="003F133E"/>
    <w:rsid w:val="003F2C8C"/>
    <w:rsid w:val="00401A93"/>
    <w:rsid w:val="00403978"/>
    <w:rsid w:val="0040584A"/>
    <w:rsid w:val="00411045"/>
    <w:rsid w:val="00411C3D"/>
    <w:rsid w:val="00416297"/>
    <w:rsid w:val="004243E7"/>
    <w:rsid w:val="00424C03"/>
    <w:rsid w:val="00426A92"/>
    <w:rsid w:val="004370C1"/>
    <w:rsid w:val="00437E75"/>
    <w:rsid w:val="00440032"/>
    <w:rsid w:val="00440E73"/>
    <w:rsid w:val="00453F5A"/>
    <w:rsid w:val="00454F63"/>
    <w:rsid w:val="00455B86"/>
    <w:rsid w:val="004671A8"/>
    <w:rsid w:val="00477EBF"/>
    <w:rsid w:val="00481311"/>
    <w:rsid w:val="004936C2"/>
    <w:rsid w:val="004A0396"/>
    <w:rsid w:val="004A18A8"/>
    <w:rsid w:val="004A431F"/>
    <w:rsid w:val="004C138F"/>
    <w:rsid w:val="004E12A8"/>
    <w:rsid w:val="004F1A96"/>
    <w:rsid w:val="004F33F1"/>
    <w:rsid w:val="00500901"/>
    <w:rsid w:val="00510853"/>
    <w:rsid w:val="005120DA"/>
    <w:rsid w:val="00520A8F"/>
    <w:rsid w:val="00525AA2"/>
    <w:rsid w:val="0052605D"/>
    <w:rsid w:val="00532126"/>
    <w:rsid w:val="00535557"/>
    <w:rsid w:val="005378F1"/>
    <w:rsid w:val="00542672"/>
    <w:rsid w:val="00544B59"/>
    <w:rsid w:val="005468F0"/>
    <w:rsid w:val="00566487"/>
    <w:rsid w:val="00571F64"/>
    <w:rsid w:val="00572188"/>
    <w:rsid w:val="005721B0"/>
    <w:rsid w:val="00576E1D"/>
    <w:rsid w:val="005902EA"/>
    <w:rsid w:val="00594F4E"/>
    <w:rsid w:val="00597D13"/>
    <w:rsid w:val="005D64AE"/>
    <w:rsid w:val="005E09FD"/>
    <w:rsid w:val="005F2924"/>
    <w:rsid w:val="005F48DB"/>
    <w:rsid w:val="005F59C1"/>
    <w:rsid w:val="005F7C1E"/>
    <w:rsid w:val="00600DF4"/>
    <w:rsid w:val="00601907"/>
    <w:rsid w:val="00604007"/>
    <w:rsid w:val="00604098"/>
    <w:rsid w:val="00620904"/>
    <w:rsid w:val="0062522B"/>
    <w:rsid w:val="00625EB5"/>
    <w:rsid w:val="00627D94"/>
    <w:rsid w:val="00634360"/>
    <w:rsid w:val="00635B7C"/>
    <w:rsid w:val="00640718"/>
    <w:rsid w:val="00642E6B"/>
    <w:rsid w:val="00644A6D"/>
    <w:rsid w:val="00665031"/>
    <w:rsid w:val="00665DD0"/>
    <w:rsid w:val="00671F43"/>
    <w:rsid w:val="00674C8C"/>
    <w:rsid w:val="006828B5"/>
    <w:rsid w:val="006874B9"/>
    <w:rsid w:val="00693D95"/>
    <w:rsid w:val="006A35B2"/>
    <w:rsid w:val="006A67F6"/>
    <w:rsid w:val="006B0252"/>
    <w:rsid w:val="006B4901"/>
    <w:rsid w:val="006B7071"/>
    <w:rsid w:val="006C4B6F"/>
    <w:rsid w:val="006D2996"/>
    <w:rsid w:val="006D40CB"/>
    <w:rsid w:val="006D5746"/>
    <w:rsid w:val="006E29EE"/>
    <w:rsid w:val="007038D9"/>
    <w:rsid w:val="00706848"/>
    <w:rsid w:val="00706E14"/>
    <w:rsid w:val="00711A52"/>
    <w:rsid w:val="007256EB"/>
    <w:rsid w:val="00726FCC"/>
    <w:rsid w:val="00734254"/>
    <w:rsid w:val="0074544E"/>
    <w:rsid w:val="0076579B"/>
    <w:rsid w:val="007742DA"/>
    <w:rsid w:val="00776FBA"/>
    <w:rsid w:val="00782FD9"/>
    <w:rsid w:val="007A56D9"/>
    <w:rsid w:val="007A71CC"/>
    <w:rsid w:val="007B319E"/>
    <w:rsid w:val="007B61C1"/>
    <w:rsid w:val="007C1C7A"/>
    <w:rsid w:val="007D43BF"/>
    <w:rsid w:val="007E1BF4"/>
    <w:rsid w:val="007F0A5E"/>
    <w:rsid w:val="007F1AD1"/>
    <w:rsid w:val="007F3FF4"/>
    <w:rsid w:val="008047DA"/>
    <w:rsid w:val="00811B7A"/>
    <w:rsid w:val="0081355D"/>
    <w:rsid w:val="00815F86"/>
    <w:rsid w:val="00817198"/>
    <w:rsid w:val="00820B48"/>
    <w:rsid w:val="00822604"/>
    <w:rsid w:val="00831110"/>
    <w:rsid w:val="008372D2"/>
    <w:rsid w:val="0083768A"/>
    <w:rsid w:val="008419C6"/>
    <w:rsid w:val="00853D22"/>
    <w:rsid w:val="00856202"/>
    <w:rsid w:val="00860CD5"/>
    <w:rsid w:val="00863108"/>
    <w:rsid w:val="00863C78"/>
    <w:rsid w:val="008739D1"/>
    <w:rsid w:val="00881543"/>
    <w:rsid w:val="00881601"/>
    <w:rsid w:val="00881EC8"/>
    <w:rsid w:val="00885E28"/>
    <w:rsid w:val="00891EAB"/>
    <w:rsid w:val="0089291B"/>
    <w:rsid w:val="00893FA2"/>
    <w:rsid w:val="008974D9"/>
    <w:rsid w:val="008A4FC8"/>
    <w:rsid w:val="008B3A79"/>
    <w:rsid w:val="008B43C6"/>
    <w:rsid w:val="008B5052"/>
    <w:rsid w:val="008C3C1B"/>
    <w:rsid w:val="008D1359"/>
    <w:rsid w:val="008D34BD"/>
    <w:rsid w:val="008D77EF"/>
    <w:rsid w:val="008E20FE"/>
    <w:rsid w:val="008F354E"/>
    <w:rsid w:val="008F6B8E"/>
    <w:rsid w:val="008F7605"/>
    <w:rsid w:val="00900B9E"/>
    <w:rsid w:val="00901B41"/>
    <w:rsid w:val="00911735"/>
    <w:rsid w:val="00924877"/>
    <w:rsid w:val="00926AD4"/>
    <w:rsid w:val="00931FC4"/>
    <w:rsid w:val="009414D2"/>
    <w:rsid w:val="00941EFC"/>
    <w:rsid w:val="009477D8"/>
    <w:rsid w:val="00952951"/>
    <w:rsid w:val="00967AB2"/>
    <w:rsid w:val="00967F8B"/>
    <w:rsid w:val="00973383"/>
    <w:rsid w:val="00973B81"/>
    <w:rsid w:val="00974783"/>
    <w:rsid w:val="00974BDA"/>
    <w:rsid w:val="0097545F"/>
    <w:rsid w:val="0097784F"/>
    <w:rsid w:val="00977BBA"/>
    <w:rsid w:val="00990635"/>
    <w:rsid w:val="009910CF"/>
    <w:rsid w:val="00991A81"/>
    <w:rsid w:val="00994B26"/>
    <w:rsid w:val="009A77E1"/>
    <w:rsid w:val="009B696A"/>
    <w:rsid w:val="009C173B"/>
    <w:rsid w:val="009D2E74"/>
    <w:rsid w:val="009E462D"/>
    <w:rsid w:val="009E5FF1"/>
    <w:rsid w:val="009F371A"/>
    <w:rsid w:val="009F5AC8"/>
    <w:rsid w:val="009F665A"/>
    <w:rsid w:val="00A00A84"/>
    <w:rsid w:val="00A02ADA"/>
    <w:rsid w:val="00A04C59"/>
    <w:rsid w:val="00A126BC"/>
    <w:rsid w:val="00A14AE8"/>
    <w:rsid w:val="00A263DF"/>
    <w:rsid w:val="00A33EA0"/>
    <w:rsid w:val="00A362FD"/>
    <w:rsid w:val="00A376BF"/>
    <w:rsid w:val="00A50BB8"/>
    <w:rsid w:val="00A518ED"/>
    <w:rsid w:val="00A631D8"/>
    <w:rsid w:val="00A64D92"/>
    <w:rsid w:val="00A70158"/>
    <w:rsid w:val="00A804BF"/>
    <w:rsid w:val="00A84C52"/>
    <w:rsid w:val="00A9083B"/>
    <w:rsid w:val="00A96763"/>
    <w:rsid w:val="00AA1E15"/>
    <w:rsid w:val="00AA30C2"/>
    <w:rsid w:val="00AA67D5"/>
    <w:rsid w:val="00AB052B"/>
    <w:rsid w:val="00AB0761"/>
    <w:rsid w:val="00AC0B2B"/>
    <w:rsid w:val="00AC31F3"/>
    <w:rsid w:val="00AC57AC"/>
    <w:rsid w:val="00AC73A4"/>
    <w:rsid w:val="00AC73C2"/>
    <w:rsid w:val="00AD0A1E"/>
    <w:rsid w:val="00AD18D9"/>
    <w:rsid w:val="00AD433C"/>
    <w:rsid w:val="00AD43B0"/>
    <w:rsid w:val="00AD5E56"/>
    <w:rsid w:val="00AF18EC"/>
    <w:rsid w:val="00AF5786"/>
    <w:rsid w:val="00B029B7"/>
    <w:rsid w:val="00B03ABE"/>
    <w:rsid w:val="00B07E7D"/>
    <w:rsid w:val="00B240A8"/>
    <w:rsid w:val="00B25F33"/>
    <w:rsid w:val="00B25F3D"/>
    <w:rsid w:val="00B4104D"/>
    <w:rsid w:val="00B444B3"/>
    <w:rsid w:val="00B555B3"/>
    <w:rsid w:val="00B63FB7"/>
    <w:rsid w:val="00B66E2D"/>
    <w:rsid w:val="00B81A48"/>
    <w:rsid w:val="00B81B34"/>
    <w:rsid w:val="00B8636A"/>
    <w:rsid w:val="00B969E1"/>
    <w:rsid w:val="00BA011F"/>
    <w:rsid w:val="00BA138A"/>
    <w:rsid w:val="00BB1D5B"/>
    <w:rsid w:val="00BC1C7D"/>
    <w:rsid w:val="00BC3C7E"/>
    <w:rsid w:val="00BC43E9"/>
    <w:rsid w:val="00BC5CD5"/>
    <w:rsid w:val="00BD0565"/>
    <w:rsid w:val="00BD32D1"/>
    <w:rsid w:val="00BD50B4"/>
    <w:rsid w:val="00BD5F7F"/>
    <w:rsid w:val="00BD6BBB"/>
    <w:rsid w:val="00BF72EC"/>
    <w:rsid w:val="00C007F7"/>
    <w:rsid w:val="00C05AE6"/>
    <w:rsid w:val="00C13483"/>
    <w:rsid w:val="00C1582A"/>
    <w:rsid w:val="00C26F47"/>
    <w:rsid w:val="00C62749"/>
    <w:rsid w:val="00C6726B"/>
    <w:rsid w:val="00C70C54"/>
    <w:rsid w:val="00C71BE4"/>
    <w:rsid w:val="00C900D9"/>
    <w:rsid w:val="00C91C3D"/>
    <w:rsid w:val="00C95BDD"/>
    <w:rsid w:val="00CB3CF7"/>
    <w:rsid w:val="00CC1571"/>
    <w:rsid w:val="00CC2ADB"/>
    <w:rsid w:val="00CC7D5C"/>
    <w:rsid w:val="00CD2CBD"/>
    <w:rsid w:val="00CD3B39"/>
    <w:rsid w:val="00CE3471"/>
    <w:rsid w:val="00CE46BB"/>
    <w:rsid w:val="00CE5CCC"/>
    <w:rsid w:val="00CF3997"/>
    <w:rsid w:val="00CF6527"/>
    <w:rsid w:val="00D03348"/>
    <w:rsid w:val="00D043E5"/>
    <w:rsid w:val="00D04E4C"/>
    <w:rsid w:val="00D06B3C"/>
    <w:rsid w:val="00D137E1"/>
    <w:rsid w:val="00D1561F"/>
    <w:rsid w:val="00D22B28"/>
    <w:rsid w:val="00D25BA2"/>
    <w:rsid w:val="00D304D2"/>
    <w:rsid w:val="00D36C04"/>
    <w:rsid w:val="00D41916"/>
    <w:rsid w:val="00D51A27"/>
    <w:rsid w:val="00D51F30"/>
    <w:rsid w:val="00D55141"/>
    <w:rsid w:val="00D67C56"/>
    <w:rsid w:val="00D714F7"/>
    <w:rsid w:val="00D7724F"/>
    <w:rsid w:val="00D83CCF"/>
    <w:rsid w:val="00D87088"/>
    <w:rsid w:val="00D90627"/>
    <w:rsid w:val="00D90935"/>
    <w:rsid w:val="00D97AE0"/>
    <w:rsid w:val="00DB0F02"/>
    <w:rsid w:val="00DB2E93"/>
    <w:rsid w:val="00DB72C3"/>
    <w:rsid w:val="00DC0F7A"/>
    <w:rsid w:val="00DD26E2"/>
    <w:rsid w:val="00DE05A0"/>
    <w:rsid w:val="00E02B56"/>
    <w:rsid w:val="00E22FF7"/>
    <w:rsid w:val="00E259C1"/>
    <w:rsid w:val="00E33AD0"/>
    <w:rsid w:val="00E34D0E"/>
    <w:rsid w:val="00E34F52"/>
    <w:rsid w:val="00E478DB"/>
    <w:rsid w:val="00E50818"/>
    <w:rsid w:val="00E66307"/>
    <w:rsid w:val="00E728D8"/>
    <w:rsid w:val="00E73F28"/>
    <w:rsid w:val="00E75970"/>
    <w:rsid w:val="00E81A26"/>
    <w:rsid w:val="00E8639B"/>
    <w:rsid w:val="00E93FCB"/>
    <w:rsid w:val="00E960E0"/>
    <w:rsid w:val="00EA1BEC"/>
    <w:rsid w:val="00EA6B26"/>
    <w:rsid w:val="00EA7DE2"/>
    <w:rsid w:val="00EB4668"/>
    <w:rsid w:val="00EB4BD2"/>
    <w:rsid w:val="00EC070A"/>
    <w:rsid w:val="00EC0F32"/>
    <w:rsid w:val="00EC1912"/>
    <w:rsid w:val="00EC75A7"/>
    <w:rsid w:val="00ED3EBC"/>
    <w:rsid w:val="00ED4225"/>
    <w:rsid w:val="00ED4E89"/>
    <w:rsid w:val="00ED5A2D"/>
    <w:rsid w:val="00EE1A06"/>
    <w:rsid w:val="00EE5736"/>
    <w:rsid w:val="00EE753E"/>
    <w:rsid w:val="00EF6BB7"/>
    <w:rsid w:val="00F067E4"/>
    <w:rsid w:val="00F06A54"/>
    <w:rsid w:val="00F13FBB"/>
    <w:rsid w:val="00F1579E"/>
    <w:rsid w:val="00F16073"/>
    <w:rsid w:val="00F17B07"/>
    <w:rsid w:val="00F200BC"/>
    <w:rsid w:val="00F27EAD"/>
    <w:rsid w:val="00F368EA"/>
    <w:rsid w:val="00F4607A"/>
    <w:rsid w:val="00F52BB9"/>
    <w:rsid w:val="00F60D36"/>
    <w:rsid w:val="00F73693"/>
    <w:rsid w:val="00F80A36"/>
    <w:rsid w:val="00F81227"/>
    <w:rsid w:val="00F85293"/>
    <w:rsid w:val="00F94D09"/>
    <w:rsid w:val="00F9694E"/>
    <w:rsid w:val="00FA3CD2"/>
    <w:rsid w:val="00FA4A51"/>
    <w:rsid w:val="00FA4A56"/>
    <w:rsid w:val="00FA78F6"/>
    <w:rsid w:val="00FB5A6E"/>
    <w:rsid w:val="00FC3E78"/>
    <w:rsid w:val="00FE6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B82DA"/>
  <w15:chartTrackingRefBased/>
  <w15:docId w15:val="{8011605B-6127-4470-A172-A5952043E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401"/>
    <w:rPr>
      <w:rFonts w:ascii="Calibri" w:eastAsia="Calibri" w:hAnsi="Calibri" w:cs="Times New Roman"/>
      <w:lang w:val="ka-GE"/>
      <w14:ligatures w14:val="none"/>
    </w:rPr>
  </w:style>
  <w:style w:type="paragraph" w:styleId="Heading1">
    <w:name w:val="heading 1"/>
    <w:basedOn w:val="Normal"/>
    <w:next w:val="Normal"/>
    <w:link w:val="Heading1Char"/>
    <w:uiPriority w:val="9"/>
    <w:qFormat/>
    <w:rsid w:val="001A1401"/>
    <w:pPr>
      <w:keepNext/>
      <w:keepLines/>
      <w:spacing w:before="240" w:after="0" w:line="240" w:lineRule="auto"/>
      <w:jc w:val="both"/>
      <w:outlineLvl w:val="0"/>
    </w:pPr>
    <w:rPr>
      <w:rFonts w:ascii="Sylfaen" w:eastAsia="Times New Roman" w:hAnsi="Sylfaen"/>
      <w:b/>
      <w:color w:val="000000"/>
      <w:kern w:val="0"/>
      <w:sz w:val="24"/>
      <w:szCs w:val="32"/>
      <w:lang w:val="ru-RU"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401"/>
    <w:rPr>
      <w:rFonts w:ascii="Sylfaen" w:eastAsia="Times New Roman" w:hAnsi="Sylfaen" w:cs="Times New Roman"/>
      <w:b/>
      <w:color w:val="000000"/>
      <w:kern w:val="0"/>
      <w:sz w:val="24"/>
      <w:szCs w:val="32"/>
      <w:lang w:val="ru-RU" w:eastAsia="x-none"/>
      <w14:ligatures w14:val="none"/>
    </w:rPr>
  </w:style>
  <w:style w:type="paragraph" w:styleId="ListParagraph">
    <w:name w:val="List Paragraph"/>
    <w:basedOn w:val="Normal"/>
    <w:uiPriority w:val="34"/>
    <w:qFormat/>
    <w:rsid w:val="001A1401"/>
    <w:pPr>
      <w:ind w:left="720"/>
      <w:contextualSpacing/>
    </w:pPr>
  </w:style>
  <w:style w:type="paragraph" w:styleId="Footer">
    <w:name w:val="footer"/>
    <w:basedOn w:val="Normal"/>
    <w:link w:val="FooterChar"/>
    <w:uiPriority w:val="99"/>
    <w:unhideWhenUsed/>
    <w:rsid w:val="001A14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401"/>
    <w:rPr>
      <w:rFonts w:ascii="Calibri" w:eastAsia="Calibri" w:hAnsi="Calibri" w:cs="Times New Roman"/>
      <w:lang w:val="ka-GE"/>
      <w14:ligatures w14:val="none"/>
    </w:rPr>
  </w:style>
  <w:style w:type="character" w:styleId="Strong">
    <w:name w:val="Strong"/>
    <w:basedOn w:val="DefaultParagraphFont"/>
    <w:uiPriority w:val="22"/>
    <w:qFormat/>
    <w:rsid w:val="00F06A54"/>
    <w:rPr>
      <w:b/>
      <w:bCs/>
    </w:rPr>
  </w:style>
  <w:style w:type="paragraph" w:styleId="NormalWeb">
    <w:name w:val="Normal (Web)"/>
    <w:basedOn w:val="Normal"/>
    <w:uiPriority w:val="99"/>
    <w:semiHidden/>
    <w:unhideWhenUsed/>
    <w:rsid w:val="000911B3"/>
    <w:pPr>
      <w:spacing w:before="100" w:beforeAutospacing="1" w:after="100" w:afterAutospacing="1" w:line="240" w:lineRule="auto"/>
    </w:pPr>
    <w:rPr>
      <w:rFonts w:ascii="Times New Roman" w:eastAsia="Times New Roman" w:hAnsi="Times New Roman"/>
      <w:kern w:val="0"/>
      <w:sz w:val="24"/>
      <w:szCs w:val="24"/>
      <w:lang w:val="en-US"/>
    </w:rPr>
  </w:style>
  <w:style w:type="paragraph" w:customStyle="1" w:styleId="abzacixml">
    <w:name w:val="abzacixml"/>
    <w:basedOn w:val="Normal"/>
    <w:rsid w:val="00054B08"/>
    <w:pPr>
      <w:spacing w:before="100" w:beforeAutospacing="1" w:after="100" w:afterAutospacing="1" w:line="240" w:lineRule="auto"/>
    </w:pPr>
    <w:rPr>
      <w:rFonts w:ascii="Times New Roman" w:eastAsia="Times New Roman" w:hAnsi="Times New Roman"/>
      <w:kern w:val="0"/>
      <w:sz w:val="24"/>
      <w:szCs w:val="24"/>
      <w:lang w:val="en-US"/>
    </w:rPr>
  </w:style>
  <w:style w:type="paragraph" w:styleId="FootnoteText">
    <w:name w:val="footnote text"/>
    <w:aliases w:val="single space,footnote text,ft,fn,FOOTNOTES,ADB,WB-Fußnotentext,Footnote,Fußnote,Geneva 9,Font: Geneva 9,Boston 10,f,12pt,12pt Знак,12pt Знак Знак Знак Знак Знак,12pt Знак Знак Знак Знак,footnotes,Footnote Text Char2 Char,FA Fu,5_GR,5_G"/>
    <w:basedOn w:val="Normal"/>
    <w:link w:val="FootnoteTextChar"/>
    <w:uiPriority w:val="99"/>
    <w:unhideWhenUsed/>
    <w:qFormat/>
    <w:rsid w:val="00EA7DE2"/>
    <w:pPr>
      <w:spacing w:after="0" w:line="240" w:lineRule="auto"/>
    </w:pPr>
    <w:rPr>
      <w:rFonts w:asciiTheme="minorHAnsi" w:eastAsiaTheme="minorHAnsi" w:hAnsiTheme="minorHAnsi" w:cstheme="minorBidi"/>
      <w:kern w:val="0"/>
      <w:sz w:val="20"/>
      <w:szCs w:val="20"/>
      <w:lang w:val="en-US"/>
    </w:rPr>
  </w:style>
  <w:style w:type="character" w:customStyle="1" w:styleId="FootnoteTextChar">
    <w:name w:val="Footnote Text Char"/>
    <w:aliases w:val="single space Char,footnote text Char,ft Char,fn Char,FOOTNOTES Char,ADB Char,WB-Fußnotentext Char,Footnote Char,Fußnote Char,Geneva 9 Char,Font: Geneva 9 Char,Boston 10 Char,f Char,12pt Char,12pt Знак Char,footnotes Char,FA Fu Char"/>
    <w:basedOn w:val="DefaultParagraphFont"/>
    <w:link w:val="FootnoteText"/>
    <w:uiPriority w:val="99"/>
    <w:qFormat/>
    <w:rsid w:val="00EA7DE2"/>
    <w:rPr>
      <w:kern w:val="0"/>
      <w:sz w:val="20"/>
      <w:szCs w:val="20"/>
      <w14:ligatures w14:val="none"/>
    </w:rPr>
  </w:style>
  <w:style w:type="character" w:styleId="FootnoteReference">
    <w:name w:val="footnote reference"/>
    <w:aliases w:val="16 Point,Superscript 6 Point, Char Char, Carattere Char1, Carattere Char Char Carattere Carattere Char Char,ftref,Carattere Char1,Carattere Char Char Carattere Carattere Char Char, BVI fnr,BVI fnr, BVI fnr Car Car,4_GR,BVI fnr Car Car"/>
    <w:basedOn w:val="DefaultParagraphFont"/>
    <w:link w:val="Char2"/>
    <w:uiPriority w:val="99"/>
    <w:unhideWhenUsed/>
    <w:qFormat/>
    <w:rsid w:val="00EA7DE2"/>
    <w:rPr>
      <w:vertAlign w:val="superscript"/>
    </w:rPr>
  </w:style>
  <w:style w:type="paragraph" w:customStyle="1" w:styleId="Char2">
    <w:name w:val="Char2"/>
    <w:basedOn w:val="Normal"/>
    <w:link w:val="FootnoteReference"/>
    <w:uiPriority w:val="99"/>
    <w:qFormat/>
    <w:rsid w:val="00EA7DE2"/>
    <w:pPr>
      <w:spacing w:line="240" w:lineRule="exact"/>
      <w:jc w:val="both"/>
    </w:pPr>
    <w:rPr>
      <w:rFonts w:asciiTheme="minorHAnsi" w:eastAsiaTheme="minorHAnsi" w:hAnsiTheme="minorHAnsi" w:cstheme="minorBidi"/>
      <w:vertAlign w:val="superscript"/>
      <w:lang w:val="en-US"/>
      <w14:ligatures w14:val="standardContextual"/>
    </w:rPr>
  </w:style>
  <w:style w:type="paragraph" w:styleId="CommentText">
    <w:name w:val="annotation text"/>
    <w:basedOn w:val="Normal"/>
    <w:link w:val="CommentTextChar"/>
    <w:uiPriority w:val="99"/>
    <w:semiHidden/>
    <w:unhideWhenUsed/>
    <w:rsid w:val="006E29EE"/>
    <w:pPr>
      <w:spacing w:line="240" w:lineRule="auto"/>
    </w:pPr>
    <w:rPr>
      <w:sz w:val="20"/>
      <w:szCs w:val="20"/>
    </w:rPr>
  </w:style>
  <w:style w:type="character" w:customStyle="1" w:styleId="CommentTextChar">
    <w:name w:val="Comment Text Char"/>
    <w:basedOn w:val="DefaultParagraphFont"/>
    <w:link w:val="CommentText"/>
    <w:uiPriority w:val="99"/>
    <w:semiHidden/>
    <w:rsid w:val="006E29EE"/>
    <w:rPr>
      <w:rFonts w:ascii="Calibri" w:eastAsia="Calibri" w:hAnsi="Calibri" w:cs="Times New Roman"/>
      <w:sz w:val="20"/>
      <w:szCs w:val="20"/>
      <w:lang w:val="ka-GE"/>
      <w14:ligatures w14:val="none"/>
    </w:rPr>
  </w:style>
  <w:style w:type="character" w:styleId="CommentReference">
    <w:name w:val="annotation reference"/>
    <w:basedOn w:val="DefaultParagraphFont"/>
    <w:uiPriority w:val="99"/>
    <w:semiHidden/>
    <w:unhideWhenUsed/>
    <w:rsid w:val="00941EFC"/>
    <w:rPr>
      <w:sz w:val="16"/>
      <w:szCs w:val="16"/>
    </w:rPr>
  </w:style>
  <w:style w:type="paragraph" w:styleId="BalloonText">
    <w:name w:val="Balloon Text"/>
    <w:basedOn w:val="Normal"/>
    <w:link w:val="BalloonTextChar"/>
    <w:uiPriority w:val="99"/>
    <w:semiHidden/>
    <w:unhideWhenUsed/>
    <w:rsid w:val="00455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B86"/>
    <w:rPr>
      <w:rFonts w:ascii="Segoe UI" w:eastAsia="Calibri" w:hAnsi="Segoe UI" w:cs="Segoe UI"/>
      <w:sz w:val="18"/>
      <w:szCs w:val="18"/>
      <w:lang w:val="ka-GE"/>
      <w14:ligatures w14:val="none"/>
    </w:rPr>
  </w:style>
  <w:style w:type="paragraph" w:styleId="Revision">
    <w:name w:val="Revision"/>
    <w:hidden/>
    <w:uiPriority w:val="99"/>
    <w:semiHidden/>
    <w:rsid w:val="004936C2"/>
    <w:pPr>
      <w:spacing w:after="0" w:line="240" w:lineRule="auto"/>
    </w:pPr>
    <w:rPr>
      <w:rFonts w:ascii="Calibri" w:eastAsia="Calibri" w:hAnsi="Calibri" w:cs="Times New Roman"/>
      <w:lang w:val="ka-G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850096">
      <w:bodyDiv w:val="1"/>
      <w:marLeft w:val="0"/>
      <w:marRight w:val="0"/>
      <w:marTop w:val="0"/>
      <w:marBottom w:val="0"/>
      <w:divBdr>
        <w:top w:val="none" w:sz="0" w:space="0" w:color="auto"/>
        <w:left w:val="none" w:sz="0" w:space="0" w:color="auto"/>
        <w:bottom w:val="none" w:sz="0" w:space="0" w:color="auto"/>
        <w:right w:val="none" w:sz="0" w:space="0" w:color="auto"/>
      </w:divBdr>
    </w:div>
    <w:div w:id="542911059">
      <w:bodyDiv w:val="1"/>
      <w:marLeft w:val="0"/>
      <w:marRight w:val="0"/>
      <w:marTop w:val="0"/>
      <w:marBottom w:val="0"/>
      <w:divBdr>
        <w:top w:val="none" w:sz="0" w:space="0" w:color="auto"/>
        <w:left w:val="none" w:sz="0" w:space="0" w:color="auto"/>
        <w:bottom w:val="none" w:sz="0" w:space="0" w:color="auto"/>
        <w:right w:val="none" w:sz="0" w:space="0" w:color="auto"/>
      </w:divBdr>
    </w:div>
    <w:div w:id="699361246">
      <w:bodyDiv w:val="1"/>
      <w:marLeft w:val="0"/>
      <w:marRight w:val="0"/>
      <w:marTop w:val="0"/>
      <w:marBottom w:val="0"/>
      <w:divBdr>
        <w:top w:val="none" w:sz="0" w:space="0" w:color="auto"/>
        <w:left w:val="none" w:sz="0" w:space="0" w:color="auto"/>
        <w:bottom w:val="none" w:sz="0" w:space="0" w:color="auto"/>
        <w:right w:val="none" w:sz="0" w:space="0" w:color="auto"/>
      </w:divBdr>
      <w:divsChild>
        <w:div w:id="1883053279">
          <w:marLeft w:val="0"/>
          <w:marRight w:val="0"/>
          <w:marTop w:val="0"/>
          <w:marBottom w:val="0"/>
          <w:divBdr>
            <w:top w:val="none" w:sz="0" w:space="0" w:color="auto"/>
            <w:left w:val="none" w:sz="0" w:space="0" w:color="auto"/>
            <w:bottom w:val="none" w:sz="0" w:space="0" w:color="auto"/>
            <w:right w:val="none" w:sz="0" w:space="0" w:color="auto"/>
          </w:divBdr>
          <w:divsChild>
            <w:div w:id="198666784">
              <w:marLeft w:val="0"/>
              <w:marRight w:val="0"/>
              <w:marTop w:val="0"/>
              <w:marBottom w:val="0"/>
              <w:divBdr>
                <w:top w:val="none" w:sz="0" w:space="0" w:color="auto"/>
                <w:left w:val="none" w:sz="0" w:space="0" w:color="auto"/>
                <w:bottom w:val="none" w:sz="0" w:space="0" w:color="auto"/>
                <w:right w:val="none" w:sz="0" w:space="0" w:color="auto"/>
              </w:divBdr>
              <w:divsChild>
                <w:div w:id="2137404009">
                  <w:marLeft w:val="0"/>
                  <w:marRight w:val="0"/>
                  <w:marTop w:val="0"/>
                  <w:marBottom w:val="0"/>
                  <w:divBdr>
                    <w:top w:val="none" w:sz="0" w:space="0" w:color="auto"/>
                    <w:left w:val="none" w:sz="0" w:space="0" w:color="auto"/>
                    <w:bottom w:val="none" w:sz="0" w:space="0" w:color="auto"/>
                    <w:right w:val="none" w:sz="0" w:space="0" w:color="auto"/>
                  </w:divBdr>
                  <w:divsChild>
                    <w:div w:id="605696340">
                      <w:marLeft w:val="0"/>
                      <w:marRight w:val="0"/>
                      <w:marTop w:val="0"/>
                      <w:marBottom w:val="0"/>
                      <w:divBdr>
                        <w:top w:val="none" w:sz="0" w:space="0" w:color="auto"/>
                        <w:left w:val="none" w:sz="0" w:space="0" w:color="auto"/>
                        <w:bottom w:val="none" w:sz="0" w:space="0" w:color="auto"/>
                        <w:right w:val="none" w:sz="0" w:space="0" w:color="auto"/>
                      </w:divBdr>
                      <w:divsChild>
                        <w:div w:id="209061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990252">
      <w:bodyDiv w:val="1"/>
      <w:marLeft w:val="0"/>
      <w:marRight w:val="0"/>
      <w:marTop w:val="0"/>
      <w:marBottom w:val="0"/>
      <w:divBdr>
        <w:top w:val="none" w:sz="0" w:space="0" w:color="auto"/>
        <w:left w:val="none" w:sz="0" w:space="0" w:color="auto"/>
        <w:bottom w:val="none" w:sz="0" w:space="0" w:color="auto"/>
        <w:right w:val="none" w:sz="0" w:space="0" w:color="auto"/>
      </w:divBdr>
    </w:div>
    <w:div w:id="1290937394">
      <w:bodyDiv w:val="1"/>
      <w:marLeft w:val="0"/>
      <w:marRight w:val="0"/>
      <w:marTop w:val="0"/>
      <w:marBottom w:val="0"/>
      <w:divBdr>
        <w:top w:val="none" w:sz="0" w:space="0" w:color="auto"/>
        <w:left w:val="none" w:sz="0" w:space="0" w:color="auto"/>
        <w:bottom w:val="none" w:sz="0" w:space="0" w:color="auto"/>
        <w:right w:val="none" w:sz="0" w:space="0" w:color="auto"/>
      </w:divBdr>
    </w:div>
    <w:div w:id="1734935970">
      <w:bodyDiv w:val="1"/>
      <w:marLeft w:val="0"/>
      <w:marRight w:val="0"/>
      <w:marTop w:val="0"/>
      <w:marBottom w:val="0"/>
      <w:divBdr>
        <w:top w:val="none" w:sz="0" w:space="0" w:color="auto"/>
        <w:left w:val="none" w:sz="0" w:space="0" w:color="auto"/>
        <w:bottom w:val="none" w:sz="0" w:space="0" w:color="auto"/>
        <w:right w:val="none" w:sz="0" w:space="0" w:color="auto"/>
      </w:divBdr>
    </w:div>
    <w:div w:id="210398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2197</TotalTime>
  <Pages>16</Pages>
  <Words>5736</Words>
  <Characters>32699</Characters>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2025-06-26T13:21:00Z</dcterms:created>
  <dcterms:modified xsi:type="dcterms:W3CDTF">2025-07-04T08:15:00Z</dcterms:modified>
</cp:coreProperties>
</file>