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9CF66" w14:textId="77777777" w:rsidR="005E21BD" w:rsidRPr="00254DCC" w:rsidRDefault="005E21BD" w:rsidP="00F22AAD">
      <w:pPr>
        <w:tabs>
          <w:tab w:val="left" w:pos="900"/>
        </w:tabs>
        <w:spacing w:after="0"/>
        <w:ind w:firstLine="360"/>
        <w:jc w:val="both"/>
        <w:rPr>
          <w:rFonts w:ascii="Sylfaen" w:hAnsi="Sylfaen"/>
          <w:b/>
          <w:bCs/>
          <w:sz w:val="24"/>
          <w:szCs w:val="24"/>
        </w:rPr>
      </w:pPr>
    </w:p>
    <w:p w14:paraId="23364FC0" w14:textId="77777777" w:rsidR="005E21BD" w:rsidRPr="00254DCC" w:rsidRDefault="005E21BD" w:rsidP="00F22AAD">
      <w:pPr>
        <w:tabs>
          <w:tab w:val="left" w:pos="900"/>
        </w:tabs>
        <w:spacing w:after="0"/>
        <w:ind w:firstLine="360"/>
        <w:jc w:val="both"/>
        <w:rPr>
          <w:rFonts w:ascii="Sylfaen" w:hAnsi="Sylfaen"/>
          <w:b/>
          <w:bCs/>
          <w:sz w:val="24"/>
          <w:szCs w:val="24"/>
        </w:rPr>
      </w:pPr>
    </w:p>
    <w:p w14:paraId="759E4E77" w14:textId="77777777" w:rsidR="005E21BD" w:rsidRPr="00254DCC" w:rsidRDefault="005E21BD" w:rsidP="00F22AAD">
      <w:pPr>
        <w:tabs>
          <w:tab w:val="left" w:pos="900"/>
        </w:tabs>
        <w:spacing w:after="0"/>
        <w:ind w:firstLine="360"/>
        <w:jc w:val="both"/>
        <w:rPr>
          <w:rFonts w:ascii="Sylfaen" w:hAnsi="Sylfaen"/>
          <w:b/>
          <w:bCs/>
          <w:sz w:val="24"/>
          <w:szCs w:val="24"/>
        </w:rPr>
      </w:pPr>
    </w:p>
    <w:p w14:paraId="553523A4" w14:textId="77777777" w:rsidR="005E21BD" w:rsidRPr="00254DCC" w:rsidRDefault="005E21BD" w:rsidP="00F22AAD">
      <w:pPr>
        <w:tabs>
          <w:tab w:val="left" w:pos="900"/>
        </w:tabs>
        <w:spacing w:after="0"/>
        <w:ind w:firstLine="360"/>
        <w:jc w:val="both"/>
        <w:rPr>
          <w:rFonts w:ascii="Sylfaen" w:hAnsi="Sylfaen"/>
          <w:b/>
          <w:bCs/>
          <w:sz w:val="24"/>
          <w:szCs w:val="24"/>
        </w:rPr>
      </w:pPr>
    </w:p>
    <w:p w14:paraId="72A52085" w14:textId="77777777" w:rsidR="005E21BD" w:rsidRPr="00254DCC" w:rsidRDefault="005E21BD" w:rsidP="00F22AAD">
      <w:pPr>
        <w:tabs>
          <w:tab w:val="left" w:pos="900"/>
        </w:tabs>
        <w:spacing w:after="0"/>
        <w:ind w:firstLine="360"/>
        <w:jc w:val="both"/>
        <w:rPr>
          <w:rFonts w:ascii="Sylfaen" w:hAnsi="Sylfaen"/>
          <w:b/>
          <w:bCs/>
          <w:sz w:val="24"/>
          <w:szCs w:val="24"/>
        </w:rPr>
      </w:pPr>
    </w:p>
    <w:p w14:paraId="43DD7545" w14:textId="77777777" w:rsidR="005E21BD" w:rsidRPr="00254DCC" w:rsidRDefault="005E21BD" w:rsidP="00F22AAD">
      <w:pPr>
        <w:tabs>
          <w:tab w:val="left" w:pos="900"/>
        </w:tabs>
        <w:spacing w:after="0"/>
        <w:ind w:firstLine="360"/>
        <w:jc w:val="both"/>
        <w:rPr>
          <w:rFonts w:ascii="Sylfaen" w:hAnsi="Sylfaen"/>
          <w:b/>
          <w:bCs/>
          <w:sz w:val="24"/>
          <w:szCs w:val="24"/>
        </w:rPr>
      </w:pPr>
    </w:p>
    <w:p w14:paraId="21E8A1B9" w14:textId="77777777" w:rsidR="005E21BD" w:rsidRPr="00254DCC" w:rsidRDefault="005E21BD" w:rsidP="00F22AAD">
      <w:pPr>
        <w:tabs>
          <w:tab w:val="left" w:pos="900"/>
        </w:tabs>
        <w:spacing w:after="0"/>
        <w:ind w:firstLine="360"/>
        <w:jc w:val="both"/>
        <w:rPr>
          <w:rFonts w:ascii="Sylfaen" w:hAnsi="Sylfaen"/>
          <w:b/>
          <w:bCs/>
          <w:sz w:val="24"/>
          <w:szCs w:val="24"/>
        </w:rPr>
      </w:pPr>
    </w:p>
    <w:p w14:paraId="7490FEE2" w14:textId="77777777" w:rsidR="00532CA3" w:rsidRPr="00254DCC" w:rsidRDefault="00532CA3" w:rsidP="00F22AAD">
      <w:pPr>
        <w:tabs>
          <w:tab w:val="left" w:pos="900"/>
        </w:tabs>
        <w:spacing w:after="0"/>
        <w:ind w:firstLine="360"/>
        <w:jc w:val="both"/>
        <w:rPr>
          <w:rFonts w:ascii="Sylfaen" w:hAnsi="Sylfaen"/>
          <w:b/>
          <w:bCs/>
          <w:sz w:val="24"/>
          <w:szCs w:val="24"/>
        </w:rPr>
      </w:pPr>
    </w:p>
    <w:p w14:paraId="5294D87A" w14:textId="77777777" w:rsidR="00532CA3" w:rsidRPr="00254DCC" w:rsidRDefault="00532CA3" w:rsidP="00F22AAD">
      <w:pPr>
        <w:tabs>
          <w:tab w:val="left" w:pos="900"/>
        </w:tabs>
        <w:spacing w:after="0"/>
        <w:ind w:firstLine="360"/>
        <w:jc w:val="both"/>
        <w:rPr>
          <w:rFonts w:ascii="Sylfaen" w:hAnsi="Sylfaen"/>
          <w:b/>
          <w:bCs/>
          <w:sz w:val="24"/>
          <w:szCs w:val="24"/>
        </w:rPr>
      </w:pPr>
    </w:p>
    <w:p w14:paraId="3341AC71" w14:textId="77777777" w:rsidR="00532CA3" w:rsidRPr="00254DCC" w:rsidRDefault="00532CA3" w:rsidP="00F22AAD">
      <w:pPr>
        <w:tabs>
          <w:tab w:val="left" w:pos="900"/>
        </w:tabs>
        <w:spacing w:after="0"/>
        <w:ind w:firstLine="360"/>
        <w:jc w:val="both"/>
        <w:rPr>
          <w:rFonts w:ascii="Sylfaen" w:hAnsi="Sylfaen"/>
          <w:b/>
          <w:bCs/>
          <w:sz w:val="24"/>
          <w:szCs w:val="24"/>
        </w:rPr>
      </w:pPr>
    </w:p>
    <w:p w14:paraId="7EC62EB5" w14:textId="77777777" w:rsidR="007502BD" w:rsidRPr="00254DCC" w:rsidRDefault="007502BD" w:rsidP="00F22AAD">
      <w:pPr>
        <w:tabs>
          <w:tab w:val="left" w:pos="900"/>
        </w:tabs>
        <w:spacing w:after="0"/>
        <w:ind w:firstLine="360"/>
        <w:jc w:val="both"/>
        <w:rPr>
          <w:rFonts w:ascii="Sylfaen" w:hAnsi="Sylfaen"/>
          <w:b/>
          <w:bCs/>
          <w:sz w:val="24"/>
          <w:szCs w:val="24"/>
        </w:rPr>
      </w:pPr>
    </w:p>
    <w:p w14:paraId="17485CB1" w14:textId="77777777" w:rsidR="007502BD" w:rsidRPr="00254DCC" w:rsidRDefault="007502BD" w:rsidP="00533F1B">
      <w:pPr>
        <w:tabs>
          <w:tab w:val="left" w:pos="900"/>
        </w:tabs>
        <w:spacing w:after="0"/>
        <w:jc w:val="both"/>
        <w:rPr>
          <w:rFonts w:ascii="Sylfaen" w:hAnsi="Sylfaen"/>
          <w:b/>
          <w:bCs/>
          <w:sz w:val="24"/>
          <w:szCs w:val="24"/>
        </w:rPr>
      </w:pPr>
    </w:p>
    <w:p w14:paraId="79814902" w14:textId="60E97D8E" w:rsidR="005E21BD" w:rsidRPr="00D30CAF" w:rsidRDefault="00533F1B" w:rsidP="00F22AAD">
      <w:pPr>
        <w:tabs>
          <w:tab w:val="left" w:pos="900"/>
        </w:tabs>
        <w:spacing w:after="0"/>
        <w:ind w:firstLine="360"/>
        <w:jc w:val="both"/>
        <w:rPr>
          <w:rFonts w:ascii="Sylfaen" w:hAnsi="Sylfaen"/>
          <w:b/>
          <w:bCs/>
          <w:sz w:val="24"/>
          <w:szCs w:val="24"/>
        </w:rPr>
      </w:pPr>
      <w:r w:rsidRPr="00254DCC">
        <w:rPr>
          <w:rFonts w:ascii="Sylfaen" w:hAnsi="Sylfaen"/>
          <w:b/>
          <w:bCs/>
          <w:sz w:val="24"/>
          <w:szCs w:val="24"/>
        </w:rPr>
        <w:t>№2/</w:t>
      </w:r>
      <w:r w:rsidR="00DB5108" w:rsidRPr="00254DCC">
        <w:rPr>
          <w:rFonts w:ascii="Sylfaen" w:hAnsi="Sylfaen"/>
          <w:b/>
          <w:bCs/>
          <w:sz w:val="24"/>
          <w:szCs w:val="24"/>
        </w:rPr>
        <w:t>6</w:t>
      </w:r>
      <w:r w:rsidRPr="00254DCC">
        <w:rPr>
          <w:rFonts w:ascii="Sylfaen" w:hAnsi="Sylfaen"/>
          <w:b/>
          <w:bCs/>
          <w:sz w:val="24"/>
          <w:szCs w:val="24"/>
        </w:rPr>
        <w:t xml:space="preserve">/746                                                                          </w:t>
      </w:r>
      <w:r w:rsidR="005E21BD" w:rsidRPr="00254DCC">
        <w:rPr>
          <w:rFonts w:ascii="Sylfaen" w:hAnsi="Sylfaen"/>
          <w:b/>
          <w:bCs/>
          <w:sz w:val="24"/>
          <w:szCs w:val="24"/>
        </w:rPr>
        <w:t xml:space="preserve">ბათუმი, 2017 წლის </w:t>
      </w:r>
      <w:r w:rsidR="00D30CAF">
        <w:rPr>
          <w:rFonts w:ascii="Sylfaen" w:hAnsi="Sylfaen"/>
          <w:b/>
          <w:bCs/>
          <w:sz w:val="24"/>
          <w:szCs w:val="24"/>
          <w:lang w:val="en-US"/>
        </w:rPr>
        <w:t xml:space="preserve">1 </w:t>
      </w:r>
      <w:r w:rsidR="00D30CAF">
        <w:rPr>
          <w:rFonts w:ascii="Sylfaen" w:hAnsi="Sylfaen"/>
          <w:b/>
          <w:bCs/>
          <w:sz w:val="24"/>
          <w:szCs w:val="24"/>
        </w:rPr>
        <w:t>დეკემბერი</w:t>
      </w:r>
    </w:p>
    <w:p w14:paraId="10770E01" w14:textId="77777777" w:rsidR="00DB5108" w:rsidRPr="00254DCC" w:rsidRDefault="00DB5108" w:rsidP="00F22AAD">
      <w:pPr>
        <w:tabs>
          <w:tab w:val="left" w:pos="900"/>
        </w:tabs>
        <w:spacing w:after="0"/>
        <w:ind w:firstLine="360"/>
        <w:jc w:val="both"/>
        <w:rPr>
          <w:rFonts w:ascii="Sylfaen" w:hAnsi="Sylfaen"/>
          <w:sz w:val="24"/>
          <w:szCs w:val="24"/>
        </w:rPr>
      </w:pPr>
    </w:p>
    <w:p w14:paraId="6FDAC962"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b/>
          <w:bCs/>
          <w:sz w:val="24"/>
          <w:szCs w:val="24"/>
        </w:rPr>
        <w:t>კოლეგიის შემადგენლობა:</w:t>
      </w:r>
    </w:p>
    <w:p w14:paraId="376CB7F4"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sz w:val="24"/>
          <w:szCs w:val="24"/>
        </w:rPr>
        <w:t>თეიმურაზ ტუღუში - სხდომის თავმჯდომარე,  მომხსენებელი მოსამართლე;</w:t>
      </w:r>
    </w:p>
    <w:p w14:paraId="60D9CF26"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sz w:val="24"/>
          <w:szCs w:val="24"/>
        </w:rPr>
        <w:t>ირინე იმერლიშვილი - წევრი;</w:t>
      </w:r>
    </w:p>
    <w:p w14:paraId="1EECD7E6" w14:textId="129CC8E3" w:rsidR="00532CA3" w:rsidRPr="00254DCC" w:rsidRDefault="00532CA3" w:rsidP="00F22AAD">
      <w:pPr>
        <w:tabs>
          <w:tab w:val="left" w:pos="900"/>
        </w:tabs>
        <w:spacing w:after="0"/>
        <w:ind w:firstLine="360"/>
        <w:jc w:val="both"/>
        <w:rPr>
          <w:rFonts w:ascii="Sylfaen" w:hAnsi="Sylfaen"/>
          <w:sz w:val="24"/>
          <w:szCs w:val="24"/>
        </w:rPr>
      </w:pPr>
      <w:r w:rsidRPr="00254DCC">
        <w:rPr>
          <w:rFonts w:ascii="Sylfaen" w:hAnsi="Sylfaen"/>
          <w:sz w:val="24"/>
          <w:szCs w:val="24"/>
        </w:rPr>
        <w:t>მანანა კობახიძე - წევრი</w:t>
      </w:r>
      <w:r w:rsidR="00F12A91">
        <w:rPr>
          <w:rFonts w:ascii="Sylfaen" w:hAnsi="Sylfaen"/>
          <w:sz w:val="24"/>
          <w:szCs w:val="24"/>
        </w:rPr>
        <w:t>;</w:t>
      </w:r>
    </w:p>
    <w:p w14:paraId="7F234607"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sz w:val="24"/>
          <w:szCs w:val="24"/>
        </w:rPr>
        <w:t>თამაზ ცაბუტაშვილი - წევრი.</w:t>
      </w:r>
    </w:p>
    <w:p w14:paraId="07427295" w14:textId="77777777" w:rsidR="005E21BD" w:rsidRPr="00254DCC" w:rsidRDefault="005E21BD" w:rsidP="00F22AAD">
      <w:pPr>
        <w:tabs>
          <w:tab w:val="left" w:pos="900"/>
        </w:tabs>
        <w:spacing w:after="0"/>
        <w:ind w:firstLine="360"/>
        <w:jc w:val="both"/>
        <w:rPr>
          <w:rFonts w:ascii="Sylfaen" w:hAnsi="Sylfaen"/>
          <w:sz w:val="24"/>
          <w:szCs w:val="24"/>
        </w:rPr>
      </w:pPr>
    </w:p>
    <w:p w14:paraId="1B32714F" w14:textId="1B67F8F2" w:rsidR="005E21BD" w:rsidRPr="00254DCC" w:rsidRDefault="005E21BD" w:rsidP="00F22AAD">
      <w:pPr>
        <w:tabs>
          <w:tab w:val="left" w:pos="900"/>
        </w:tabs>
        <w:spacing w:after="0"/>
        <w:ind w:firstLine="360"/>
        <w:jc w:val="both"/>
        <w:rPr>
          <w:rFonts w:ascii="Sylfaen" w:hAnsi="Sylfaen"/>
          <w:bCs/>
          <w:sz w:val="24"/>
          <w:szCs w:val="24"/>
        </w:rPr>
      </w:pPr>
      <w:r w:rsidRPr="00254DCC">
        <w:rPr>
          <w:rFonts w:ascii="Sylfaen" w:hAnsi="Sylfaen"/>
          <w:b/>
          <w:bCs/>
          <w:sz w:val="24"/>
          <w:szCs w:val="24"/>
        </w:rPr>
        <w:t xml:space="preserve">სხდომის მდივანი: </w:t>
      </w:r>
      <w:r w:rsidR="0014157B" w:rsidRPr="00254DCC">
        <w:rPr>
          <w:rFonts w:ascii="Sylfaen" w:hAnsi="Sylfaen"/>
          <w:bCs/>
          <w:sz w:val="24"/>
          <w:szCs w:val="24"/>
        </w:rPr>
        <w:t>მანანა ლომთათიძე</w:t>
      </w:r>
      <w:r w:rsidR="007502BD" w:rsidRPr="00254DCC">
        <w:rPr>
          <w:rFonts w:ascii="Sylfaen" w:hAnsi="Sylfaen"/>
          <w:bCs/>
          <w:sz w:val="24"/>
          <w:szCs w:val="24"/>
        </w:rPr>
        <w:t>.</w:t>
      </w:r>
    </w:p>
    <w:p w14:paraId="7931997F" w14:textId="77777777" w:rsidR="005E21BD" w:rsidRPr="00254DCC" w:rsidRDefault="005E21BD" w:rsidP="00F22AAD">
      <w:pPr>
        <w:tabs>
          <w:tab w:val="left" w:pos="900"/>
        </w:tabs>
        <w:spacing w:after="0"/>
        <w:ind w:firstLine="360"/>
        <w:jc w:val="both"/>
        <w:rPr>
          <w:rFonts w:ascii="Sylfaen" w:hAnsi="Sylfaen"/>
          <w:bCs/>
          <w:sz w:val="24"/>
          <w:szCs w:val="24"/>
        </w:rPr>
      </w:pPr>
    </w:p>
    <w:p w14:paraId="7EDA8702"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b/>
          <w:bCs/>
          <w:sz w:val="24"/>
          <w:szCs w:val="24"/>
        </w:rPr>
        <w:t xml:space="preserve">საქმის დასახელება: </w:t>
      </w:r>
      <w:r w:rsidRPr="00254DCC">
        <w:rPr>
          <w:rFonts w:ascii="Sylfaen" w:hAnsi="Sylfaen"/>
          <w:sz w:val="24"/>
          <w:szCs w:val="24"/>
        </w:rPr>
        <w:t xml:space="preserve">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w:t>
      </w:r>
      <w:proofErr w:type="spellEnd"/>
      <w:r w:rsidRPr="00254DCC">
        <w:rPr>
          <w:rFonts w:ascii="Sylfaen" w:hAnsi="Sylfaen"/>
          <w:sz w:val="24"/>
          <w:szCs w:val="24"/>
        </w:rPr>
        <w:t>“ საქართველოს პარლამენტის წინააღმდეგ.</w:t>
      </w:r>
    </w:p>
    <w:p w14:paraId="207A4AE5" w14:textId="77777777" w:rsidR="005E21BD" w:rsidRPr="00254DCC" w:rsidRDefault="005E21BD" w:rsidP="00F22AAD">
      <w:pPr>
        <w:tabs>
          <w:tab w:val="left" w:pos="900"/>
        </w:tabs>
        <w:spacing w:after="0"/>
        <w:ind w:firstLine="360"/>
        <w:jc w:val="both"/>
        <w:rPr>
          <w:rFonts w:ascii="Sylfaen" w:hAnsi="Sylfaen"/>
          <w:sz w:val="24"/>
          <w:szCs w:val="24"/>
        </w:rPr>
      </w:pPr>
    </w:p>
    <w:p w14:paraId="0E97EDB7" w14:textId="77777777" w:rsidR="005E21BD" w:rsidRPr="00254DCC" w:rsidRDefault="005E21BD" w:rsidP="00F22AAD">
      <w:pPr>
        <w:tabs>
          <w:tab w:val="left" w:pos="900"/>
        </w:tabs>
        <w:spacing w:after="0"/>
        <w:ind w:firstLine="360"/>
        <w:jc w:val="both"/>
        <w:rPr>
          <w:rFonts w:ascii="Sylfaen" w:hAnsi="Sylfaen"/>
          <w:sz w:val="24"/>
          <w:szCs w:val="24"/>
        </w:rPr>
      </w:pPr>
      <w:r w:rsidRPr="00254DCC">
        <w:rPr>
          <w:rFonts w:ascii="Sylfaen" w:hAnsi="Sylfaen"/>
          <w:b/>
          <w:sz w:val="24"/>
          <w:szCs w:val="24"/>
        </w:rPr>
        <w:t>დავის საგანი:</w:t>
      </w:r>
      <w:r w:rsidRPr="00254DCC">
        <w:rPr>
          <w:rFonts w:ascii="Sylfaen" w:hAnsi="Sylfaen"/>
          <w:sz w:val="24"/>
          <w:szCs w:val="24"/>
        </w:rPr>
        <w:t xml:space="preserve"> საქართველოს სამოქალაქო საპროცესო კოდექსის 199-ე მუხლის მე-2 ნაწილის კონსტიტუციურობა საქართველოს კონსტიტუციის 42-ე მუხლის პირველ პუნქტთან მიმართებით.</w:t>
      </w:r>
    </w:p>
    <w:p w14:paraId="758733A2" w14:textId="77777777" w:rsidR="00532CA3" w:rsidRPr="00254DCC" w:rsidRDefault="00532CA3" w:rsidP="00F22AAD">
      <w:pPr>
        <w:tabs>
          <w:tab w:val="left" w:pos="900"/>
        </w:tabs>
        <w:spacing w:after="0"/>
        <w:ind w:firstLine="360"/>
        <w:jc w:val="both"/>
        <w:rPr>
          <w:rFonts w:ascii="Sylfaen" w:hAnsi="Sylfaen"/>
          <w:sz w:val="24"/>
          <w:szCs w:val="24"/>
        </w:rPr>
      </w:pPr>
    </w:p>
    <w:p w14:paraId="5ED4C9DB" w14:textId="23D354C7" w:rsidR="00532CA3" w:rsidRPr="00254DCC" w:rsidRDefault="00532CA3" w:rsidP="00F22AAD">
      <w:pPr>
        <w:tabs>
          <w:tab w:val="left" w:pos="900"/>
        </w:tabs>
        <w:spacing w:after="0"/>
        <w:ind w:firstLine="360"/>
        <w:jc w:val="both"/>
        <w:rPr>
          <w:rFonts w:ascii="Sylfaen" w:hAnsi="Sylfaen"/>
          <w:sz w:val="24"/>
          <w:szCs w:val="24"/>
        </w:rPr>
      </w:pPr>
      <w:r w:rsidRPr="00254DCC">
        <w:rPr>
          <w:rFonts w:ascii="Sylfaen" w:hAnsi="Sylfaen"/>
          <w:b/>
          <w:sz w:val="24"/>
          <w:szCs w:val="24"/>
        </w:rPr>
        <w:t xml:space="preserve">საქმის განხილვის მონაწილეები: </w:t>
      </w:r>
      <w:r w:rsidRPr="00254DCC">
        <w:rPr>
          <w:rFonts w:ascii="Sylfaen" w:hAnsi="Sylfaen"/>
          <w:sz w:val="24"/>
          <w:szCs w:val="24"/>
        </w:rPr>
        <w:t>მოსარჩელე მხარის წარმომადგენლები:</w:t>
      </w:r>
      <w:r w:rsidR="007502BD" w:rsidRPr="00254DCC">
        <w:rPr>
          <w:rFonts w:ascii="Sylfaen" w:hAnsi="Sylfaen"/>
          <w:sz w:val="24"/>
          <w:szCs w:val="24"/>
        </w:rPr>
        <w:t xml:space="preserve"> მირიან ბიჭიკაშვილი, მიხეილ შათაშვილი და გიორგი ყავლაშვილი</w:t>
      </w:r>
      <w:r w:rsidRPr="00254DCC">
        <w:rPr>
          <w:rFonts w:ascii="Sylfaen" w:hAnsi="Sylfaen"/>
          <w:sz w:val="24"/>
          <w:szCs w:val="24"/>
        </w:rPr>
        <w:t>; მოპასუხე მხარის – საქართველოს პარლამენტის</w:t>
      </w:r>
      <w:r w:rsidR="0047080D" w:rsidRPr="00254DCC">
        <w:rPr>
          <w:rFonts w:ascii="Sylfaen" w:hAnsi="Sylfaen"/>
          <w:sz w:val="24"/>
          <w:szCs w:val="24"/>
        </w:rPr>
        <w:t>,</w:t>
      </w:r>
      <w:r w:rsidRPr="00254DCC">
        <w:rPr>
          <w:rFonts w:ascii="Sylfaen" w:hAnsi="Sylfaen"/>
          <w:sz w:val="24"/>
          <w:szCs w:val="24"/>
        </w:rPr>
        <w:t xml:space="preserve"> წარმომადგენლები:</w:t>
      </w:r>
      <w:r w:rsidR="007502BD" w:rsidRPr="00254DCC">
        <w:rPr>
          <w:rFonts w:ascii="Sylfaen" w:hAnsi="Sylfaen"/>
          <w:sz w:val="24"/>
          <w:szCs w:val="24"/>
        </w:rPr>
        <w:t xml:space="preserve"> ქრი</w:t>
      </w:r>
      <w:r w:rsidR="00F12A91">
        <w:rPr>
          <w:rFonts w:ascii="Sylfaen" w:hAnsi="Sylfaen"/>
          <w:sz w:val="24"/>
          <w:szCs w:val="24"/>
        </w:rPr>
        <w:t>ს</w:t>
      </w:r>
      <w:r w:rsidR="007502BD" w:rsidRPr="00254DCC">
        <w:rPr>
          <w:rFonts w:ascii="Sylfaen" w:hAnsi="Sylfaen"/>
          <w:sz w:val="24"/>
          <w:szCs w:val="24"/>
        </w:rPr>
        <w:t>ტინე კუპრავა და თინათინ ერქვანია</w:t>
      </w:r>
      <w:r w:rsidR="0083464F" w:rsidRPr="00254DCC">
        <w:rPr>
          <w:rFonts w:ascii="Sylfaen" w:hAnsi="Sylfaen"/>
          <w:sz w:val="24"/>
          <w:szCs w:val="24"/>
        </w:rPr>
        <w:t>; მოწმე - ლევან ჯანაშია</w:t>
      </w:r>
      <w:r w:rsidR="007502BD" w:rsidRPr="00254DCC">
        <w:rPr>
          <w:rFonts w:ascii="Sylfaen" w:hAnsi="Sylfaen"/>
          <w:sz w:val="24"/>
          <w:szCs w:val="24"/>
        </w:rPr>
        <w:t>.</w:t>
      </w:r>
    </w:p>
    <w:p w14:paraId="03C52582" w14:textId="77777777" w:rsidR="00F22AAD" w:rsidRPr="00254DCC" w:rsidRDefault="00F22AAD" w:rsidP="00F22AAD">
      <w:pPr>
        <w:tabs>
          <w:tab w:val="left" w:pos="900"/>
        </w:tabs>
        <w:spacing w:after="0"/>
        <w:ind w:firstLine="360"/>
        <w:jc w:val="both"/>
        <w:rPr>
          <w:rFonts w:ascii="Sylfaen" w:hAnsi="Sylfaen"/>
          <w:sz w:val="24"/>
          <w:szCs w:val="24"/>
        </w:rPr>
      </w:pPr>
    </w:p>
    <w:p w14:paraId="3D3CA5C6" w14:textId="77777777" w:rsidR="00F22AAD" w:rsidRPr="00254DCC" w:rsidRDefault="00F22AAD" w:rsidP="00F22AAD">
      <w:pPr>
        <w:tabs>
          <w:tab w:val="left" w:pos="900"/>
        </w:tabs>
        <w:spacing w:after="0"/>
        <w:ind w:firstLine="360"/>
        <w:jc w:val="both"/>
        <w:rPr>
          <w:rFonts w:ascii="Sylfaen" w:hAnsi="Sylfaen"/>
          <w:sz w:val="24"/>
          <w:szCs w:val="24"/>
        </w:rPr>
      </w:pPr>
    </w:p>
    <w:p w14:paraId="4A1861DC" w14:textId="68D9AA05" w:rsidR="00532CA3" w:rsidRPr="00C97694" w:rsidRDefault="00532CA3" w:rsidP="00C97694">
      <w:pPr>
        <w:pStyle w:val="Heading1"/>
        <w:tabs>
          <w:tab w:val="clear" w:pos="900"/>
        </w:tabs>
      </w:pPr>
      <w:r w:rsidRPr="00C97694">
        <w:lastRenderedPageBreak/>
        <w:t>I</w:t>
      </w:r>
      <w:r w:rsidR="00C97694">
        <w:br/>
      </w:r>
      <w:r w:rsidRPr="00C97694">
        <w:t>აღწერილობითი ნაწილი</w:t>
      </w:r>
    </w:p>
    <w:p w14:paraId="246F1069" w14:textId="77777777" w:rsidR="00532CA3" w:rsidRPr="00254DCC" w:rsidRDefault="00532CA3" w:rsidP="00F22AAD">
      <w:pPr>
        <w:tabs>
          <w:tab w:val="left" w:pos="900"/>
        </w:tabs>
        <w:spacing w:after="0"/>
        <w:ind w:firstLine="360"/>
        <w:jc w:val="both"/>
        <w:rPr>
          <w:rFonts w:ascii="Sylfaen" w:hAnsi="Sylfaen"/>
          <w:b/>
          <w:sz w:val="24"/>
          <w:szCs w:val="24"/>
        </w:rPr>
      </w:pPr>
    </w:p>
    <w:p w14:paraId="53D55DAA" w14:textId="1D43C16F" w:rsidR="001D3253" w:rsidRPr="00254DCC" w:rsidRDefault="00532CA3"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cs="Sylfaen"/>
          <w:sz w:val="24"/>
          <w:szCs w:val="24"/>
        </w:rPr>
        <w:t>საქართველოს</w:t>
      </w:r>
      <w:r w:rsidRPr="00254DCC">
        <w:rPr>
          <w:rFonts w:ascii="Sylfaen" w:hAnsi="Sylfaen"/>
          <w:sz w:val="24"/>
          <w:szCs w:val="24"/>
        </w:rPr>
        <w:t xml:space="preserve"> საკონსტიტუციო სასამართლოს 2016 წლის 11 აპრილს კონსტიტუციური სარჩელით (რეგისტრაციის №746) მომართა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მანგანეზმა</w:t>
      </w:r>
      <w:proofErr w:type="spellEnd"/>
      <w:r w:rsidRPr="00254DCC">
        <w:rPr>
          <w:rFonts w:ascii="Sylfaen" w:hAnsi="Sylfaen"/>
          <w:sz w:val="24"/>
          <w:szCs w:val="24"/>
        </w:rPr>
        <w:t xml:space="preserve">“. კონსტიტუციური სარჩელი საკონსტიტუციო სასამართლოს მეორე კოლეგიას გადაეცა 2016 წლის 12 აპრილს. </w:t>
      </w:r>
      <w:r w:rsidRPr="00254DCC">
        <w:rPr>
          <w:rFonts w:ascii="Sylfaen" w:hAnsi="Sylfaen" w:cs="Sylfaen"/>
          <w:sz w:val="24"/>
          <w:szCs w:val="24"/>
        </w:rPr>
        <w:t xml:space="preserve">საკონსტიტუციო სასამართლოს მეორე კოლეგიის განმწესრიგებელი სხდომა, ზეპირი მოსმენის გარეშე, გაიმართა </w:t>
      </w:r>
      <w:r w:rsidRPr="00254DCC">
        <w:rPr>
          <w:rFonts w:ascii="Sylfaen" w:hAnsi="Sylfaen"/>
          <w:sz w:val="24"/>
          <w:szCs w:val="24"/>
        </w:rPr>
        <w:t xml:space="preserve"> 2017 წლის 27 იანვარს. 2017 წლის 27 იანვრის №</w:t>
      </w:r>
      <w:r w:rsidRPr="00254DCC">
        <w:rPr>
          <w:rFonts w:ascii="Sylfaen" w:hAnsi="Sylfaen"/>
          <w:bCs/>
          <w:sz w:val="24"/>
          <w:szCs w:val="24"/>
        </w:rPr>
        <w:t>2/3/746</w:t>
      </w:r>
      <w:r w:rsidR="00B656E9" w:rsidRPr="00254DCC">
        <w:rPr>
          <w:rFonts w:ascii="Sylfaen" w:hAnsi="Sylfaen"/>
          <w:sz w:val="24"/>
          <w:szCs w:val="24"/>
        </w:rPr>
        <w:t xml:space="preserve"> საოქმო ჩანაწერით კონსტიტუციური სარჩელი არსებითად განსახილველად იქნა მიღებული სასარჩელო მოთხოვნის იმ ნაწილში, რომელიც შეეხება საქართველოს სამოქალაქო საპროცესო კოდექსის 199-ე მუხლის მე-2 პუნქტის კონსტიტუციურობ</w:t>
      </w:r>
      <w:r w:rsidR="0078201D" w:rsidRPr="00254DCC">
        <w:rPr>
          <w:rFonts w:ascii="Sylfaen" w:hAnsi="Sylfaen"/>
          <w:sz w:val="24"/>
          <w:szCs w:val="24"/>
        </w:rPr>
        <w:t xml:space="preserve">ას </w:t>
      </w:r>
      <w:r w:rsidR="00B656E9" w:rsidRPr="00254DCC">
        <w:rPr>
          <w:rFonts w:ascii="Sylfaen" w:hAnsi="Sylfaen"/>
          <w:sz w:val="24"/>
          <w:szCs w:val="24"/>
        </w:rPr>
        <w:t>საქართველოს კონსტიტუციის 42-ე მუხლის პირველ პუნქტთან მიმართებით. საქმის არსებითი განხილვა გაიმართა 2017 წლის</w:t>
      </w:r>
      <w:r w:rsidR="000B0657" w:rsidRPr="00254DCC">
        <w:rPr>
          <w:rFonts w:ascii="Sylfaen" w:hAnsi="Sylfaen"/>
          <w:sz w:val="24"/>
          <w:szCs w:val="24"/>
        </w:rPr>
        <w:t xml:space="preserve"> 5 ივლისს.</w:t>
      </w:r>
    </w:p>
    <w:p w14:paraId="3B773493" w14:textId="14144F7C" w:rsidR="001D3253" w:rsidRPr="00254DCC" w:rsidRDefault="001D3253"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№746 კონსტიტუციურ სარჩელ</w:t>
      </w:r>
      <w:r w:rsidR="0078201D" w:rsidRPr="00254DCC">
        <w:rPr>
          <w:rFonts w:ascii="Sylfaen" w:hAnsi="Sylfaen"/>
          <w:sz w:val="24"/>
          <w:szCs w:val="24"/>
        </w:rPr>
        <w:t xml:space="preserve">ში </w:t>
      </w:r>
      <w:r w:rsidR="00C84349">
        <w:rPr>
          <w:rFonts w:ascii="Sylfaen" w:hAnsi="Sylfaen"/>
          <w:sz w:val="24"/>
          <w:szCs w:val="24"/>
        </w:rPr>
        <w:t>სასამართლოსადმი</w:t>
      </w:r>
      <w:r w:rsidR="0078201D" w:rsidRPr="00254DCC">
        <w:rPr>
          <w:rFonts w:ascii="Sylfaen" w:hAnsi="Sylfaen"/>
          <w:sz w:val="24"/>
          <w:szCs w:val="24"/>
        </w:rPr>
        <w:t xml:space="preserve"> მიმართვის სამართლებრივ საფუძვლად მითითებულია</w:t>
      </w:r>
      <w:r w:rsidRPr="00254DCC">
        <w:rPr>
          <w:rFonts w:ascii="Sylfaen" w:hAnsi="Sylfaen"/>
          <w:sz w:val="24"/>
          <w:szCs w:val="24"/>
        </w:rPr>
        <w:t xml:space="preserve">: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w:t>
      </w:r>
      <w:r w:rsidR="0078201D" w:rsidRPr="00254DCC">
        <w:rPr>
          <w:rFonts w:ascii="Sylfaen" w:hAnsi="Sylfaen"/>
          <w:sz w:val="24"/>
          <w:szCs w:val="24"/>
        </w:rPr>
        <w:t xml:space="preserve">ორგანული </w:t>
      </w:r>
      <w:r w:rsidRPr="00254DCC">
        <w:rPr>
          <w:rFonts w:ascii="Sylfaen" w:hAnsi="Sylfaen"/>
          <w:sz w:val="24"/>
          <w:szCs w:val="24"/>
        </w:rPr>
        <w:t>კანონის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14:paraId="6728C1DE" w14:textId="4ABC3854" w:rsidR="00532CA3"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საქართველოს სამოქალაქო საპროცესო კოდექსის 199-ე მუხლის მე-2 ნაწილის თანახმად:  „ამ მუხლის პირველი ნაწილით გათვალისწინებულ შემთხვევაში პირი, რომელმაც მიმართა სასამართლოს სარჩელის უზრუნველყოფის შესახებ, ვალდებულია 7 დღის ვადაში განახორციელოს მოპასუხისათვის მოსალოდნელი ზარალის ანაზღაურების უზრუნველყოფა. წინააღმდეგ შემთხვევაში სასამართლო დაუყოვნებლივ გამოიტანს განჩინებას სარჩელის უზრუნველყოფის ღონისძიების გაუქმების შესახებ, რაც გასაჩივრდება საჩივრით“. ამავე მუხლის პირველი ნაწილი </w:t>
      </w:r>
      <w:r w:rsidR="00C84349">
        <w:rPr>
          <w:rFonts w:ascii="Sylfaen" w:hAnsi="Sylfaen"/>
          <w:sz w:val="24"/>
          <w:szCs w:val="24"/>
        </w:rPr>
        <w:t>ადგენს</w:t>
      </w:r>
      <w:r w:rsidRPr="00254DCC">
        <w:rPr>
          <w:rFonts w:ascii="Sylfaen" w:hAnsi="Sylfaen"/>
          <w:sz w:val="24"/>
          <w:szCs w:val="24"/>
        </w:rPr>
        <w:t xml:space="preserve"> სასამართლოს </w:t>
      </w:r>
      <w:r w:rsidR="00C84349">
        <w:rPr>
          <w:rFonts w:ascii="Sylfaen" w:hAnsi="Sylfaen"/>
          <w:sz w:val="24"/>
          <w:szCs w:val="24"/>
        </w:rPr>
        <w:t xml:space="preserve">უფლებამოსილებას </w:t>
      </w:r>
      <w:r w:rsidRPr="00254DCC">
        <w:rPr>
          <w:rFonts w:ascii="Sylfaen" w:hAnsi="Sylfaen"/>
          <w:sz w:val="24"/>
          <w:szCs w:val="24"/>
        </w:rPr>
        <w:t xml:space="preserve">სარჩელის უზრუნველყოფის ღონისძიების გამოყენებისას მეორე </w:t>
      </w:r>
      <w:r w:rsidR="00C84349">
        <w:rPr>
          <w:rFonts w:ascii="Sylfaen" w:hAnsi="Sylfaen"/>
          <w:sz w:val="24"/>
          <w:szCs w:val="24"/>
        </w:rPr>
        <w:t>მხარეს მოსთხოვოს</w:t>
      </w:r>
      <w:r w:rsidRPr="00254DCC">
        <w:rPr>
          <w:rFonts w:ascii="Sylfaen" w:hAnsi="Sylfaen"/>
          <w:sz w:val="24"/>
          <w:szCs w:val="24"/>
        </w:rPr>
        <w:t xml:space="preserve"> მოსალოდნელი ზარალის ანაზღაურების </w:t>
      </w:r>
      <w:r w:rsidR="00C84349">
        <w:rPr>
          <w:rFonts w:ascii="Sylfaen" w:hAnsi="Sylfaen"/>
          <w:sz w:val="24"/>
          <w:szCs w:val="24"/>
        </w:rPr>
        <w:t>უზრუნველყოფა</w:t>
      </w:r>
      <w:r w:rsidRPr="00254DCC">
        <w:rPr>
          <w:rFonts w:ascii="Sylfaen" w:hAnsi="Sylfaen"/>
          <w:sz w:val="24"/>
          <w:szCs w:val="24"/>
        </w:rPr>
        <w:t>.</w:t>
      </w:r>
    </w:p>
    <w:p w14:paraId="21A25304" w14:textId="77777777" w:rsidR="003B4F7F"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cs="Sylfaen"/>
          <w:sz w:val="24"/>
          <w:szCs w:val="24"/>
        </w:rPr>
        <w:t>საქართველოს</w:t>
      </w:r>
      <w:r w:rsidRPr="00254DCC">
        <w:rPr>
          <w:rFonts w:ascii="Sylfaen" w:hAnsi="Sylfaen"/>
          <w:sz w:val="24"/>
          <w:szCs w:val="24"/>
        </w:rPr>
        <w:t xml:space="preserve">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14:paraId="6B579379" w14:textId="77777777" w:rsidR="003B4F7F"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cs="Sylfaen"/>
          <w:sz w:val="24"/>
          <w:szCs w:val="24"/>
        </w:rPr>
        <w:t>კონსტიტუციური</w:t>
      </w:r>
      <w:r w:rsidRPr="00254DCC">
        <w:rPr>
          <w:rFonts w:ascii="Sylfaen" w:hAnsi="Sylfaen"/>
          <w:sz w:val="24"/>
          <w:szCs w:val="24"/>
        </w:rPr>
        <w:t xml:space="preserve"> სარჩელში აღნიშნულია, რომ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w:t>
      </w:r>
      <w:proofErr w:type="spellEnd"/>
      <w:r w:rsidRPr="00254DCC">
        <w:rPr>
          <w:rFonts w:ascii="Sylfaen" w:hAnsi="Sylfaen"/>
          <w:sz w:val="24"/>
          <w:szCs w:val="24"/>
        </w:rPr>
        <w:t xml:space="preserve">“ „ელექტროენერგეტიკისა და ბუნებრივი გაზის შესახებ“ საქართველოს კანონის </w:t>
      </w:r>
      <w:r w:rsidRPr="00254DCC">
        <w:rPr>
          <w:rFonts w:ascii="Sylfaen" w:hAnsi="Sylfaen"/>
          <w:sz w:val="24"/>
          <w:szCs w:val="24"/>
        </w:rPr>
        <w:lastRenderedPageBreak/>
        <w:t xml:space="preserve">მიზნებისთვის წარმოადგენს კვალიფიციურ საწარმოს - პირდაპირ მომხმარებელს, რომელიც ამავე კანონის თანახმად, იხდის ელექტროენერგიის გარანტირებული სიმძლავრის საფასურს. </w:t>
      </w:r>
    </w:p>
    <w:p w14:paraId="19C16CB0" w14:textId="5D615F55" w:rsidR="003B4F7F"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№746 კონსტიტუციურ სარჩელის მიხედვით, მოსარჩელემ ვერ შეძლო გარანტირებული სიმძლავრის საფასურის გადახდა, რის გამოც  ბაზრის ოპერატორმა მის წინააღმდეგ აღძრა სარჩელი და მოითხოვა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მანგანეზისთვის</w:t>
      </w:r>
      <w:proofErr w:type="spellEnd"/>
      <w:r w:rsidRPr="00254DCC">
        <w:rPr>
          <w:rFonts w:ascii="Sylfaen" w:hAnsi="Sylfaen"/>
          <w:sz w:val="24"/>
          <w:szCs w:val="24"/>
        </w:rPr>
        <w:t xml:space="preserve">“ გადასახდელი თანხის და პირგასამტეხლოს დაკისრება. მოსარჩელე მხარის </w:t>
      </w:r>
      <w:r w:rsidR="00A06E64" w:rsidRPr="00254DCC">
        <w:rPr>
          <w:rFonts w:ascii="Sylfaen" w:hAnsi="Sylfaen"/>
          <w:sz w:val="24"/>
          <w:szCs w:val="24"/>
        </w:rPr>
        <w:t>განცხადებით</w:t>
      </w:r>
      <w:r w:rsidRPr="00254DCC">
        <w:rPr>
          <w:rFonts w:ascii="Sylfaen" w:hAnsi="Sylfaen"/>
          <w:sz w:val="24"/>
          <w:szCs w:val="24"/>
        </w:rPr>
        <w:t>, გარანტირებული სიმძლავრის გაზრდილი საფასურის გადაუხდელობის გამო, ბაზრის ოპერატორმა მიიღო გადაწყვეტილება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მანგანეზისთვის</w:t>
      </w:r>
      <w:proofErr w:type="spellEnd"/>
      <w:r w:rsidRPr="00254DCC">
        <w:rPr>
          <w:rFonts w:ascii="Sylfaen" w:hAnsi="Sylfaen"/>
          <w:sz w:val="24"/>
          <w:szCs w:val="24"/>
        </w:rPr>
        <w:t xml:space="preserve">“ ელექტროენერგიის მიწოდებს შეწყვეტის თაობაზე. იმის </w:t>
      </w:r>
      <w:r w:rsidR="00BD4812" w:rsidRPr="00254DCC">
        <w:rPr>
          <w:rFonts w:ascii="Sylfaen" w:hAnsi="Sylfaen"/>
          <w:sz w:val="24"/>
          <w:szCs w:val="24"/>
        </w:rPr>
        <w:t>გათვალისწინებით</w:t>
      </w:r>
      <w:r w:rsidRPr="00254DCC">
        <w:rPr>
          <w:rFonts w:ascii="Sylfaen" w:hAnsi="Sylfaen"/>
          <w:sz w:val="24"/>
          <w:szCs w:val="24"/>
        </w:rPr>
        <w:t xml:space="preserve">, რომ ელექტროენერგიის მიწოდების შეწყვეტა, სავარაუდოდ, გამოიწვევდა საწარმოო პროცესის შეწყვეტას, დასაქმებულთა დათხოვნას, ტექნიკური მოწყობილობების მწყობრიდან გამოსვლას, რაც შექმნიდა საფრთხეს ადამიანთა სიცოცხლისა და ჯანმრთელობისთვის, თბილისის საქალაქო სასამართლოს 2016 წლის 7 მარტის განჩინებით, სარჩელის უზრუნველყოფის მიზნით, ბაზრის ოპერატორს აეკრძალა ელექტროენერგიის მიწოდების შეწყვეტა მოსარჩელისთვის. </w:t>
      </w:r>
    </w:p>
    <w:p w14:paraId="2C736CC9" w14:textId="7ECCED79" w:rsidR="003B4F7F"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2016 წლის 29 მარტს ბაზრის ოპერატორმა განცხადებით მიმართა თბილისის საქალაქო სასამართლოს და მოითხოვა სარჩელის უზრუნველყოფის ღონისძიებით გამოწვეული მოსალოდნელი ზარალის ანაზღაურების უზრუნველსაყოფად მოსარჩელისთვის საერთო სასამართლოების სადეპოზიტო ანგარიშზე 5 047 936 ლარის შეტანის დავალდებულება, რაც დაკმაყოფილდა სასამართლოს 2016 წლის 31 მარტის განჩინებით. აღნიშნული ვალდებულებ</w:t>
      </w:r>
      <w:r w:rsidR="0078201D" w:rsidRPr="00254DCC">
        <w:rPr>
          <w:rFonts w:ascii="Sylfaen" w:hAnsi="Sylfaen"/>
          <w:sz w:val="24"/>
          <w:szCs w:val="24"/>
        </w:rPr>
        <w:t xml:space="preserve">ა </w:t>
      </w:r>
      <w:r w:rsidRPr="00254DCC">
        <w:rPr>
          <w:rFonts w:ascii="Sylfaen" w:hAnsi="Sylfaen"/>
          <w:sz w:val="24"/>
          <w:szCs w:val="24"/>
        </w:rPr>
        <w:t>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მანგანეზის</w:t>
      </w:r>
      <w:proofErr w:type="spellEnd"/>
      <w:r w:rsidRPr="00254DCC">
        <w:rPr>
          <w:rFonts w:ascii="Sylfaen" w:hAnsi="Sylfaen"/>
          <w:sz w:val="24"/>
          <w:szCs w:val="24"/>
        </w:rPr>
        <w:t>“ მიერ ვერ შესრულდა განსაზღვრულ ვადაში, რამაც გამოიწვია სარჩელის უზრუნველყოფის ღონისძიების გაუქმება სადავო</w:t>
      </w:r>
      <w:r w:rsidR="00FE6B0D" w:rsidRPr="00254DCC">
        <w:rPr>
          <w:rFonts w:ascii="Sylfaen" w:hAnsi="Sylfaen"/>
          <w:sz w:val="24"/>
          <w:szCs w:val="24"/>
        </w:rPr>
        <w:t xml:space="preserve"> ნორმის</w:t>
      </w:r>
      <w:r w:rsidRPr="00254DCC">
        <w:rPr>
          <w:rFonts w:ascii="Sylfaen" w:hAnsi="Sylfaen"/>
          <w:sz w:val="24"/>
          <w:szCs w:val="24"/>
        </w:rPr>
        <w:t xml:space="preserve"> - საქართველოს სამოქალაქო საპროცესო კოდექსის 199-ე მუხლის მე-2 ნაწილის საფუძველზე.</w:t>
      </w:r>
    </w:p>
    <w:p w14:paraId="6321347B" w14:textId="2825F98E" w:rsidR="00F30207"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cs="Sylfaen"/>
          <w:sz w:val="24"/>
          <w:szCs w:val="24"/>
        </w:rPr>
        <w:t>მოსარჩელ</w:t>
      </w:r>
      <w:r w:rsidRPr="00254DCC">
        <w:rPr>
          <w:rFonts w:ascii="Sylfaen" w:hAnsi="Sylfaen"/>
          <w:sz w:val="24"/>
          <w:szCs w:val="24"/>
        </w:rPr>
        <w:t>ის განმარტებით</w:t>
      </w:r>
      <w:r w:rsidR="00F30207" w:rsidRPr="00254DCC">
        <w:rPr>
          <w:rFonts w:ascii="Sylfaen" w:hAnsi="Sylfaen"/>
          <w:sz w:val="24"/>
          <w:szCs w:val="24"/>
        </w:rPr>
        <w:t>,</w:t>
      </w:r>
      <w:r w:rsidRPr="00254DCC">
        <w:rPr>
          <w:rFonts w:ascii="Sylfaen" w:hAnsi="Sylfaen"/>
          <w:sz w:val="24"/>
          <w:szCs w:val="24"/>
        </w:rPr>
        <w:t xml:space="preserve"> საქართველოს სამოქალაქო საპროცესო კოდექსის 199-ე მუხლის მე-2 ნაწილით დადგენილი ვადა - 7 დღე, </w:t>
      </w:r>
      <w:r w:rsidR="0078201D" w:rsidRPr="00254DCC">
        <w:rPr>
          <w:rFonts w:ascii="Sylfaen" w:hAnsi="Sylfaen"/>
          <w:sz w:val="24"/>
          <w:szCs w:val="24"/>
        </w:rPr>
        <w:t xml:space="preserve">მოსალოდნელი ზარალის ანაზღაურების </w:t>
      </w:r>
      <w:r w:rsidRPr="00254DCC">
        <w:rPr>
          <w:rFonts w:ascii="Sylfaen" w:hAnsi="Sylfaen"/>
          <w:sz w:val="24"/>
          <w:szCs w:val="24"/>
        </w:rPr>
        <w:t xml:space="preserve">უზრუნველყოფისათვის საჭირო თანხების </w:t>
      </w:r>
      <w:r w:rsidR="00F12A91">
        <w:rPr>
          <w:rFonts w:ascii="Sylfaen" w:hAnsi="Sylfaen"/>
          <w:sz w:val="24"/>
          <w:szCs w:val="24"/>
        </w:rPr>
        <w:t>მობილიზების</w:t>
      </w:r>
      <w:r w:rsidRPr="00254DCC">
        <w:rPr>
          <w:rFonts w:ascii="Sylfaen" w:hAnsi="Sylfaen"/>
          <w:sz w:val="24"/>
          <w:szCs w:val="24"/>
        </w:rPr>
        <w:t>თვის არაგონივრულ</w:t>
      </w:r>
      <w:r w:rsidR="00C84349">
        <w:rPr>
          <w:rFonts w:ascii="Sylfaen" w:hAnsi="Sylfaen"/>
          <w:sz w:val="24"/>
          <w:szCs w:val="24"/>
        </w:rPr>
        <w:t>ად მცირე</w:t>
      </w:r>
      <w:r w:rsidRPr="00254DCC">
        <w:rPr>
          <w:rFonts w:ascii="Sylfaen" w:hAnsi="Sylfaen"/>
          <w:sz w:val="24"/>
          <w:szCs w:val="24"/>
        </w:rPr>
        <w:t xml:space="preserve"> </w:t>
      </w:r>
      <w:r w:rsidR="00F95DD8">
        <w:rPr>
          <w:rFonts w:ascii="Sylfaen" w:hAnsi="Sylfaen"/>
          <w:sz w:val="24"/>
          <w:szCs w:val="24"/>
        </w:rPr>
        <w:t>დროა</w:t>
      </w:r>
      <w:r w:rsidRPr="00254DCC">
        <w:rPr>
          <w:rFonts w:ascii="Sylfaen" w:hAnsi="Sylfaen"/>
          <w:sz w:val="24"/>
          <w:szCs w:val="24"/>
        </w:rPr>
        <w:t>. ამასთანავე</w:t>
      </w:r>
      <w:r w:rsidR="00F12A91">
        <w:rPr>
          <w:rFonts w:ascii="Sylfaen" w:hAnsi="Sylfaen"/>
          <w:sz w:val="24"/>
          <w:szCs w:val="24"/>
        </w:rPr>
        <w:t>,</w:t>
      </w:r>
      <w:r w:rsidRPr="00254DCC">
        <w:rPr>
          <w:rFonts w:ascii="Sylfaen" w:hAnsi="Sylfaen"/>
          <w:sz w:val="24"/>
          <w:szCs w:val="24"/>
        </w:rPr>
        <w:t xml:space="preserve"> სადავო ნორმა ცალკე არ ითვალისწინებს </w:t>
      </w:r>
      <w:r w:rsidR="0078201D" w:rsidRPr="00254DCC">
        <w:rPr>
          <w:rFonts w:ascii="Sylfaen" w:hAnsi="Sylfaen"/>
          <w:sz w:val="24"/>
          <w:szCs w:val="24"/>
        </w:rPr>
        <w:t>მოსალოდნელი ზარალის ანაზღაურების</w:t>
      </w:r>
      <w:r w:rsidRPr="00254DCC">
        <w:rPr>
          <w:rFonts w:ascii="Sylfaen" w:hAnsi="Sylfaen"/>
          <w:sz w:val="24"/>
          <w:szCs w:val="24"/>
        </w:rPr>
        <w:t xml:space="preserve"> უზრუნველყოფის</w:t>
      </w:r>
      <w:r w:rsidR="00F12A91">
        <w:rPr>
          <w:rFonts w:ascii="Sylfaen" w:hAnsi="Sylfaen"/>
          <w:sz w:val="24"/>
          <w:szCs w:val="24"/>
        </w:rPr>
        <w:t xml:space="preserve"> შესახებ მიღებული</w:t>
      </w:r>
      <w:r w:rsidRPr="00254DCC">
        <w:rPr>
          <w:rFonts w:ascii="Sylfaen" w:hAnsi="Sylfaen"/>
          <w:sz w:val="24"/>
          <w:szCs w:val="24"/>
        </w:rPr>
        <w:t xml:space="preserve"> განჩინების გასაჩივრების შესაძლებლობას.</w:t>
      </w:r>
    </w:p>
    <w:p w14:paraId="0BE74E3E" w14:textId="77777777" w:rsidR="003B4F7F" w:rsidRPr="00254DCC" w:rsidRDefault="003B4F7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მოსარჩელის პოზიციით, მას არ აქვს შესაძლებლობა წარადგინოს საკუთარი არგუმენტაცია მოსალოდნელი ზარალის უზრუნველყოფის ღონისძიების დაკისრებასთან დაკავშირებით ან სადავო გახადოს დაკისრებული თანხის ოდენობა. </w:t>
      </w:r>
    </w:p>
    <w:p w14:paraId="43B16828" w14:textId="4172525C" w:rsidR="003B4F7F" w:rsidRPr="00254DCC" w:rsidRDefault="00F30207"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lastRenderedPageBreak/>
        <w:t>№746 კონსტიტუციურ სარჩელის არსებითი განხილვის სხდომაზე, მოსარჩელემ განაცხადა, რომ</w:t>
      </w:r>
      <w:r w:rsidR="003B4F7F" w:rsidRPr="00254DCC">
        <w:rPr>
          <w:rFonts w:ascii="Sylfaen" w:hAnsi="Sylfaen"/>
          <w:sz w:val="24"/>
          <w:szCs w:val="24"/>
        </w:rPr>
        <w:t xml:space="preserve"> მოსალოდნელი ზარალის ანაზღაურების უზრუნველყოფის ვადას არა კანონი, არამედ ყოველი კონკრეტული შემთხვევის ინდივიდუალურად განხილვის შემდგომ სასამართლო უნდა ადგენდეს. </w:t>
      </w:r>
      <w:r w:rsidR="0065784B" w:rsidRPr="00254DCC">
        <w:rPr>
          <w:rFonts w:ascii="Sylfaen" w:hAnsi="Sylfaen"/>
          <w:sz w:val="24"/>
          <w:szCs w:val="24"/>
        </w:rPr>
        <w:t>დადგენილი რეგულაციით, მოსამართლეს აქვს შესაძლებლობა თავად განსაზღვროს მოსალოდნელი ზარალის უზრუნველყოფის ღონისძიების გამოყენების საკითხი და მისი ოდენობა ისე, რომ არ მოისმინოს მეორე მხარის არგუმენტაცია და მოსაზრება</w:t>
      </w:r>
      <w:r w:rsidR="00C84349">
        <w:rPr>
          <w:rFonts w:ascii="Sylfaen" w:hAnsi="Sylfaen"/>
          <w:sz w:val="24"/>
          <w:szCs w:val="24"/>
        </w:rPr>
        <w:t>.</w:t>
      </w:r>
      <w:r w:rsidR="0065784B" w:rsidRPr="00254DCC">
        <w:rPr>
          <w:rFonts w:ascii="Sylfaen" w:hAnsi="Sylfaen"/>
          <w:sz w:val="24"/>
          <w:szCs w:val="24"/>
        </w:rPr>
        <w:t xml:space="preserve"> ასეთ ვითარებაში განსაკუთრებით მნიშვნელოვანია მოსამართლეს გააჩნდეს დისკრეცია მოსალოდნელი ზარალის</w:t>
      </w:r>
      <w:r w:rsidR="00FB168E" w:rsidRPr="00254DCC">
        <w:rPr>
          <w:rFonts w:ascii="Sylfaen" w:hAnsi="Sylfaen"/>
          <w:sz w:val="24"/>
          <w:szCs w:val="24"/>
        </w:rPr>
        <w:t xml:space="preserve"> ანაზღაურების</w:t>
      </w:r>
      <w:r w:rsidR="0065784B" w:rsidRPr="00254DCC">
        <w:rPr>
          <w:rFonts w:ascii="Sylfaen" w:hAnsi="Sylfaen"/>
          <w:sz w:val="24"/>
          <w:szCs w:val="24"/>
        </w:rPr>
        <w:t xml:space="preserve"> უზრუნველყოფის ვადის დაწესებასთან დაკავშირებით. ამგვარი მოწესრიგების პირობებში, სადავო </w:t>
      </w:r>
      <w:r w:rsidR="003B4F7F" w:rsidRPr="00254DCC">
        <w:rPr>
          <w:rFonts w:ascii="Sylfaen" w:hAnsi="Sylfaen"/>
          <w:sz w:val="24"/>
          <w:szCs w:val="24"/>
        </w:rPr>
        <w:t>ნორმა მას საპროცესო უზრუნველყოფის განხორციელების უფლებას მხოლოდ ფორმალურად ანიჭებს და აღნიშნული ღონისძიება რეალურად მიმართული არ არის სარჩელის უზრუნველყოფის ღონისძიების შენარჩუნებისაკენ.</w:t>
      </w:r>
    </w:p>
    <w:p w14:paraId="07F592E3" w14:textId="4FEA258E" w:rsidR="00A26990" w:rsidRPr="00254DCC" w:rsidRDefault="00FB168E"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მოსარჩელე მხარის განმარტებით,</w:t>
      </w:r>
      <w:r w:rsidR="00604FD2" w:rsidRPr="00254DCC">
        <w:rPr>
          <w:rFonts w:ascii="Sylfaen" w:hAnsi="Sylfaen"/>
          <w:sz w:val="24"/>
          <w:szCs w:val="24"/>
        </w:rPr>
        <w:t xml:space="preserve"> სამოქალაქო საპროცესო კოდექსის 199-ე მუხლის მე-2 ნაწილს</w:t>
      </w:r>
      <w:r w:rsidR="00F95DD8">
        <w:rPr>
          <w:rFonts w:ascii="Sylfaen" w:hAnsi="Sylfaen"/>
          <w:sz w:val="24"/>
          <w:szCs w:val="24"/>
        </w:rPr>
        <w:t xml:space="preserve"> გააჩნია</w:t>
      </w:r>
      <w:r w:rsidR="00604FD2" w:rsidRPr="00254DCC">
        <w:rPr>
          <w:rFonts w:ascii="Sylfaen" w:hAnsi="Sylfaen"/>
          <w:sz w:val="24"/>
          <w:szCs w:val="24"/>
        </w:rPr>
        <w:t xml:space="preserve"> ის ნორმატიული შინაარსი, რომელიც </w:t>
      </w:r>
      <w:r w:rsidR="00C97694">
        <w:rPr>
          <w:rFonts w:ascii="Sylfaen" w:hAnsi="Sylfaen"/>
          <w:sz w:val="24"/>
          <w:szCs w:val="24"/>
        </w:rPr>
        <w:t>უგულებელყოფს</w:t>
      </w:r>
      <w:r w:rsidR="00604FD2" w:rsidRPr="00254DCC">
        <w:rPr>
          <w:rFonts w:ascii="Sylfaen" w:hAnsi="Sylfaen"/>
          <w:sz w:val="24"/>
          <w:szCs w:val="24"/>
        </w:rPr>
        <w:t xml:space="preserve"> მოსალოდნელი ზარალის ანაზღაურების უზრუნველყოფის შესახებ</w:t>
      </w:r>
      <w:r w:rsidR="00F95DD8">
        <w:rPr>
          <w:rFonts w:ascii="Sylfaen" w:hAnsi="Sylfaen"/>
          <w:sz w:val="24"/>
          <w:szCs w:val="24"/>
        </w:rPr>
        <w:t xml:space="preserve"> მიღებული</w:t>
      </w:r>
      <w:r w:rsidR="00604FD2" w:rsidRPr="00254DCC">
        <w:rPr>
          <w:rFonts w:ascii="Sylfaen" w:hAnsi="Sylfaen"/>
          <w:sz w:val="24"/>
          <w:szCs w:val="24"/>
        </w:rPr>
        <w:t xml:space="preserve"> განჩინების </w:t>
      </w:r>
      <w:r w:rsidR="00F95DD8">
        <w:rPr>
          <w:rFonts w:ascii="Sylfaen" w:hAnsi="Sylfaen"/>
          <w:sz w:val="24"/>
          <w:szCs w:val="24"/>
        </w:rPr>
        <w:t>გასაჩივრების შესაძლებლობას</w:t>
      </w:r>
      <w:r w:rsidR="00604FD2" w:rsidRPr="00254DCC">
        <w:rPr>
          <w:rFonts w:ascii="Sylfaen" w:hAnsi="Sylfaen"/>
          <w:sz w:val="24"/>
          <w:szCs w:val="24"/>
        </w:rPr>
        <w:t>.</w:t>
      </w:r>
      <w:r w:rsidRPr="00254DCC">
        <w:rPr>
          <w:rFonts w:ascii="Sylfaen" w:hAnsi="Sylfaen"/>
          <w:sz w:val="24"/>
          <w:szCs w:val="24"/>
        </w:rPr>
        <w:t xml:space="preserve"> </w:t>
      </w:r>
      <w:r w:rsidR="00604FD2" w:rsidRPr="00254DCC">
        <w:rPr>
          <w:rFonts w:ascii="Sylfaen" w:hAnsi="Sylfaen"/>
          <w:sz w:val="24"/>
          <w:szCs w:val="24"/>
        </w:rPr>
        <w:t xml:space="preserve">მოსარჩელის არგუმენტაციით, მათ </w:t>
      </w:r>
      <w:r w:rsidR="008B2C6B" w:rsidRPr="00254DCC">
        <w:rPr>
          <w:rFonts w:ascii="Sylfaen" w:hAnsi="Sylfaen"/>
          <w:sz w:val="24"/>
          <w:szCs w:val="24"/>
        </w:rPr>
        <w:t xml:space="preserve">დამოუკიდებლად </w:t>
      </w:r>
      <w:r w:rsidR="00604FD2" w:rsidRPr="00254DCC">
        <w:rPr>
          <w:rFonts w:ascii="Sylfaen" w:hAnsi="Sylfaen"/>
          <w:sz w:val="24"/>
          <w:szCs w:val="24"/>
        </w:rPr>
        <w:t xml:space="preserve">გაასაჩივრეს </w:t>
      </w:r>
      <w:r w:rsidR="008B2C6B" w:rsidRPr="00254DCC">
        <w:rPr>
          <w:rFonts w:ascii="Sylfaen" w:hAnsi="Sylfaen"/>
          <w:sz w:val="24"/>
          <w:szCs w:val="24"/>
        </w:rPr>
        <w:t xml:space="preserve"> </w:t>
      </w:r>
      <w:r w:rsidRPr="00254DCC">
        <w:rPr>
          <w:rFonts w:ascii="Sylfaen" w:hAnsi="Sylfaen"/>
          <w:sz w:val="24"/>
          <w:szCs w:val="24"/>
        </w:rPr>
        <w:t xml:space="preserve">მოსალოდნელი ზარალის ანაზღაურების დაკისრების შესახებ განჩინება, </w:t>
      </w:r>
      <w:r w:rsidR="008B2C6B" w:rsidRPr="00254DCC">
        <w:rPr>
          <w:rFonts w:ascii="Sylfaen" w:hAnsi="Sylfaen"/>
          <w:sz w:val="24"/>
          <w:szCs w:val="24"/>
        </w:rPr>
        <w:t xml:space="preserve">ხოლო შემდეგ </w:t>
      </w:r>
      <w:r w:rsidRPr="00254DCC">
        <w:rPr>
          <w:rFonts w:ascii="Sylfaen" w:hAnsi="Sylfaen"/>
          <w:sz w:val="24"/>
          <w:szCs w:val="24"/>
        </w:rPr>
        <w:t xml:space="preserve"> სარჩელის უზრუნველყოფის გაუქმების შესახებ განჩინება</w:t>
      </w:r>
      <w:r w:rsidR="008B2C6B" w:rsidRPr="00254DCC">
        <w:rPr>
          <w:rFonts w:ascii="Sylfaen" w:hAnsi="Sylfaen"/>
          <w:sz w:val="24"/>
          <w:szCs w:val="24"/>
        </w:rPr>
        <w:t>ც</w:t>
      </w:r>
      <w:r w:rsidRPr="00254DCC">
        <w:rPr>
          <w:rFonts w:ascii="Sylfaen" w:hAnsi="Sylfaen"/>
          <w:sz w:val="24"/>
          <w:szCs w:val="24"/>
        </w:rPr>
        <w:t>, თუმცა სასამართლომ მათი მოთხოვნა არ დააკმაყოფილა და განმარტა, რომ მოსალოდნელი ზარალის ანაზღაურების დაკისრების შესახებ განჩინება ცალკე არ საჩივრდება, ხოლო სარჩელის უზრუნველყოფის გაუქმების შესახებ განჩინებაზე საჩივრის ფარგლებში სასამართლო მსჯელობს მხოლოდ გაუქმების კანონიერებაზე და მის ფარგლებში ვერ მოხდება მოსალოდნელი ზარალის ანაზღაურების უზრუნველყოფის განჩინების შემოწმება.</w:t>
      </w:r>
    </w:p>
    <w:p w14:paraId="7310C576" w14:textId="3C11D3E7" w:rsidR="00EA2F8C" w:rsidRPr="00254DCC" w:rsidRDefault="00FB168E"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მოსარჩელემ  საქმის არსებითი განხილვის სხდომაზე განაცხადა, რომ სადავო ნორმა</w:t>
      </w:r>
      <w:r w:rsidR="00BD4812" w:rsidRPr="00254DCC">
        <w:rPr>
          <w:rFonts w:ascii="Sylfaen" w:hAnsi="Sylfaen"/>
          <w:sz w:val="24"/>
          <w:szCs w:val="24"/>
        </w:rPr>
        <w:t xml:space="preserve">ს აქვს განჭვრეტადობის პრობლემა </w:t>
      </w:r>
      <w:r w:rsidRPr="00254DCC">
        <w:rPr>
          <w:rFonts w:ascii="Sylfaen" w:hAnsi="Sylfaen"/>
          <w:sz w:val="24"/>
          <w:szCs w:val="24"/>
        </w:rPr>
        <w:t xml:space="preserve">და ვერ აკმაყოფილებს კანონის ხარისხის მოთხოვნებს. სამოქალაქო საპროცესო კოდექსის 199-ე მუხლის მე-2 </w:t>
      </w:r>
      <w:r w:rsidR="002B1E6C" w:rsidRPr="00254DCC">
        <w:rPr>
          <w:rFonts w:ascii="Sylfaen" w:hAnsi="Sylfaen"/>
          <w:sz w:val="24"/>
          <w:szCs w:val="24"/>
        </w:rPr>
        <w:t>ნაწილ</w:t>
      </w:r>
      <w:r w:rsidR="00B80B19" w:rsidRPr="00254DCC">
        <w:rPr>
          <w:rFonts w:ascii="Sylfaen" w:hAnsi="Sylfaen"/>
          <w:sz w:val="24"/>
          <w:szCs w:val="24"/>
        </w:rPr>
        <w:t>ი</w:t>
      </w:r>
      <w:r w:rsidR="002B1E6C" w:rsidRPr="00254DCC">
        <w:rPr>
          <w:rFonts w:ascii="Sylfaen" w:hAnsi="Sylfaen"/>
          <w:sz w:val="24"/>
          <w:szCs w:val="24"/>
        </w:rPr>
        <w:t xml:space="preserve">ს ბუნდოვანება იწვევს მისი სხვადასხვაგვარად წაკითხვის შესაძლებლობას. ნორმა შესაძლოა </w:t>
      </w:r>
      <w:proofErr w:type="spellStart"/>
      <w:r w:rsidR="002B1E6C" w:rsidRPr="00254DCC">
        <w:rPr>
          <w:rFonts w:ascii="Sylfaen" w:hAnsi="Sylfaen"/>
          <w:sz w:val="24"/>
          <w:szCs w:val="24"/>
        </w:rPr>
        <w:t>წაკითხვადი</w:t>
      </w:r>
      <w:proofErr w:type="spellEnd"/>
      <w:r w:rsidR="002B1E6C" w:rsidRPr="00254DCC">
        <w:rPr>
          <w:rFonts w:ascii="Sylfaen" w:hAnsi="Sylfaen"/>
          <w:sz w:val="24"/>
          <w:szCs w:val="24"/>
        </w:rPr>
        <w:t xml:space="preserve"> იყოს იმგვარად, რომ სასამართლომ შეძლოს </w:t>
      </w:r>
      <w:r w:rsidRPr="00254DCC">
        <w:rPr>
          <w:rFonts w:ascii="Sylfaen" w:hAnsi="Sylfaen"/>
          <w:sz w:val="24"/>
          <w:szCs w:val="24"/>
        </w:rPr>
        <w:t xml:space="preserve">სარჩელის უზრუნველყოფის ღონისძიების გაუქმების შესახებ შეტანილი საჩივრის ფარგლებში </w:t>
      </w:r>
      <w:r w:rsidR="002B1E6C" w:rsidRPr="00254DCC">
        <w:rPr>
          <w:rFonts w:ascii="Sylfaen" w:hAnsi="Sylfaen"/>
          <w:sz w:val="24"/>
          <w:szCs w:val="24"/>
        </w:rPr>
        <w:t xml:space="preserve"> </w:t>
      </w:r>
      <w:r w:rsidRPr="00254DCC">
        <w:rPr>
          <w:rFonts w:ascii="Sylfaen" w:hAnsi="Sylfaen"/>
          <w:sz w:val="24"/>
          <w:szCs w:val="24"/>
        </w:rPr>
        <w:t xml:space="preserve">მოსალოდნელი ზარალის ანაზღაურების უზრუნველყოფის </w:t>
      </w:r>
      <w:r w:rsidR="002B1E6C" w:rsidRPr="00254DCC">
        <w:rPr>
          <w:rFonts w:ascii="Sylfaen" w:hAnsi="Sylfaen"/>
          <w:sz w:val="24"/>
          <w:szCs w:val="24"/>
        </w:rPr>
        <w:t xml:space="preserve">ღონისძიების გამოყენების აუცილებლობის შემოწმება ან </w:t>
      </w:r>
      <w:r w:rsidR="00FE6B0D" w:rsidRPr="00254DCC">
        <w:rPr>
          <w:rFonts w:ascii="Sylfaen" w:hAnsi="Sylfaen"/>
          <w:sz w:val="24"/>
          <w:szCs w:val="24"/>
        </w:rPr>
        <w:t>სასამართლომ</w:t>
      </w:r>
      <w:r w:rsidR="002B1E6C" w:rsidRPr="00254DCC">
        <w:rPr>
          <w:rFonts w:ascii="Sylfaen" w:hAnsi="Sylfaen"/>
          <w:sz w:val="24"/>
          <w:szCs w:val="24"/>
        </w:rPr>
        <w:t xml:space="preserve"> შეამოწმოს მხოლოდ სარჩელის უზრუნველყოფის ღონისძიების გაუქმების შესახებ განჩინება, რაც თავისი არსით წარმოადგენს ფაქტების კონსტანტაციის აქტს და მხოლოდ მისი შემოწმება </w:t>
      </w:r>
      <w:r w:rsidR="002B1E6C" w:rsidRPr="00254DCC">
        <w:rPr>
          <w:rFonts w:ascii="Sylfaen" w:hAnsi="Sylfaen"/>
          <w:sz w:val="24"/>
          <w:szCs w:val="24"/>
        </w:rPr>
        <w:lastRenderedPageBreak/>
        <w:t xml:space="preserve">მხარისათვის არავითარი შედეგის მომტანი არ იქნება. სადავო ნორმასთან დაკავშირებით </w:t>
      </w:r>
      <w:r w:rsidR="00EA2F8C" w:rsidRPr="00254DCC">
        <w:rPr>
          <w:rFonts w:ascii="Sylfaen" w:hAnsi="Sylfaen"/>
          <w:sz w:val="24"/>
          <w:szCs w:val="24"/>
        </w:rPr>
        <w:t xml:space="preserve"> არ არსებობს სასამართლოს ჩამოყალიბებული პრაქტიკა, რაც კიდევ უფრო ზრდის ადამიანის უფლებების დარღვევის რისკს.</w:t>
      </w:r>
    </w:p>
    <w:p w14:paraId="65742624" w14:textId="77777777" w:rsidR="00EA2F8C" w:rsidRPr="00254DCC" w:rsidRDefault="00EA2F8C"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ყოველივე ზემოაღნიშნულიდან გამომდინარე, მოსარჩელეს მიაჩნია, რომ სადავო ნორმა ეწინააღმდეგება საქართველოს კონსტიტუციის 42-ე მუხლის პირველ პუნქტს.</w:t>
      </w:r>
    </w:p>
    <w:p w14:paraId="6DADE6B5" w14:textId="1A55BA32" w:rsidR="009F0188" w:rsidRPr="00254DCC" w:rsidRDefault="00770512"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მოპასუხე მხარის </w:t>
      </w:r>
      <w:r w:rsidR="009F0188" w:rsidRPr="00254DCC">
        <w:rPr>
          <w:rFonts w:ascii="Sylfaen" w:hAnsi="Sylfaen"/>
          <w:sz w:val="24"/>
          <w:szCs w:val="24"/>
        </w:rPr>
        <w:t xml:space="preserve">პოზიციით, საკანონმდებლო ორგანო სარგებლობს დისკრეციული უფლებამოსილებით მოაწესრიგოს სასამართლოს აქტის გასაჩივრების წესი და ვადები. სარჩელის უზრუნველყოფისა და მოსალოდნელი ზარალის ანაზღაურების უზრუნველყოფის ღონისძიებები წარმოადგენს განსაკუთრებული ხასიათის </w:t>
      </w:r>
      <w:r w:rsidR="00FE6B0D" w:rsidRPr="00254DCC">
        <w:rPr>
          <w:rFonts w:ascii="Sylfaen" w:hAnsi="Sylfaen"/>
          <w:sz w:val="24"/>
          <w:szCs w:val="24"/>
        </w:rPr>
        <w:t>მექანიზმებს</w:t>
      </w:r>
      <w:r w:rsidR="009F0188" w:rsidRPr="00254DCC">
        <w:rPr>
          <w:rFonts w:ascii="Sylfaen" w:hAnsi="Sylfaen"/>
          <w:sz w:val="24"/>
          <w:szCs w:val="24"/>
        </w:rPr>
        <w:t xml:space="preserve">, რომლებიც მიმართულია სასამართლოს საბოლოო გადაწყვეტილების </w:t>
      </w:r>
      <w:r w:rsidR="000E3CD4">
        <w:rPr>
          <w:rFonts w:ascii="Sylfaen" w:hAnsi="Sylfaen"/>
          <w:sz w:val="24"/>
          <w:szCs w:val="24"/>
        </w:rPr>
        <w:t>აღსრულების ხელშეწყობისკენ</w:t>
      </w:r>
      <w:r w:rsidR="009F0188" w:rsidRPr="00254DCC">
        <w:rPr>
          <w:rFonts w:ascii="Sylfaen" w:hAnsi="Sylfaen"/>
          <w:sz w:val="24"/>
          <w:szCs w:val="24"/>
        </w:rPr>
        <w:t xml:space="preserve">. მათი სპეციფიური სამართლებრივი ბუნება </w:t>
      </w:r>
      <w:r w:rsidR="00AA3041" w:rsidRPr="00254DCC">
        <w:rPr>
          <w:rFonts w:ascii="Sylfaen" w:hAnsi="Sylfaen"/>
          <w:sz w:val="24"/>
          <w:szCs w:val="24"/>
        </w:rPr>
        <w:t>ქმნის საჭიროებას</w:t>
      </w:r>
      <w:r w:rsidR="009F0188" w:rsidRPr="00254DCC">
        <w:rPr>
          <w:rFonts w:ascii="Sylfaen" w:hAnsi="Sylfaen"/>
          <w:sz w:val="24"/>
          <w:szCs w:val="24"/>
        </w:rPr>
        <w:t xml:space="preserve"> გასაჩივრებისა და ქმედების განხორციელებისათვის </w:t>
      </w:r>
      <w:r w:rsidR="00AA3041" w:rsidRPr="00254DCC">
        <w:rPr>
          <w:rFonts w:ascii="Sylfaen" w:hAnsi="Sylfaen"/>
          <w:sz w:val="24"/>
          <w:szCs w:val="24"/>
        </w:rPr>
        <w:t>დადგინდეს</w:t>
      </w:r>
      <w:r w:rsidR="009F0188" w:rsidRPr="00254DCC">
        <w:rPr>
          <w:rFonts w:ascii="Sylfaen" w:hAnsi="Sylfaen"/>
          <w:sz w:val="24"/>
          <w:szCs w:val="24"/>
        </w:rPr>
        <w:t xml:space="preserve"> შემჭიდროვებულ</w:t>
      </w:r>
      <w:r w:rsidR="00AA3041" w:rsidRPr="00254DCC">
        <w:rPr>
          <w:rFonts w:ascii="Sylfaen" w:hAnsi="Sylfaen"/>
          <w:sz w:val="24"/>
          <w:szCs w:val="24"/>
        </w:rPr>
        <w:t>ი</w:t>
      </w:r>
      <w:r w:rsidR="009F0188" w:rsidRPr="00254DCC">
        <w:rPr>
          <w:rFonts w:ascii="Sylfaen" w:hAnsi="Sylfaen"/>
          <w:sz w:val="24"/>
          <w:szCs w:val="24"/>
        </w:rPr>
        <w:t xml:space="preserve"> ვ</w:t>
      </w:r>
      <w:r w:rsidR="00AA3041" w:rsidRPr="00254DCC">
        <w:rPr>
          <w:rFonts w:ascii="Sylfaen" w:hAnsi="Sylfaen"/>
          <w:sz w:val="24"/>
          <w:szCs w:val="24"/>
        </w:rPr>
        <w:t>ადები</w:t>
      </w:r>
      <w:r w:rsidR="00043BB4" w:rsidRPr="00254DCC">
        <w:rPr>
          <w:rFonts w:ascii="Sylfaen" w:hAnsi="Sylfaen"/>
          <w:sz w:val="24"/>
          <w:szCs w:val="24"/>
        </w:rPr>
        <w:t xml:space="preserve">. </w:t>
      </w:r>
      <w:r w:rsidR="009F0188" w:rsidRPr="00254DCC">
        <w:rPr>
          <w:rFonts w:ascii="Sylfaen" w:hAnsi="Sylfaen" w:cs="Sylfaen"/>
          <w:sz w:val="24"/>
          <w:szCs w:val="24"/>
        </w:rPr>
        <w:t>საქართველოს</w:t>
      </w:r>
      <w:r w:rsidR="001B247B" w:rsidRPr="00254DCC">
        <w:rPr>
          <w:rFonts w:ascii="Sylfaen" w:hAnsi="Sylfaen"/>
          <w:sz w:val="24"/>
          <w:szCs w:val="24"/>
        </w:rPr>
        <w:t xml:space="preserve"> პარლამენტის</w:t>
      </w:r>
      <w:r w:rsidR="009F0188" w:rsidRPr="00254DCC">
        <w:rPr>
          <w:rFonts w:ascii="Sylfaen" w:hAnsi="Sylfaen"/>
          <w:sz w:val="24"/>
          <w:szCs w:val="24"/>
        </w:rPr>
        <w:t xml:space="preserve"> წარმომადგენლის განცხადებით, მოსალოდნელი ზარალის ანაზღაურების უზრუნველყოფისათვის დადგენილი 7 დღიანი ვადა წარმოადგენს გონივრულ დროს, რომლის განმავლობაშიც მხარეს შეუძლია შეასრულოს შესაბამისი მოქმედება. ამ ვადის</w:t>
      </w:r>
      <w:r w:rsidR="004727FD" w:rsidRPr="00254DCC">
        <w:rPr>
          <w:rFonts w:ascii="Sylfaen" w:hAnsi="Sylfaen"/>
          <w:sz w:val="24"/>
          <w:szCs w:val="24"/>
        </w:rPr>
        <w:t xml:space="preserve"> დადგენის</w:t>
      </w:r>
      <w:r w:rsidR="009F0188" w:rsidRPr="00254DCC">
        <w:rPr>
          <w:rFonts w:ascii="Sylfaen" w:hAnsi="Sylfaen"/>
          <w:sz w:val="24"/>
          <w:szCs w:val="24"/>
        </w:rPr>
        <w:t xml:space="preserve"> ლეგიტიმური მიზანია მხარეთა ინტერესების გათვალისწინებით ქმედითი</w:t>
      </w:r>
      <w:r w:rsidR="004C36CD" w:rsidRPr="00254DCC">
        <w:rPr>
          <w:rFonts w:ascii="Sylfaen" w:hAnsi="Sylfaen"/>
          <w:sz w:val="24"/>
          <w:szCs w:val="24"/>
        </w:rPr>
        <w:t>, სწრაფი, ეფექტური მართლმსაჯულების განხორციელება და მოპასუხის დაცვა სარჩელის უზრუნველყოფის ღონისძიების გამოყენებით მიყენებული ზიანისაგან.</w:t>
      </w:r>
    </w:p>
    <w:p w14:paraId="43788FAF" w14:textId="77757077" w:rsidR="004C36CD" w:rsidRPr="00254DCC" w:rsidRDefault="004C36CD"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მოპასუხე მხარის განმარტებით, კანონით გათვალისწინებული ვადის დაწესება მოსალოდნელი ზარალის ანაზღაურების უზრუნველყოფისათვის წარმოადგენს ლეგიტიმური მიზნის მიღწევის </w:t>
      </w:r>
      <w:r w:rsidR="00254DCC" w:rsidRPr="00254DCC">
        <w:rPr>
          <w:rFonts w:ascii="Sylfaen" w:hAnsi="Sylfaen"/>
          <w:sz w:val="24"/>
          <w:szCs w:val="24"/>
        </w:rPr>
        <w:t>აუცილებელ</w:t>
      </w:r>
      <w:r w:rsidRPr="00254DCC">
        <w:rPr>
          <w:rFonts w:ascii="Sylfaen" w:hAnsi="Sylfaen"/>
          <w:sz w:val="24"/>
          <w:szCs w:val="24"/>
        </w:rPr>
        <w:t xml:space="preserve"> და გამოსადეგ საშუალებას და იცავს მხარეთა თანასწორობას სამოქალაქო პროცესში. მოსამართლე მოსალოდნელი ზარალის ოდენობის გამოთვლისას </w:t>
      </w:r>
      <w:r w:rsidR="00B80B19" w:rsidRPr="00254DCC">
        <w:rPr>
          <w:rFonts w:ascii="Sylfaen" w:hAnsi="Sylfaen"/>
          <w:sz w:val="24"/>
          <w:szCs w:val="24"/>
        </w:rPr>
        <w:t>მხედველობაში იღებს</w:t>
      </w:r>
      <w:r w:rsidRPr="00254DCC">
        <w:rPr>
          <w:rFonts w:ascii="Sylfaen" w:hAnsi="Sylfaen"/>
          <w:sz w:val="24"/>
          <w:szCs w:val="24"/>
        </w:rPr>
        <w:t xml:space="preserve"> იმ გარემოებასაც, რომ მხარეს თანხის უზრუნველსაყოფად აქვს 7 დღიანი ვადა და ამის გათვალისწინებით აკისრებს მოსარჩელეს გონივრულ</w:t>
      </w:r>
      <w:r w:rsidR="00F95DD8">
        <w:rPr>
          <w:rFonts w:ascii="Sylfaen" w:hAnsi="Sylfaen"/>
          <w:sz w:val="24"/>
          <w:szCs w:val="24"/>
        </w:rPr>
        <w:t>ი</w:t>
      </w:r>
      <w:r w:rsidRPr="00254DCC">
        <w:rPr>
          <w:rFonts w:ascii="Sylfaen" w:hAnsi="Sylfaen"/>
          <w:sz w:val="24"/>
          <w:szCs w:val="24"/>
        </w:rPr>
        <w:t xml:space="preserve"> ოდენობით ზარალის ანაზღაურების უზრუნველყოფას, რითიც დაცულია არამხოლოდ მოპასუხის, არამედ თავად მოსარჩელის ინტერესებიც. სასამართლოს დისკრეცია, მხარეს განუსაზღვროს ვადა მოსალოდნელი ზარალის ანაზღაურების უზრუნველყოფისათვის </w:t>
      </w:r>
      <w:r w:rsidR="00F01811" w:rsidRPr="00254DCC">
        <w:rPr>
          <w:rFonts w:ascii="Sylfaen" w:hAnsi="Sylfaen"/>
          <w:sz w:val="24"/>
          <w:szCs w:val="24"/>
        </w:rPr>
        <w:t>წარმოშობს</w:t>
      </w:r>
      <w:r w:rsidRPr="00254DCC">
        <w:rPr>
          <w:rFonts w:ascii="Sylfaen" w:hAnsi="Sylfaen"/>
          <w:sz w:val="24"/>
          <w:szCs w:val="24"/>
        </w:rPr>
        <w:t xml:space="preserve"> </w:t>
      </w:r>
      <w:r w:rsidR="00F01811" w:rsidRPr="00254DCC">
        <w:rPr>
          <w:rFonts w:ascii="Sylfaen" w:hAnsi="Sylfaen"/>
          <w:sz w:val="24"/>
          <w:szCs w:val="24"/>
        </w:rPr>
        <w:t>არაერთგვაროვან პრაქტიკას, ამასთანავე მოსამართლეს შეეძლება</w:t>
      </w:r>
      <w:r w:rsidRPr="00254DCC">
        <w:rPr>
          <w:rFonts w:ascii="Sylfaen" w:hAnsi="Sylfaen"/>
          <w:sz w:val="24"/>
          <w:szCs w:val="24"/>
        </w:rPr>
        <w:t xml:space="preserve"> </w:t>
      </w:r>
      <w:r w:rsidR="00F01811" w:rsidRPr="00254DCC">
        <w:rPr>
          <w:rFonts w:ascii="Sylfaen" w:hAnsi="Sylfaen"/>
          <w:sz w:val="24"/>
          <w:szCs w:val="24"/>
        </w:rPr>
        <w:t xml:space="preserve">მოსარჩელეს განუსაზღვროს კანონით გათვალისწინებულზე უფრო მცირე ვადა, რაც მოსარჩელის მხრიდან ამ ქმედების </w:t>
      </w:r>
      <w:r w:rsidR="00F95DD8">
        <w:rPr>
          <w:rFonts w:ascii="Sylfaen" w:hAnsi="Sylfaen"/>
          <w:sz w:val="24"/>
          <w:szCs w:val="24"/>
        </w:rPr>
        <w:t>განხორციელებას გახდის შეუძლებელს.</w:t>
      </w:r>
      <w:r w:rsidR="00F01811" w:rsidRPr="00254DCC">
        <w:rPr>
          <w:rFonts w:ascii="Sylfaen" w:hAnsi="Sylfaen"/>
          <w:sz w:val="24"/>
          <w:szCs w:val="24"/>
        </w:rPr>
        <w:t xml:space="preserve"> </w:t>
      </w:r>
    </w:p>
    <w:p w14:paraId="0636E15D" w14:textId="28688BB3" w:rsidR="009C1C29" w:rsidRPr="00254DCC" w:rsidRDefault="00F01811" w:rsidP="00CC54A8">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lastRenderedPageBreak/>
        <w:t xml:space="preserve">მოპასუხე მხარემ საქმის არსებითი განხილვის სხდომაზე განაცხადა, რომ </w:t>
      </w:r>
      <w:r w:rsidR="00F84B58" w:rsidRPr="00254DCC">
        <w:rPr>
          <w:rFonts w:ascii="Sylfaen" w:hAnsi="Sylfaen"/>
          <w:sz w:val="24"/>
          <w:szCs w:val="24"/>
        </w:rPr>
        <w:t xml:space="preserve">მართალია მოსალოდნელი ზარალის ანაზღაურების უზრუნველყოფის შესახებ განჩინება დამოუკიდებლად არ საჩივრდება, თუმცა </w:t>
      </w:r>
      <w:r w:rsidR="009C1C29" w:rsidRPr="00254DCC">
        <w:rPr>
          <w:rFonts w:ascii="Sylfaen" w:hAnsi="Sylfaen"/>
          <w:sz w:val="24"/>
          <w:szCs w:val="24"/>
        </w:rPr>
        <w:t>სამოქალაქო საპროცესო კოდექსის 199-ე მუხლის მე-2 ნაწილი ითვალისწინებს სარჩელის უზრუნველყოფის</w:t>
      </w:r>
      <w:r w:rsidR="001B247B" w:rsidRPr="00254DCC">
        <w:rPr>
          <w:rFonts w:ascii="Sylfaen" w:hAnsi="Sylfaen"/>
          <w:sz w:val="24"/>
          <w:szCs w:val="24"/>
        </w:rPr>
        <w:t xml:space="preserve"> ღონისძიების</w:t>
      </w:r>
      <w:r w:rsidR="009C1C29" w:rsidRPr="00254DCC">
        <w:rPr>
          <w:rFonts w:ascii="Sylfaen" w:hAnsi="Sylfaen"/>
          <w:sz w:val="24"/>
          <w:szCs w:val="24"/>
        </w:rPr>
        <w:t xml:space="preserve"> გაუქმების შესახებ განჩინების გასაჩივრების შესაძლებლობას</w:t>
      </w:r>
      <w:r w:rsidR="00CC54A8">
        <w:rPr>
          <w:rFonts w:ascii="Sylfaen" w:hAnsi="Sylfaen"/>
          <w:sz w:val="24"/>
          <w:szCs w:val="24"/>
        </w:rPr>
        <w:t>.</w:t>
      </w:r>
      <w:r w:rsidR="009C1C29" w:rsidRPr="00254DCC">
        <w:rPr>
          <w:rFonts w:ascii="Sylfaen" w:hAnsi="Sylfaen"/>
          <w:sz w:val="24"/>
          <w:szCs w:val="24"/>
        </w:rPr>
        <w:t xml:space="preserve"> სასამართლო სარჩელის უზრუნველყოფის გაუქმების შესახებ განჩინების გასაჩივრებისას აფასებს მისი გაუქმების საფუძვლებს, ასეთ საფუძველს კი 199-ე მუხლის მე-2 ნაწილის მიხედვით წარმოადგენს მოსალოდნელი ზარალის ანაზღაურების უზრუნველყოფის შესახებ განჩინების შეუსრულებლობა. შესაბამისად, </w:t>
      </w:r>
      <w:r w:rsidR="00CC54A8">
        <w:rPr>
          <w:rFonts w:ascii="Sylfaen" w:hAnsi="Sylfaen"/>
          <w:sz w:val="24"/>
          <w:szCs w:val="24"/>
        </w:rPr>
        <w:t>ხსენებული განჩინება</w:t>
      </w:r>
      <w:r w:rsidR="009C1C29" w:rsidRPr="00254DCC">
        <w:rPr>
          <w:rFonts w:ascii="Sylfaen" w:hAnsi="Sylfaen"/>
          <w:sz w:val="24"/>
          <w:szCs w:val="24"/>
        </w:rPr>
        <w:t xml:space="preserve"> კაუზალურად უკავშირდება სარჩელის უზრუნველყოფის გაუქმების შესახებ განჩინებას</w:t>
      </w:r>
      <w:r w:rsidR="00CC54A8">
        <w:rPr>
          <w:rFonts w:ascii="Sylfaen" w:hAnsi="Sylfaen"/>
          <w:sz w:val="24"/>
          <w:szCs w:val="24"/>
        </w:rPr>
        <w:t xml:space="preserve"> და მათი კანონიერების საკითხი ერთობლივად არის </w:t>
      </w:r>
      <w:proofErr w:type="spellStart"/>
      <w:r w:rsidR="00CC54A8">
        <w:rPr>
          <w:rFonts w:ascii="Sylfaen" w:hAnsi="Sylfaen"/>
          <w:sz w:val="24"/>
          <w:szCs w:val="24"/>
        </w:rPr>
        <w:t>შემოწმებადი</w:t>
      </w:r>
      <w:proofErr w:type="spellEnd"/>
      <w:r w:rsidR="009C1C29" w:rsidRPr="00254DCC">
        <w:rPr>
          <w:rFonts w:ascii="Sylfaen" w:hAnsi="Sylfaen"/>
          <w:sz w:val="24"/>
          <w:szCs w:val="24"/>
        </w:rPr>
        <w:t xml:space="preserve">. </w:t>
      </w:r>
    </w:p>
    <w:p w14:paraId="2E0CA649" w14:textId="1B94B3E4" w:rsidR="009C1C29" w:rsidRPr="00254DCC" w:rsidRDefault="009C1C29"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ყოველივე ზემოაღნიშნულიდან გამომდინარე, საქართველოს პარლამენტის პოზიციით</w:t>
      </w:r>
      <w:r w:rsidR="00605F16" w:rsidRPr="00254DCC">
        <w:rPr>
          <w:rFonts w:ascii="Sylfaen" w:hAnsi="Sylfaen"/>
          <w:sz w:val="24"/>
          <w:szCs w:val="24"/>
        </w:rPr>
        <w:t xml:space="preserve"> სადავო ნორმა შეესაბამება კონსტიტუციის 42-ე მუხლის პირველი პუნქტის მოთხოვნებს</w:t>
      </w:r>
      <w:r w:rsidR="003A25C1">
        <w:rPr>
          <w:rFonts w:ascii="Sylfaen" w:hAnsi="Sylfaen"/>
          <w:sz w:val="24"/>
          <w:szCs w:val="24"/>
        </w:rPr>
        <w:t>.</w:t>
      </w:r>
      <w:r w:rsidR="00605F16" w:rsidRPr="00254DCC">
        <w:rPr>
          <w:rFonts w:ascii="Sylfaen" w:hAnsi="Sylfaen"/>
          <w:sz w:val="24"/>
          <w:szCs w:val="24"/>
        </w:rPr>
        <w:t xml:space="preserve"> მართალია იგი იწვევს სასამართლოსადმი მიმართვის უფლების შეზღუდვას, თუმცა ეს შეზღუდვა დაბალანსებულია და შეესაბამება თანაზომიერების პრინციპ</w:t>
      </w:r>
      <w:r w:rsidR="00CC54A8">
        <w:rPr>
          <w:rFonts w:ascii="Sylfaen" w:hAnsi="Sylfaen"/>
          <w:sz w:val="24"/>
          <w:szCs w:val="24"/>
        </w:rPr>
        <w:t>ის მოთხოვნებს</w:t>
      </w:r>
      <w:r w:rsidR="00605F16" w:rsidRPr="00254DCC">
        <w:rPr>
          <w:rFonts w:ascii="Sylfaen" w:hAnsi="Sylfaen"/>
          <w:sz w:val="24"/>
          <w:szCs w:val="24"/>
        </w:rPr>
        <w:t>.</w:t>
      </w:r>
    </w:p>
    <w:p w14:paraId="52E12DFA" w14:textId="7552CCB0" w:rsidR="007F33FF" w:rsidRPr="00254DCC" w:rsidRDefault="007F33FF" w:rsidP="00F22AAD">
      <w:pPr>
        <w:pStyle w:val="ListParagraph"/>
        <w:numPr>
          <w:ilvl w:val="0"/>
          <w:numId w:val="1"/>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საქმეზე </w:t>
      </w:r>
      <w:r w:rsidR="004727FD" w:rsidRPr="00254DCC">
        <w:rPr>
          <w:rFonts w:ascii="Sylfaen" w:hAnsi="Sylfaen"/>
          <w:sz w:val="24"/>
          <w:szCs w:val="24"/>
        </w:rPr>
        <w:t xml:space="preserve">მოწმის </w:t>
      </w:r>
      <w:r w:rsidR="003A25C1">
        <w:rPr>
          <w:rFonts w:ascii="Sylfaen" w:hAnsi="Sylfaen"/>
          <w:sz w:val="24"/>
          <w:szCs w:val="24"/>
        </w:rPr>
        <w:t>სტატუსით</w:t>
      </w:r>
      <w:r w:rsidR="004727FD" w:rsidRPr="00254DCC">
        <w:rPr>
          <w:rFonts w:ascii="Sylfaen" w:hAnsi="Sylfaen"/>
          <w:sz w:val="24"/>
          <w:szCs w:val="24"/>
        </w:rPr>
        <w:t xml:space="preserve"> მოწვეულ</w:t>
      </w:r>
      <w:r w:rsidR="00CC54A8">
        <w:rPr>
          <w:rFonts w:ascii="Sylfaen" w:hAnsi="Sylfaen"/>
          <w:sz w:val="24"/>
          <w:szCs w:val="24"/>
        </w:rPr>
        <w:t>ი</w:t>
      </w:r>
      <w:r w:rsidRPr="00254DCC">
        <w:rPr>
          <w:rFonts w:ascii="Sylfaen" w:hAnsi="Sylfaen"/>
          <w:sz w:val="24"/>
          <w:szCs w:val="24"/>
        </w:rPr>
        <w:t xml:space="preserve"> </w:t>
      </w:r>
      <w:r w:rsidR="00B23A24" w:rsidRPr="00254DCC">
        <w:rPr>
          <w:rFonts w:ascii="Sylfaen" w:hAnsi="Sylfaen"/>
          <w:sz w:val="24"/>
          <w:szCs w:val="24"/>
        </w:rPr>
        <w:t>სამოქალაქო საპროცესო სამართ</w:t>
      </w:r>
      <w:r w:rsidR="003B556F" w:rsidRPr="00254DCC">
        <w:rPr>
          <w:rFonts w:ascii="Sylfaen" w:hAnsi="Sylfaen"/>
          <w:sz w:val="24"/>
          <w:szCs w:val="24"/>
        </w:rPr>
        <w:t>ლ</w:t>
      </w:r>
      <w:r w:rsidR="00B23A24" w:rsidRPr="00254DCC">
        <w:rPr>
          <w:rFonts w:ascii="Sylfaen" w:hAnsi="Sylfaen"/>
          <w:sz w:val="24"/>
          <w:szCs w:val="24"/>
        </w:rPr>
        <w:t xml:space="preserve">ის </w:t>
      </w:r>
      <w:r w:rsidR="00253DAB" w:rsidRPr="00254DCC">
        <w:rPr>
          <w:rFonts w:ascii="Sylfaen" w:hAnsi="Sylfaen"/>
          <w:sz w:val="24"/>
          <w:szCs w:val="24"/>
        </w:rPr>
        <w:t>სპეციალისტ</w:t>
      </w:r>
      <w:r w:rsidR="00CC54A8">
        <w:rPr>
          <w:rFonts w:ascii="Sylfaen" w:hAnsi="Sylfaen"/>
          <w:sz w:val="24"/>
          <w:szCs w:val="24"/>
        </w:rPr>
        <w:t>ის</w:t>
      </w:r>
      <w:r w:rsidR="00253DAB" w:rsidRPr="00254DCC">
        <w:rPr>
          <w:rFonts w:ascii="Sylfaen" w:hAnsi="Sylfaen"/>
          <w:sz w:val="24"/>
          <w:szCs w:val="24"/>
        </w:rPr>
        <w:t xml:space="preserve">, </w:t>
      </w:r>
      <w:r w:rsidR="00B23A24" w:rsidRPr="00254DCC">
        <w:rPr>
          <w:rFonts w:ascii="Sylfaen" w:hAnsi="Sylfaen"/>
          <w:sz w:val="24"/>
          <w:szCs w:val="24"/>
        </w:rPr>
        <w:t xml:space="preserve">ლევან ჯანაშიას </w:t>
      </w:r>
      <w:r w:rsidRPr="00254DCC">
        <w:rPr>
          <w:rFonts w:ascii="Sylfaen" w:hAnsi="Sylfaen"/>
          <w:sz w:val="24"/>
          <w:szCs w:val="24"/>
        </w:rPr>
        <w:t xml:space="preserve">განმარტებით,  სადავო ნორმით დადგენილი 7 დღიანი ვადა გონივრულია, რათა მხარეს მიეცეს შესაძლებლობა განახორციელოს მოსალოდნელი ზარალის გარანტირება. </w:t>
      </w:r>
      <w:r w:rsidR="003A25C1">
        <w:rPr>
          <w:rFonts w:ascii="Sylfaen" w:hAnsi="Sylfaen" w:cs="Sylfaen"/>
          <w:sz w:val="24"/>
          <w:szCs w:val="24"/>
        </w:rPr>
        <w:t>მოწმის</w:t>
      </w:r>
      <w:r w:rsidRPr="00254DCC">
        <w:rPr>
          <w:rFonts w:ascii="Sylfaen" w:hAnsi="Sylfaen"/>
          <w:sz w:val="24"/>
          <w:szCs w:val="24"/>
        </w:rPr>
        <w:t xml:space="preserve"> </w:t>
      </w:r>
      <w:r w:rsidR="0006307B" w:rsidRPr="00254DCC">
        <w:rPr>
          <w:rFonts w:ascii="Sylfaen" w:hAnsi="Sylfaen"/>
          <w:sz w:val="24"/>
          <w:szCs w:val="24"/>
        </w:rPr>
        <w:t>განცხადებით</w:t>
      </w:r>
      <w:r w:rsidRPr="00254DCC">
        <w:rPr>
          <w:rFonts w:ascii="Sylfaen" w:hAnsi="Sylfaen"/>
          <w:sz w:val="24"/>
          <w:szCs w:val="24"/>
        </w:rPr>
        <w:t>, იმ შემთხვევაში თუ მოსალოდნელი ზარალის უზრუნველყოფისთვის ვადას დაადგენს სასამართლო თავისუფალი დისკრეციის ფარგლებში, მხარეთა მდგომარეობა გაუარესდება, რამდენადაც მათ</w:t>
      </w:r>
      <w:r w:rsidR="003A25C1">
        <w:rPr>
          <w:rFonts w:ascii="Sylfaen" w:hAnsi="Sylfaen"/>
          <w:sz w:val="24"/>
          <w:szCs w:val="24"/>
        </w:rPr>
        <w:t xml:space="preserve"> </w:t>
      </w:r>
      <w:r w:rsidR="003A25C1" w:rsidRPr="00254DCC">
        <w:rPr>
          <w:rFonts w:ascii="Sylfaen" w:hAnsi="Sylfaen"/>
          <w:sz w:val="24"/>
          <w:szCs w:val="24"/>
        </w:rPr>
        <w:t>წინასწარ</w:t>
      </w:r>
      <w:r w:rsidRPr="00254DCC">
        <w:rPr>
          <w:rFonts w:ascii="Sylfaen" w:hAnsi="Sylfaen"/>
          <w:sz w:val="24"/>
          <w:szCs w:val="24"/>
        </w:rPr>
        <w:t xml:space="preserve"> არ ეცოდინებათ თუ რა ვადა ექნებათ </w:t>
      </w:r>
      <w:r w:rsidR="0006307B" w:rsidRPr="00254DCC">
        <w:rPr>
          <w:rFonts w:ascii="Sylfaen" w:hAnsi="Sylfaen"/>
          <w:sz w:val="24"/>
          <w:szCs w:val="24"/>
        </w:rPr>
        <w:t xml:space="preserve">განჩინების შესასრულებლად და სრულად იქნებიან დამოკიდებულნი მოსამართლის გადაწყვეტილებაზე. </w:t>
      </w:r>
    </w:p>
    <w:p w14:paraId="23ADA8B0" w14:textId="5B495A8B" w:rsidR="0006307B" w:rsidRPr="00254DCC" w:rsidRDefault="003A25C1" w:rsidP="00F22AAD">
      <w:pPr>
        <w:pStyle w:val="ListParagraph"/>
        <w:numPr>
          <w:ilvl w:val="0"/>
          <w:numId w:val="1"/>
        </w:numPr>
        <w:tabs>
          <w:tab w:val="left" w:pos="900"/>
        </w:tabs>
        <w:spacing w:after="0"/>
        <w:ind w:left="0" w:firstLine="360"/>
        <w:jc w:val="both"/>
        <w:rPr>
          <w:rFonts w:ascii="Sylfaen" w:hAnsi="Sylfaen"/>
          <w:sz w:val="24"/>
          <w:szCs w:val="24"/>
        </w:rPr>
      </w:pPr>
      <w:r>
        <w:rPr>
          <w:rFonts w:ascii="Sylfaen" w:hAnsi="Sylfaen"/>
          <w:sz w:val="24"/>
          <w:szCs w:val="24"/>
        </w:rPr>
        <w:t>მოწმის</w:t>
      </w:r>
      <w:r w:rsidR="0006307B" w:rsidRPr="00254DCC">
        <w:rPr>
          <w:rFonts w:ascii="Sylfaen" w:hAnsi="Sylfaen"/>
          <w:sz w:val="24"/>
          <w:szCs w:val="24"/>
        </w:rPr>
        <w:t xml:space="preserve"> მოსაზრებით, სამოქალაქო საპროცესო კოდექსის 199-ე მუხლის მე-2 ნაწილი უშვებს მოსალოდნელი ზარალის ანაზღაურების უზრუნველყოფის შესახებ განჩინების გასაჩივრების შესაძლებლობას 7 დღიანი ვადის უშედეგოდ გასვლის შემდეგ სარჩელის უზრუნველყოფის</w:t>
      </w:r>
      <w:r>
        <w:rPr>
          <w:rFonts w:ascii="Sylfaen" w:hAnsi="Sylfaen"/>
          <w:sz w:val="24"/>
          <w:szCs w:val="24"/>
        </w:rPr>
        <w:t xml:space="preserve"> ღონისძიების</w:t>
      </w:r>
      <w:r w:rsidR="0006307B" w:rsidRPr="00254DCC">
        <w:rPr>
          <w:rFonts w:ascii="Sylfaen" w:hAnsi="Sylfaen"/>
          <w:sz w:val="24"/>
          <w:szCs w:val="24"/>
        </w:rPr>
        <w:t xml:space="preserve"> გაუქმებასთან ერთად. </w:t>
      </w:r>
      <w:r w:rsidR="007238EC" w:rsidRPr="00254DCC">
        <w:rPr>
          <w:rFonts w:ascii="Sylfaen" w:hAnsi="Sylfaen"/>
          <w:sz w:val="24"/>
          <w:szCs w:val="24"/>
        </w:rPr>
        <w:t>თუმცა, ამ შემთხვევაში სასამართლო ამოწმებს ნამდვილად არსებობდა თუ არა მოსალოდნელი ზარალის უზრუნველყოფის ღონისძიების გამოყენების საფუძველი, მოსალოდნელი ზარალის ოდენობა და გამოთვლის წესი კი აღნიშნული საჩივრის ფარგლებში ვერ გახდება სასამართლოს მსჯელობის საგანი.</w:t>
      </w:r>
    </w:p>
    <w:p w14:paraId="59A54E76" w14:textId="721F1ECC" w:rsidR="006B1AE0" w:rsidRPr="00254DCC" w:rsidRDefault="003A25C1" w:rsidP="00F22AAD">
      <w:pPr>
        <w:pStyle w:val="ListParagraph"/>
        <w:numPr>
          <w:ilvl w:val="0"/>
          <w:numId w:val="1"/>
        </w:numPr>
        <w:tabs>
          <w:tab w:val="left" w:pos="900"/>
        </w:tabs>
        <w:spacing w:after="0"/>
        <w:ind w:left="0" w:firstLine="360"/>
        <w:jc w:val="both"/>
        <w:rPr>
          <w:rFonts w:ascii="Sylfaen" w:hAnsi="Sylfaen"/>
          <w:sz w:val="24"/>
          <w:szCs w:val="24"/>
        </w:rPr>
      </w:pPr>
      <w:r>
        <w:rPr>
          <w:rFonts w:ascii="Sylfaen" w:hAnsi="Sylfaen"/>
          <w:sz w:val="24"/>
          <w:szCs w:val="24"/>
        </w:rPr>
        <w:lastRenderedPageBreak/>
        <w:t>მოწმე</w:t>
      </w:r>
      <w:r w:rsidR="0006307B" w:rsidRPr="00254DCC">
        <w:rPr>
          <w:rFonts w:ascii="Sylfaen" w:hAnsi="Sylfaen"/>
          <w:sz w:val="24"/>
          <w:szCs w:val="24"/>
        </w:rPr>
        <w:t xml:space="preserve"> მიუთითებს, რომ ნორმა ხარვეზიანი ან პრობლემურია მხოლოდ იმ შემთხვევაში თუ იგი ერთ-ერთ მხარეს უპირატეს მდგომარეობაში აყენებს ან არ აძლევს  საკუთარი უფლების სრულყოფილი რეალიზაციის საშუალებას. მოცემულ შემთხვევაში, სადავო ნორმა მხარეს </w:t>
      </w:r>
      <w:r w:rsidR="00AC1DB3" w:rsidRPr="00254DCC">
        <w:rPr>
          <w:rFonts w:ascii="Sylfaen" w:hAnsi="Sylfaen"/>
          <w:sz w:val="24"/>
          <w:szCs w:val="24"/>
        </w:rPr>
        <w:t>ანიჭებს</w:t>
      </w:r>
      <w:r w:rsidR="0006307B" w:rsidRPr="00254DCC">
        <w:rPr>
          <w:rFonts w:ascii="Sylfaen" w:hAnsi="Sylfaen"/>
          <w:sz w:val="24"/>
          <w:szCs w:val="24"/>
        </w:rPr>
        <w:t xml:space="preserve"> მოსალოდნელი ზარალის ანაზღაურების  უზრუნველყოფის შესახებ განჩინების გასაჩივრების შესაძლებლობას და ადგენს ქმედების განხორციელებისთვის გონივრულ ვადას, შესაბამისად სამოქალაქო საპროცესო კოდექსის 199-ე მუხლის მე-2 ნაწილი ამ ასპექტში კონსტიტუციის შესაბამისია.</w:t>
      </w:r>
    </w:p>
    <w:p w14:paraId="57F426FC" w14:textId="77777777" w:rsidR="003938BF" w:rsidRDefault="003938BF" w:rsidP="00F22AAD">
      <w:pPr>
        <w:pStyle w:val="BodyA"/>
        <w:tabs>
          <w:tab w:val="left" w:pos="900"/>
          <w:tab w:val="left" w:pos="990"/>
        </w:tabs>
        <w:spacing w:after="0"/>
        <w:ind w:left="720" w:firstLine="360"/>
        <w:jc w:val="both"/>
        <w:rPr>
          <w:rFonts w:ascii="Sylfaen" w:eastAsia="Sylfaen" w:hAnsi="Sylfaen" w:cs="Sylfaen"/>
          <w:b/>
          <w:bCs/>
          <w:sz w:val="24"/>
          <w:szCs w:val="24"/>
          <w:lang w:val="ka-GE"/>
        </w:rPr>
      </w:pPr>
    </w:p>
    <w:p w14:paraId="1FDFE62E" w14:textId="77777777" w:rsidR="00254DCC" w:rsidRDefault="00254DCC" w:rsidP="00F22AAD">
      <w:pPr>
        <w:pStyle w:val="BodyA"/>
        <w:tabs>
          <w:tab w:val="left" w:pos="900"/>
          <w:tab w:val="left" w:pos="990"/>
        </w:tabs>
        <w:spacing w:after="0"/>
        <w:ind w:left="720" w:firstLine="360"/>
        <w:jc w:val="both"/>
        <w:rPr>
          <w:rFonts w:ascii="Sylfaen" w:eastAsia="Sylfaen" w:hAnsi="Sylfaen" w:cs="Sylfaen"/>
          <w:b/>
          <w:bCs/>
          <w:sz w:val="24"/>
          <w:szCs w:val="24"/>
          <w:lang w:val="ka-GE"/>
        </w:rPr>
      </w:pPr>
    </w:p>
    <w:p w14:paraId="6B8E395E" w14:textId="77777777" w:rsidR="00254DCC" w:rsidRPr="00254DCC" w:rsidRDefault="00254DCC" w:rsidP="00F22AAD">
      <w:pPr>
        <w:pStyle w:val="BodyA"/>
        <w:tabs>
          <w:tab w:val="left" w:pos="900"/>
          <w:tab w:val="left" w:pos="990"/>
        </w:tabs>
        <w:spacing w:after="0"/>
        <w:ind w:left="720" w:firstLine="360"/>
        <w:jc w:val="both"/>
        <w:rPr>
          <w:rFonts w:ascii="Sylfaen" w:eastAsia="Sylfaen" w:hAnsi="Sylfaen" w:cs="Sylfaen"/>
          <w:b/>
          <w:bCs/>
          <w:sz w:val="24"/>
          <w:szCs w:val="24"/>
          <w:lang w:val="ka-GE"/>
        </w:rPr>
      </w:pPr>
    </w:p>
    <w:p w14:paraId="2BD3E0E0" w14:textId="3FD60E1F" w:rsidR="003938BF" w:rsidRPr="00C97694" w:rsidRDefault="003938BF" w:rsidP="00C97694">
      <w:pPr>
        <w:pStyle w:val="Heading1"/>
        <w:tabs>
          <w:tab w:val="clear" w:pos="900"/>
        </w:tabs>
        <w:rPr>
          <w:rFonts w:eastAsia="Sylfaen"/>
          <w:bCs/>
        </w:rPr>
      </w:pPr>
      <w:r w:rsidRPr="00254DCC">
        <w:rPr>
          <w:rFonts w:eastAsia="Sylfaen"/>
          <w:bCs/>
        </w:rPr>
        <w:t>II</w:t>
      </w:r>
      <w:r w:rsidR="00C97694">
        <w:rPr>
          <w:rFonts w:eastAsia="Sylfaen"/>
          <w:bCs/>
        </w:rPr>
        <w:br/>
      </w:r>
      <w:r w:rsidRPr="00254DCC">
        <w:t>სამოტივაციო ნაწილი</w:t>
      </w:r>
    </w:p>
    <w:p w14:paraId="27CBD0D4" w14:textId="77777777" w:rsidR="000B2F42" w:rsidRPr="00254DCC" w:rsidRDefault="000B2F42" w:rsidP="000B2F42">
      <w:pPr>
        <w:pStyle w:val="BodyA"/>
        <w:rPr>
          <w:rFonts w:ascii="Sylfaen" w:hAnsi="Sylfaen"/>
          <w:lang w:val="ka-GE"/>
        </w:rPr>
      </w:pPr>
    </w:p>
    <w:p w14:paraId="7A66BCAD" w14:textId="64FCDFF3" w:rsidR="003938BF" w:rsidRPr="00254DCC" w:rsidRDefault="003938BF" w:rsidP="00F22AAD">
      <w:pPr>
        <w:pStyle w:val="ListParagraph1"/>
        <w:numPr>
          <w:ilvl w:val="0"/>
          <w:numId w:val="4"/>
        </w:numPr>
        <w:tabs>
          <w:tab w:val="left" w:pos="900"/>
        </w:tabs>
        <w:spacing w:after="0"/>
        <w:ind w:left="0" w:firstLine="360"/>
        <w:jc w:val="both"/>
        <w:rPr>
          <w:rFonts w:ascii="Sylfaen" w:eastAsia="Sylfaen" w:hAnsi="Sylfaen" w:cs="Sylfaen"/>
          <w:sz w:val="24"/>
          <w:szCs w:val="24"/>
          <w:lang w:val="ka-GE"/>
        </w:rPr>
      </w:pPr>
      <w:r w:rsidRPr="00254DCC">
        <w:rPr>
          <w:rFonts w:ascii="Sylfaen" w:eastAsia="Sylfaen" w:hAnsi="Sylfaen" w:cs="Sylfaen"/>
          <w:sz w:val="24"/>
          <w:szCs w:val="24"/>
          <w:lang w:val="ka-GE"/>
        </w:rPr>
        <w:t xml:space="preserve">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w:t>
      </w:r>
      <w:r w:rsidR="00B31001" w:rsidRPr="00254DCC">
        <w:rPr>
          <w:rFonts w:ascii="Sylfaen" w:eastAsia="Sylfaen" w:hAnsi="Sylfaen" w:cs="Sylfaen"/>
          <w:sz w:val="24"/>
          <w:szCs w:val="24"/>
          <w:lang w:val="ka-GE"/>
        </w:rPr>
        <w:t xml:space="preserve">აღნიშნული კონსტიტუციური </w:t>
      </w:r>
      <w:r w:rsidR="00DD4F25" w:rsidRPr="00254DCC">
        <w:rPr>
          <w:rFonts w:ascii="Sylfaen" w:eastAsia="Sylfaen" w:hAnsi="Sylfaen" w:cs="Sylfaen"/>
          <w:sz w:val="24"/>
          <w:szCs w:val="24"/>
          <w:lang w:val="ka-GE"/>
        </w:rPr>
        <w:t xml:space="preserve">დებულებით განმტკიცებულია სამართლებრივი სახელმწიფოს უმნიშვნელოვანესი ელემენტი, სამართლიანი სასამართლოს უფლება, </w:t>
      </w:r>
      <w:r w:rsidR="003A25C1">
        <w:rPr>
          <w:rFonts w:ascii="Sylfaen" w:eastAsia="Sylfaen" w:hAnsi="Sylfaen" w:cs="Sylfaen"/>
          <w:sz w:val="24"/>
          <w:szCs w:val="24"/>
          <w:lang w:val="ka-GE"/>
        </w:rPr>
        <w:t>რომ</w:t>
      </w:r>
      <w:r w:rsidR="00DD4F25" w:rsidRPr="00254DCC">
        <w:rPr>
          <w:rFonts w:ascii="Sylfaen" w:eastAsia="Sylfaen" w:hAnsi="Sylfaen" w:cs="Sylfaen"/>
          <w:sz w:val="24"/>
          <w:szCs w:val="24"/>
          <w:lang w:val="ka-GE"/>
        </w:rPr>
        <w:t xml:space="preserve">ლის მთავარ მიზანსაც წარმოადგენს კონსტიტუციური უფლებების ეფექტური რეალიზაციის </w:t>
      </w:r>
      <w:r w:rsidR="005D7728" w:rsidRPr="00254DCC">
        <w:rPr>
          <w:rFonts w:ascii="Sylfaen" w:eastAsia="Sylfaen" w:hAnsi="Sylfaen" w:cs="Sylfaen"/>
          <w:sz w:val="24"/>
          <w:szCs w:val="24"/>
          <w:lang w:val="ka-GE"/>
        </w:rPr>
        <w:t xml:space="preserve">ხელშეწყობა </w:t>
      </w:r>
      <w:r w:rsidR="00DD4F25" w:rsidRPr="00254DCC">
        <w:rPr>
          <w:rFonts w:ascii="Sylfaen" w:eastAsia="Sylfaen" w:hAnsi="Sylfaen" w:cs="Sylfaen"/>
          <w:sz w:val="24"/>
          <w:szCs w:val="24"/>
          <w:lang w:val="ka-GE"/>
        </w:rPr>
        <w:t>და უფლებაში გაუმართლებელი ჩარევისაგან დაცვის ქმედითი მექანიზმების შექმნა.</w:t>
      </w:r>
    </w:p>
    <w:p w14:paraId="0D92F97C" w14:textId="4CE500CF" w:rsidR="000A1D26" w:rsidRPr="00254DCC" w:rsidRDefault="008D73DD" w:rsidP="00B42B73">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eastAsia="Sylfaen" w:hAnsi="Sylfaen" w:cs="Sylfaen"/>
          <w:sz w:val="24"/>
          <w:szCs w:val="24"/>
          <w:lang w:val="ka-GE"/>
        </w:rPr>
        <w:t xml:space="preserve">საკონსტიტუციო სასამართლოს არაერთხელ აღუნიშნავს, რომ </w:t>
      </w:r>
      <w:r w:rsidR="000C7802" w:rsidRPr="00254DCC">
        <w:rPr>
          <w:rFonts w:ascii="Sylfaen" w:hAnsi="Sylfaen" w:cs="Sylfaen"/>
          <w:sz w:val="24"/>
          <w:szCs w:val="24"/>
          <w:lang w:val="ka-GE"/>
        </w:rPr>
        <w:t>სამართლიანი</w:t>
      </w:r>
      <w:r w:rsidR="000C7802" w:rsidRPr="00254DCC">
        <w:rPr>
          <w:rFonts w:ascii="Sylfaen" w:hAnsi="Sylfaen"/>
          <w:sz w:val="24"/>
          <w:szCs w:val="24"/>
          <w:lang w:val="ka-GE"/>
        </w:rPr>
        <w:t xml:space="preserve"> </w:t>
      </w:r>
      <w:r w:rsidR="000C7802" w:rsidRPr="00254DCC">
        <w:rPr>
          <w:rFonts w:ascii="Sylfaen" w:hAnsi="Sylfaen" w:cs="Sylfaen"/>
          <w:sz w:val="24"/>
          <w:szCs w:val="24"/>
          <w:lang w:val="ka-GE"/>
        </w:rPr>
        <w:t>სასამართლოს</w:t>
      </w:r>
      <w:r w:rsidR="000C7802" w:rsidRPr="00254DCC">
        <w:rPr>
          <w:rFonts w:ascii="Sylfaen" w:hAnsi="Sylfaen"/>
          <w:sz w:val="24"/>
          <w:szCs w:val="24"/>
          <w:lang w:val="ka-GE"/>
        </w:rPr>
        <w:t xml:space="preserve"> </w:t>
      </w:r>
      <w:r w:rsidR="000C7802" w:rsidRPr="00254DCC">
        <w:rPr>
          <w:rFonts w:ascii="Sylfaen" w:hAnsi="Sylfaen" w:cs="Sylfaen"/>
          <w:sz w:val="24"/>
          <w:szCs w:val="24"/>
          <w:lang w:val="ka-GE"/>
        </w:rPr>
        <w:t>უფლება</w:t>
      </w:r>
      <w:r w:rsidR="0012063E" w:rsidRPr="00254DCC">
        <w:rPr>
          <w:rFonts w:ascii="Sylfaen" w:hAnsi="Sylfaen" w:cs="Sylfaen"/>
          <w:sz w:val="24"/>
          <w:szCs w:val="24"/>
          <w:lang w:val="ka-GE"/>
        </w:rPr>
        <w:t>, როგორც ადამიანის უფლებათა და თავისუფლებათა დაცვის</w:t>
      </w:r>
      <w:r w:rsidRPr="00254DCC">
        <w:rPr>
          <w:rFonts w:ascii="Sylfaen" w:hAnsi="Sylfaen" w:cs="Sylfaen"/>
          <w:sz w:val="24"/>
          <w:szCs w:val="24"/>
          <w:lang w:val="ka-GE"/>
        </w:rPr>
        <w:t xml:space="preserve"> ინსტრუმენტულ</w:t>
      </w:r>
      <w:r w:rsidR="0012063E" w:rsidRPr="00254DCC">
        <w:rPr>
          <w:rFonts w:ascii="Sylfaen" w:hAnsi="Sylfaen" w:cs="Sylfaen"/>
          <w:sz w:val="24"/>
          <w:szCs w:val="24"/>
          <w:lang w:val="ka-GE"/>
        </w:rPr>
        <w:t xml:space="preserve">ი გარანტია, </w:t>
      </w:r>
      <w:r w:rsidR="00B27415" w:rsidRPr="00254DCC">
        <w:rPr>
          <w:rFonts w:ascii="Sylfaen" w:hAnsi="Sylfaen" w:cs="Sylfaen"/>
          <w:sz w:val="24"/>
          <w:szCs w:val="24"/>
          <w:lang w:val="ka-GE"/>
        </w:rPr>
        <w:t>„</w:t>
      </w:r>
      <w:r w:rsidR="00B27415" w:rsidRPr="00254DCC">
        <w:rPr>
          <w:rFonts w:ascii="Sylfaen" w:hAnsi="Sylfaen"/>
          <w:sz w:val="24"/>
          <w:szCs w:val="24"/>
          <w:lang w:val="ka-GE"/>
        </w:rPr>
        <w:t>მოიაზრებს ყველა სამართლებრივ მექანიზმს, რომელიც უზრუნველყოფს უფლებებისა და კანონიერი ინტერესების სასამართლო წესით სრულყოფილი და ეფექტური დაცვის შესაძლებლობას“ (საქართველოს საკონსტიტუციო სასამართლოს 2014 წლის 24 დეკემბრის №3/3/601 გადაწყვეტილება საქმეზე „</w:t>
      </w:r>
      <w:r w:rsidR="00B27415" w:rsidRPr="00254DCC">
        <w:rPr>
          <w:rFonts w:ascii="Sylfaen" w:hAnsi="Sylfaen" w:cs="Sylfaen"/>
          <w:sz w:val="24"/>
          <w:szCs w:val="24"/>
          <w:lang w:val="ka-GE"/>
        </w:rPr>
        <w:t>საქართველოს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უზენაესი</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სასამართლოს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კონსტიტუციური</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წარდგინება</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საქართველოს</w:t>
      </w:r>
      <w:r w:rsidR="00B27415" w:rsidRPr="00254DCC">
        <w:rPr>
          <w:rFonts w:ascii="Sylfaen" w:hAnsi="Sylfaen" w:cs="AcadNusx"/>
          <w:sz w:val="24"/>
          <w:szCs w:val="24"/>
          <w:lang w:val="ka-GE"/>
        </w:rPr>
        <w:t xml:space="preserve"> 1998 </w:t>
      </w:r>
      <w:r w:rsidR="00B27415" w:rsidRPr="00254DCC">
        <w:rPr>
          <w:rFonts w:ascii="Sylfaen" w:hAnsi="Sylfaen" w:cs="Sylfaen"/>
          <w:sz w:val="24"/>
          <w:szCs w:val="24"/>
          <w:lang w:val="ka-GE"/>
        </w:rPr>
        <w:t>წლის</w:t>
      </w:r>
      <w:r w:rsidR="00B27415" w:rsidRPr="00254DCC">
        <w:rPr>
          <w:rFonts w:ascii="Sylfaen" w:hAnsi="Sylfaen" w:cs="AcadNusx"/>
          <w:sz w:val="24"/>
          <w:szCs w:val="24"/>
          <w:lang w:val="ka-GE"/>
        </w:rPr>
        <w:t xml:space="preserve"> 20 </w:t>
      </w:r>
      <w:r w:rsidR="00B27415" w:rsidRPr="00254DCC">
        <w:rPr>
          <w:rFonts w:ascii="Sylfaen" w:hAnsi="Sylfaen" w:cs="Sylfaen"/>
          <w:sz w:val="24"/>
          <w:szCs w:val="24"/>
          <w:lang w:val="ka-GE"/>
        </w:rPr>
        <w:t>თებერვლის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სისხლის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სამართლის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საპროცესო</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კოდექსის</w:t>
      </w:r>
      <w:r w:rsidR="00B27415" w:rsidRPr="00254DCC">
        <w:rPr>
          <w:rFonts w:ascii="Sylfaen" w:hAnsi="Sylfaen" w:cs="AcadNusx"/>
          <w:sz w:val="24"/>
          <w:szCs w:val="24"/>
          <w:lang w:val="ka-GE"/>
        </w:rPr>
        <w:t xml:space="preserve"> 546-</w:t>
      </w:r>
      <w:r w:rsidR="00B27415" w:rsidRPr="00254DCC">
        <w:rPr>
          <w:rFonts w:ascii="Sylfaen" w:hAnsi="Sylfaen" w:cs="Sylfaen"/>
          <w:sz w:val="24"/>
          <w:szCs w:val="24"/>
          <w:lang w:val="ka-GE"/>
        </w:rPr>
        <w:t>ე</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მუხლის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და</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ამავე</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კოდექსის</w:t>
      </w:r>
      <w:r w:rsidR="00B27415" w:rsidRPr="00254DCC">
        <w:rPr>
          <w:rFonts w:ascii="Sylfaen" w:hAnsi="Sylfaen" w:cs="AcadNusx"/>
          <w:sz w:val="24"/>
          <w:szCs w:val="24"/>
          <w:lang w:val="ka-GE"/>
        </w:rPr>
        <w:t xml:space="preserve"> 518-</w:t>
      </w:r>
      <w:r w:rsidR="00B27415" w:rsidRPr="00254DCC">
        <w:rPr>
          <w:rFonts w:ascii="Sylfaen" w:hAnsi="Sylfaen" w:cs="Sylfaen"/>
          <w:sz w:val="24"/>
          <w:szCs w:val="24"/>
          <w:lang w:val="ka-GE"/>
        </w:rPr>
        <w:t>ე</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მუხლის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პირველი</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ნაწილის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კონსტიტუციურობის</w:t>
      </w:r>
      <w:r w:rsidR="00B27415" w:rsidRPr="00254DCC">
        <w:rPr>
          <w:rFonts w:ascii="Sylfaen" w:hAnsi="Sylfaen" w:cs="AcadNusx"/>
          <w:sz w:val="24"/>
          <w:szCs w:val="24"/>
          <w:lang w:val="ka-GE"/>
        </w:rPr>
        <w:t xml:space="preserve"> </w:t>
      </w:r>
      <w:r w:rsidR="00B27415" w:rsidRPr="00254DCC">
        <w:rPr>
          <w:rFonts w:ascii="Sylfaen" w:hAnsi="Sylfaen" w:cs="Sylfaen"/>
          <w:sz w:val="24"/>
          <w:szCs w:val="24"/>
          <w:lang w:val="ka-GE"/>
        </w:rPr>
        <w:t>თაობაზე“</w:t>
      </w:r>
      <w:r w:rsidR="00B27415" w:rsidRPr="00254DCC">
        <w:rPr>
          <w:rFonts w:ascii="Sylfaen" w:hAnsi="Sylfaen"/>
          <w:sz w:val="24"/>
          <w:szCs w:val="24"/>
          <w:lang w:val="ka-GE"/>
        </w:rPr>
        <w:t>, II-9).</w:t>
      </w:r>
      <w:r w:rsidR="00670122" w:rsidRPr="00254DCC">
        <w:rPr>
          <w:rFonts w:ascii="Sylfaen" w:hAnsi="Sylfaen"/>
          <w:sz w:val="24"/>
          <w:szCs w:val="24"/>
          <w:lang w:val="ka-GE"/>
        </w:rPr>
        <w:t xml:space="preserve"> საკონსტიტუციო სასამართლოს პრაქტიკის თანახმად, </w:t>
      </w:r>
      <w:r w:rsidR="00707C11" w:rsidRPr="00254DCC">
        <w:rPr>
          <w:rFonts w:ascii="Sylfaen" w:hAnsi="Sylfaen"/>
          <w:sz w:val="24"/>
          <w:szCs w:val="24"/>
          <w:lang w:val="ka-GE"/>
        </w:rPr>
        <w:t xml:space="preserve">საქართველოს კონსტიტუციის 42-ე მუხლის პირველი პუნქტით დაცული სფერო </w:t>
      </w:r>
      <w:r w:rsidRPr="00254DCC">
        <w:rPr>
          <w:rFonts w:ascii="Sylfaen" w:hAnsi="Sylfaen"/>
          <w:sz w:val="24"/>
          <w:szCs w:val="24"/>
          <w:lang w:val="ka-GE"/>
        </w:rPr>
        <w:t>„</w:t>
      </w:r>
      <w:r w:rsidR="000C7802" w:rsidRPr="00254DCC">
        <w:rPr>
          <w:rFonts w:ascii="Sylfaen" w:hAnsi="Sylfaen" w:cs="Sylfaen"/>
          <w:sz w:val="24"/>
          <w:szCs w:val="24"/>
          <w:lang w:val="ka-GE"/>
        </w:rPr>
        <w:t>არაერთი</w:t>
      </w:r>
      <w:r w:rsidR="000C7802" w:rsidRPr="00254DCC">
        <w:rPr>
          <w:rFonts w:ascii="Sylfaen" w:hAnsi="Sylfaen"/>
          <w:sz w:val="24"/>
          <w:szCs w:val="24"/>
          <w:lang w:val="ka-GE"/>
        </w:rPr>
        <w:t xml:space="preserve"> </w:t>
      </w:r>
      <w:r w:rsidR="000C7802" w:rsidRPr="00254DCC">
        <w:rPr>
          <w:rFonts w:ascii="Sylfaen" w:hAnsi="Sylfaen" w:cs="Sylfaen"/>
          <w:sz w:val="24"/>
          <w:szCs w:val="24"/>
          <w:lang w:val="ka-GE"/>
        </w:rPr>
        <w:t>უფლებრივი</w:t>
      </w:r>
      <w:r w:rsidR="000C7802" w:rsidRPr="00254DCC">
        <w:rPr>
          <w:rFonts w:ascii="Sylfaen" w:hAnsi="Sylfaen"/>
          <w:sz w:val="24"/>
          <w:szCs w:val="24"/>
          <w:lang w:val="ka-GE"/>
        </w:rPr>
        <w:t xml:space="preserve"> </w:t>
      </w:r>
      <w:r w:rsidR="000C7802" w:rsidRPr="00254DCC">
        <w:rPr>
          <w:rFonts w:ascii="Sylfaen" w:hAnsi="Sylfaen" w:cs="Sylfaen"/>
          <w:sz w:val="24"/>
          <w:szCs w:val="24"/>
          <w:lang w:val="ka-GE"/>
        </w:rPr>
        <w:t>კომპონენტისგან</w:t>
      </w:r>
      <w:r w:rsidR="000C7802" w:rsidRPr="00254DCC">
        <w:rPr>
          <w:rFonts w:ascii="Sylfaen" w:hAnsi="Sylfaen"/>
          <w:sz w:val="24"/>
          <w:szCs w:val="24"/>
          <w:lang w:val="ka-GE"/>
        </w:rPr>
        <w:t xml:space="preserve">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w:t>
      </w:r>
      <w:r w:rsidR="000C7802" w:rsidRPr="00254DCC">
        <w:rPr>
          <w:rFonts w:ascii="Sylfaen" w:hAnsi="Sylfaen"/>
          <w:sz w:val="24"/>
          <w:szCs w:val="24"/>
          <w:lang w:val="ka-GE"/>
        </w:rPr>
        <w:lastRenderedPageBreak/>
        <w:t>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p w14:paraId="370D3BB9" w14:textId="4698A182" w:rsidR="00DF7A8C" w:rsidRPr="00254DCC" w:rsidRDefault="000C7802" w:rsidP="00B42B73">
      <w:pPr>
        <w:pStyle w:val="ListParagraph1"/>
        <w:numPr>
          <w:ilvl w:val="0"/>
          <w:numId w:val="4"/>
        </w:numPr>
        <w:tabs>
          <w:tab w:val="left" w:pos="900"/>
        </w:tabs>
        <w:spacing w:after="0"/>
        <w:ind w:left="0" w:firstLine="360"/>
        <w:jc w:val="both"/>
        <w:rPr>
          <w:rFonts w:ascii="Sylfaen" w:hAnsi="Sylfaen"/>
          <w:color w:val="FF0000"/>
          <w:sz w:val="24"/>
          <w:szCs w:val="24"/>
          <w:lang w:val="ka-GE"/>
        </w:rPr>
      </w:pPr>
      <w:r w:rsidRPr="00254DCC">
        <w:rPr>
          <w:rFonts w:ascii="Sylfaen" w:hAnsi="Sylfaen"/>
          <w:sz w:val="24"/>
          <w:szCs w:val="24"/>
          <w:lang w:val="ka-GE"/>
        </w:rPr>
        <w:t>სამოქალაქო საპროცესო კოდექსის 199-ე მუხლის პირველი ნაწილის თანახმად</w:t>
      </w:r>
      <w:r w:rsidR="00707C11" w:rsidRPr="00254DCC">
        <w:rPr>
          <w:rFonts w:ascii="Sylfaen" w:hAnsi="Sylfaen"/>
          <w:sz w:val="24"/>
          <w:szCs w:val="24"/>
          <w:lang w:val="ka-GE"/>
        </w:rPr>
        <w:t>,</w:t>
      </w:r>
      <w:r w:rsidR="003A7462" w:rsidRPr="00254DCC">
        <w:rPr>
          <w:rFonts w:ascii="Sylfaen" w:hAnsi="Sylfaen"/>
          <w:sz w:val="24"/>
          <w:szCs w:val="24"/>
          <w:lang w:val="ka-GE"/>
        </w:rPr>
        <w:t xml:space="preserve"> „თუ სასამართლო მიიჩნევს, რომ სარჩელის უზრუნველყოფის ღონისძიების გამოყენებით მოპასუხეს შეიძლება მიადგეს ზარალი, მას შეუძლია გამოიყენოს სარჩელის უზრუნველყოფის ღონისძიება და იმავდროულად მოსთხოვოს პირს, რომელმაც მიმართა სასამართლოს სარჩელის უზრუნველყოფის შესახებ, მეორე მხარისათვის მოსალოდნელი ზარალის ანაზღაურების უზრუნველყოფა</w:t>
      </w:r>
      <w:r w:rsidR="000B2F42" w:rsidRPr="00254DCC">
        <w:rPr>
          <w:rFonts w:ascii="Sylfaen" w:hAnsi="Sylfaen"/>
          <w:sz w:val="24"/>
          <w:szCs w:val="24"/>
          <w:lang w:val="ka-GE"/>
        </w:rPr>
        <w:t>“</w:t>
      </w:r>
      <w:r w:rsidR="003A7462" w:rsidRPr="00254DCC">
        <w:rPr>
          <w:rFonts w:ascii="Sylfaen" w:hAnsi="Sylfaen"/>
          <w:sz w:val="24"/>
          <w:szCs w:val="24"/>
          <w:lang w:val="ka-GE"/>
        </w:rPr>
        <w:t>.</w:t>
      </w:r>
      <w:r w:rsidRPr="00254DCC">
        <w:rPr>
          <w:rFonts w:ascii="Sylfaen" w:hAnsi="Sylfaen"/>
          <w:sz w:val="24"/>
          <w:szCs w:val="24"/>
          <w:lang w:val="ka-GE"/>
        </w:rPr>
        <w:t xml:space="preserve"> </w:t>
      </w:r>
      <w:r w:rsidR="00076691" w:rsidRPr="00254DCC">
        <w:rPr>
          <w:rFonts w:ascii="Sylfaen" w:hAnsi="Sylfaen"/>
          <w:sz w:val="24"/>
          <w:szCs w:val="24"/>
          <w:lang w:val="ka-GE"/>
        </w:rPr>
        <w:t xml:space="preserve">ამავე მუხლის 199-ე მუხლის მე-2 ნაწილი </w:t>
      </w:r>
      <w:r w:rsidRPr="00254DCC">
        <w:rPr>
          <w:rFonts w:ascii="Sylfaen" w:hAnsi="Sylfaen"/>
          <w:sz w:val="24"/>
          <w:szCs w:val="24"/>
          <w:lang w:val="ka-GE"/>
        </w:rPr>
        <w:t>მოსალოდნელი ზარალის ანაზღაურების უზრუნველყოფის ვადა</w:t>
      </w:r>
      <w:r w:rsidR="00602221" w:rsidRPr="00254DCC">
        <w:rPr>
          <w:rFonts w:ascii="Sylfaen" w:hAnsi="Sylfaen"/>
          <w:sz w:val="24"/>
          <w:szCs w:val="24"/>
          <w:lang w:val="ka-GE"/>
        </w:rPr>
        <w:t xml:space="preserve">დ </w:t>
      </w:r>
      <w:r w:rsidR="000B2F42" w:rsidRPr="00254DCC">
        <w:rPr>
          <w:rFonts w:ascii="Sylfaen" w:hAnsi="Sylfaen"/>
          <w:sz w:val="24"/>
          <w:szCs w:val="24"/>
          <w:lang w:val="ka-GE"/>
        </w:rPr>
        <w:t>განსაზღვრავს</w:t>
      </w:r>
      <w:r w:rsidRPr="00254DCC">
        <w:rPr>
          <w:rFonts w:ascii="Sylfaen" w:hAnsi="Sylfaen"/>
          <w:sz w:val="24"/>
          <w:szCs w:val="24"/>
          <w:lang w:val="ka-GE"/>
        </w:rPr>
        <w:t xml:space="preserve"> 7 დღე</w:t>
      </w:r>
      <w:r w:rsidR="00602221" w:rsidRPr="00254DCC">
        <w:rPr>
          <w:rFonts w:ascii="Sylfaen" w:hAnsi="Sylfaen"/>
          <w:sz w:val="24"/>
          <w:szCs w:val="24"/>
          <w:lang w:val="ka-GE"/>
        </w:rPr>
        <w:t>ს</w:t>
      </w:r>
      <w:r w:rsidR="00076691" w:rsidRPr="00254DCC">
        <w:rPr>
          <w:rFonts w:ascii="Sylfaen" w:hAnsi="Sylfaen"/>
          <w:sz w:val="24"/>
          <w:szCs w:val="24"/>
          <w:lang w:val="ka-GE"/>
        </w:rPr>
        <w:t>, ხოლო</w:t>
      </w:r>
      <w:r w:rsidR="00602221" w:rsidRPr="00254DCC">
        <w:rPr>
          <w:rFonts w:ascii="Sylfaen" w:hAnsi="Sylfaen"/>
          <w:sz w:val="24"/>
          <w:szCs w:val="24"/>
          <w:lang w:val="ka-GE"/>
        </w:rPr>
        <w:t xml:space="preserve"> ამ</w:t>
      </w:r>
      <w:r w:rsidRPr="00254DCC">
        <w:rPr>
          <w:rFonts w:ascii="Sylfaen" w:hAnsi="Sylfaen"/>
          <w:sz w:val="24"/>
          <w:szCs w:val="24"/>
          <w:lang w:val="ka-GE"/>
        </w:rPr>
        <w:t xml:space="preserve">  ვადაში განჩინების შეუსრულებლობა იწვევს სარჩელის უზრუნველყოფის ღონისძიების გაუქმებას. </w:t>
      </w:r>
      <w:r w:rsidR="00CE640D" w:rsidRPr="00254DCC">
        <w:rPr>
          <w:rFonts w:ascii="Sylfaen" w:hAnsi="Sylfaen"/>
          <w:sz w:val="24"/>
          <w:szCs w:val="24"/>
          <w:lang w:val="ka-GE"/>
        </w:rPr>
        <w:t xml:space="preserve"> </w:t>
      </w:r>
      <w:r w:rsidR="00CE640D" w:rsidRPr="00254DCC">
        <w:rPr>
          <w:rFonts w:ascii="Sylfaen" w:hAnsi="Sylfaen"/>
          <w:color w:val="auto"/>
          <w:sz w:val="24"/>
          <w:szCs w:val="24"/>
          <w:lang w:val="ka-GE"/>
        </w:rPr>
        <w:t xml:space="preserve">მოსარჩელე </w:t>
      </w:r>
      <w:r w:rsidR="00DF7A8C" w:rsidRPr="00254DCC">
        <w:rPr>
          <w:rFonts w:ascii="Sylfaen" w:hAnsi="Sylfaen"/>
          <w:color w:val="auto"/>
          <w:sz w:val="24"/>
          <w:szCs w:val="24"/>
          <w:lang w:val="ka-GE"/>
        </w:rPr>
        <w:t>მხარის პოზიციით</w:t>
      </w:r>
      <w:r w:rsidR="009E1CD4" w:rsidRPr="00254DCC">
        <w:rPr>
          <w:rFonts w:ascii="Sylfaen" w:hAnsi="Sylfaen"/>
          <w:color w:val="auto"/>
          <w:sz w:val="24"/>
          <w:szCs w:val="24"/>
          <w:lang w:val="ka-GE"/>
        </w:rPr>
        <w:t>,</w:t>
      </w:r>
      <w:r w:rsidR="00DF7A8C" w:rsidRPr="00254DCC">
        <w:rPr>
          <w:rFonts w:ascii="Sylfaen" w:hAnsi="Sylfaen"/>
          <w:color w:val="auto"/>
          <w:sz w:val="24"/>
          <w:szCs w:val="24"/>
          <w:lang w:val="ka-GE"/>
        </w:rPr>
        <w:t xml:space="preserve"> სადავო ნორმ</w:t>
      </w:r>
      <w:r w:rsidR="00E34837" w:rsidRPr="00254DCC">
        <w:rPr>
          <w:rFonts w:ascii="Sylfaen" w:hAnsi="Sylfaen"/>
          <w:color w:val="auto"/>
          <w:sz w:val="24"/>
          <w:szCs w:val="24"/>
          <w:lang w:val="ka-GE"/>
        </w:rPr>
        <w:t xml:space="preserve">ა არ შეესაბამება </w:t>
      </w:r>
      <w:r w:rsidR="00F45724">
        <w:rPr>
          <w:rFonts w:ascii="Sylfaen" w:hAnsi="Sylfaen"/>
          <w:color w:val="auto"/>
          <w:sz w:val="24"/>
          <w:szCs w:val="24"/>
          <w:lang w:val="ka-GE"/>
        </w:rPr>
        <w:t xml:space="preserve">საქართველოს </w:t>
      </w:r>
      <w:r w:rsidR="00E34837" w:rsidRPr="00254DCC">
        <w:rPr>
          <w:rFonts w:ascii="Sylfaen" w:hAnsi="Sylfaen"/>
          <w:color w:val="auto"/>
          <w:sz w:val="24"/>
          <w:szCs w:val="24"/>
          <w:lang w:val="ka-GE"/>
        </w:rPr>
        <w:t xml:space="preserve">კონსტიტუციას </w:t>
      </w:r>
      <w:r w:rsidR="009E1CD4" w:rsidRPr="00254DCC">
        <w:rPr>
          <w:rFonts w:ascii="Sylfaen" w:hAnsi="Sylfaen"/>
          <w:color w:val="auto"/>
          <w:sz w:val="24"/>
          <w:szCs w:val="24"/>
          <w:lang w:val="ka-GE"/>
        </w:rPr>
        <w:t>მისი ბლანკეტური ხასიათი</w:t>
      </w:r>
      <w:r w:rsidR="00E34837" w:rsidRPr="00254DCC">
        <w:rPr>
          <w:rFonts w:ascii="Sylfaen" w:hAnsi="Sylfaen"/>
          <w:color w:val="auto"/>
          <w:sz w:val="24"/>
          <w:szCs w:val="24"/>
          <w:lang w:val="ka-GE"/>
        </w:rPr>
        <w:t xml:space="preserve">დან გამომდინარე. </w:t>
      </w:r>
      <w:r w:rsidR="00DF7A8C" w:rsidRPr="00254DCC">
        <w:rPr>
          <w:rFonts w:ascii="Sylfaen" w:hAnsi="Sylfaen"/>
          <w:color w:val="auto"/>
          <w:sz w:val="24"/>
          <w:szCs w:val="24"/>
          <w:lang w:val="ka-GE"/>
        </w:rPr>
        <w:t xml:space="preserve">კერძოდ, მოსამართლე ვალდებულია </w:t>
      </w:r>
      <w:r w:rsidR="009E1CD4" w:rsidRPr="00254DCC">
        <w:rPr>
          <w:rFonts w:ascii="Sylfaen" w:hAnsi="Sylfaen"/>
          <w:color w:val="auto"/>
          <w:sz w:val="24"/>
          <w:szCs w:val="24"/>
          <w:lang w:val="ka-GE"/>
        </w:rPr>
        <w:t xml:space="preserve">საქმის ინდივიდუალური გარემოებების შესწავლის გარეშე, ყველა შემთხვევაში </w:t>
      </w:r>
      <w:r w:rsidR="00DF7A8C" w:rsidRPr="00254DCC">
        <w:rPr>
          <w:rFonts w:ascii="Sylfaen" w:hAnsi="Sylfaen"/>
          <w:color w:val="auto"/>
          <w:sz w:val="24"/>
          <w:szCs w:val="24"/>
          <w:lang w:val="ka-GE"/>
        </w:rPr>
        <w:t xml:space="preserve">მხარეს გარანტიის წარსადგენად </w:t>
      </w:r>
      <w:r w:rsidR="009E1CD4" w:rsidRPr="00254DCC">
        <w:rPr>
          <w:rFonts w:ascii="Sylfaen" w:hAnsi="Sylfaen"/>
          <w:color w:val="auto"/>
          <w:sz w:val="24"/>
          <w:szCs w:val="24"/>
          <w:lang w:val="ka-GE"/>
        </w:rPr>
        <w:t>7 დღიანი ვადა</w:t>
      </w:r>
      <w:r w:rsidR="00F45724">
        <w:rPr>
          <w:rFonts w:ascii="Sylfaen" w:hAnsi="Sylfaen"/>
          <w:color w:val="auto"/>
          <w:sz w:val="24"/>
          <w:szCs w:val="24"/>
          <w:lang w:val="ka-GE"/>
        </w:rPr>
        <w:t xml:space="preserve"> </w:t>
      </w:r>
      <w:r w:rsidR="00F45724" w:rsidRPr="00254DCC">
        <w:rPr>
          <w:rFonts w:ascii="Sylfaen" w:hAnsi="Sylfaen"/>
          <w:color w:val="auto"/>
          <w:sz w:val="24"/>
          <w:szCs w:val="24"/>
          <w:lang w:val="ka-GE"/>
        </w:rPr>
        <w:t>განუსაზღვროს</w:t>
      </w:r>
      <w:r w:rsidR="009E1CD4" w:rsidRPr="00254DCC">
        <w:rPr>
          <w:rFonts w:ascii="Sylfaen" w:hAnsi="Sylfaen"/>
          <w:color w:val="auto"/>
          <w:sz w:val="24"/>
          <w:szCs w:val="24"/>
          <w:lang w:val="ka-GE"/>
        </w:rPr>
        <w:t>.</w:t>
      </w:r>
      <w:r w:rsidR="00B36875" w:rsidRPr="00254DCC">
        <w:rPr>
          <w:rFonts w:ascii="Sylfaen" w:hAnsi="Sylfaen"/>
          <w:color w:val="auto"/>
          <w:sz w:val="24"/>
          <w:szCs w:val="24"/>
          <w:lang w:val="ka-GE"/>
        </w:rPr>
        <w:t xml:space="preserve"> </w:t>
      </w:r>
      <w:r w:rsidR="009740DA" w:rsidRPr="00254DCC">
        <w:rPr>
          <w:rFonts w:ascii="Sylfaen" w:hAnsi="Sylfaen"/>
          <w:color w:val="auto"/>
          <w:sz w:val="24"/>
          <w:szCs w:val="24"/>
          <w:lang w:val="ka-GE"/>
        </w:rPr>
        <w:t>მოსარჩელის არგუმენტაციით,</w:t>
      </w:r>
      <w:r w:rsidR="00DF7A8C" w:rsidRPr="00254DCC">
        <w:rPr>
          <w:rFonts w:ascii="Sylfaen" w:hAnsi="Sylfaen"/>
          <w:color w:val="auto"/>
          <w:sz w:val="24"/>
          <w:szCs w:val="24"/>
          <w:lang w:val="ka-GE"/>
        </w:rPr>
        <w:t xml:space="preserve"> </w:t>
      </w:r>
      <w:r w:rsidR="009740DA" w:rsidRPr="00254DCC">
        <w:rPr>
          <w:rFonts w:ascii="Sylfaen" w:hAnsi="Sylfaen"/>
          <w:color w:val="auto"/>
          <w:sz w:val="24"/>
          <w:szCs w:val="24"/>
          <w:lang w:val="ka-GE"/>
        </w:rPr>
        <w:t xml:space="preserve">სადავო ნორმის არაკონსტიტუციურობას განაპირობებს ის ფაქტორიც, რომ </w:t>
      </w:r>
      <w:r w:rsidR="00DF7A8C" w:rsidRPr="00254DCC">
        <w:rPr>
          <w:rFonts w:ascii="Sylfaen" w:hAnsi="Sylfaen"/>
          <w:color w:val="auto"/>
          <w:sz w:val="24"/>
          <w:szCs w:val="24"/>
          <w:lang w:val="ka-GE"/>
        </w:rPr>
        <w:t xml:space="preserve">მას არ აქვს </w:t>
      </w:r>
      <w:r w:rsidR="009E1CD4" w:rsidRPr="00254DCC">
        <w:rPr>
          <w:rFonts w:ascii="Sylfaen" w:hAnsi="Sylfaen"/>
          <w:color w:val="auto"/>
          <w:sz w:val="24"/>
          <w:szCs w:val="24"/>
          <w:lang w:val="ka-GE"/>
        </w:rPr>
        <w:t>მოსალოდნელი ზარალის</w:t>
      </w:r>
      <w:r w:rsidR="009740DA" w:rsidRPr="00254DCC">
        <w:rPr>
          <w:rFonts w:ascii="Sylfaen" w:hAnsi="Sylfaen"/>
          <w:color w:val="auto"/>
          <w:sz w:val="24"/>
          <w:szCs w:val="24"/>
          <w:lang w:val="ka-GE"/>
        </w:rPr>
        <w:t xml:space="preserve"> ანაზღაურების </w:t>
      </w:r>
      <w:r w:rsidR="009E1CD4" w:rsidRPr="00254DCC">
        <w:rPr>
          <w:rFonts w:ascii="Sylfaen" w:hAnsi="Sylfaen"/>
          <w:color w:val="auto"/>
          <w:sz w:val="24"/>
          <w:szCs w:val="24"/>
          <w:lang w:val="ka-GE"/>
        </w:rPr>
        <w:t xml:space="preserve"> უზრუნველყოფის </w:t>
      </w:r>
      <w:r w:rsidR="009740DA" w:rsidRPr="00254DCC">
        <w:rPr>
          <w:rFonts w:ascii="Sylfaen" w:hAnsi="Sylfaen"/>
          <w:color w:val="auto"/>
          <w:sz w:val="24"/>
          <w:szCs w:val="24"/>
          <w:lang w:val="ka-GE"/>
        </w:rPr>
        <w:t>დაკისრების შესახებ</w:t>
      </w:r>
      <w:r w:rsidR="00DF7A8C" w:rsidRPr="00254DCC">
        <w:rPr>
          <w:rFonts w:ascii="Sylfaen" w:hAnsi="Sylfaen"/>
          <w:color w:val="auto"/>
          <w:sz w:val="24"/>
          <w:szCs w:val="24"/>
          <w:lang w:val="ka-GE"/>
        </w:rPr>
        <w:t xml:space="preserve"> განჩინების გასაჩივრების შესაძლებლობა</w:t>
      </w:r>
      <w:r w:rsidR="009740DA" w:rsidRPr="00254DCC">
        <w:rPr>
          <w:rFonts w:ascii="Sylfaen" w:hAnsi="Sylfaen"/>
          <w:color w:val="auto"/>
          <w:sz w:val="24"/>
          <w:szCs w:val="24"/>
          <w:lang w:val="ka-GE"/>
        </w:rPr>
        <w:t>.</w:t>
      </w:r>
    </w:p>
    <w:p w14:paraId="5DAFD664" w14:textId="68A71248" w:rsidR="00DF7A8C" w:rsidRPr="00254DCC" w:rsidRDefault="00DF7A8C" w:rsidP="002B65A8">
      <w:pPr>
        <w:pStyle w:val="ListParagraph1"/>
        <w:numPr>
          <w:ilvl w:val="0"/>
          <w:numId w:val="4"/>
        </w:numPr>
        <w:tabs>
          <w:tab w:val="left" w:pos="900"/>
        </w:tabs>
        <w:spacing w:after="0"/>
        <w:ind w:left="0" w:firstLine="426"/>
        <w:jc w:val="both"/>
        <w:rPr>
          <w:rFonts w:ascii="Sylfaen" w:hAnsi="Sylfaen"/>
          <w:color w:val="auto"/>
          <w:sz w:val="24"/>
          <w:szCs w:val="24"/>
          <w:lang w:val="ka-GE"/>
        </w:rPr>
      </w:pPr>
      <w:r w:rsidRPr="00254DCC">
        <w:rPr>
          <w:rFonts w:ascii="Sylfaen" w:hAnsi="Sylfaen"/>
          <w:color w:val="auto"/>
          <w:sz w:val="24"/>
          <w:szCs w:val="24"/>
          <w:lang w:val="ka-GE"/>
        </w:rPr>
        <w:t>აღნიშნულიდან გამომდინარე აშკარაა, რომ სადავო ნორმის არაკონსტიტუციურად ცნობას მოსარჩელე ორი ერთმანეთისგან დამოუკიდებელი საფუძვლით ითხ</w:t>
      </w:r>
      <w:r w:rsidR="00CC09BF" w:rsidRPr="00254DCC">
        <w:rPr>
          <w:rFonts w:ascii="Sylfaen" w:hAnsi="Sylfaen"/>
          <w:color w:val="auto"/>
          <w:sz w:val="24"/>
          <w:szCs w:val="24"/>
          <w:lang w:val="ka-GE"/>
        </w:rPr>
        <w:t>ოვ</w:t>
      </w:r>
      <w:r w:rsidRPr="00254DCC">
        <w:rPr>
          <w:rFonts w:ascii="Sylfaen" w:hAnsi="Sylfaen"/>
          <w:color w:val="auto"/>
          <w:sz w:val="24"/>
          <w:szCs w:val="24"/>
          <w:lang w:val="ka-GE"/>
        </w:rPr>
        <w:t xml:space="preserve">ს. </w:t>
      </w:r>
      <w:r w:rsidR="009740DA" w:rsidRPr="00254DCC">
        <w:rPr>
          <w:rFonts w:ascii="Sylfaen" w:hAnsi="Sylfaen"/>
          <w:color w:val="auto"/>
          <w:sz w:val="24"/>
          <w:szCs w:val="24"/>
          <w:lang w:val="ka-GE"/>
        </w:rPr>
        <w:t xml:space="preserve">კონსტიტუციური სარჩელით სადავოდაა გამხდარი, ერთი მხრივ, მოსალოდნელი ზარალის ანაზღაურების უზრუნველსაყოფად კანონით დადგენილი 7 დღიანი ვადის, ხოლო მეორე მხრივ, ამ საკითხზე მიღებული განჩინების გასაჩივრების შეუძლებლობის კონსტიტუციურობა. </w:t>
      </w:r>
      <w:r w:rsidRPr="00254DCC">
        <w:rPr>
          <w:rFonts w:ascii="Sylfaen" w:hAnsi="Sylfaen"/>
          <w:color w:val="auto"/>
          <w:sz w:val="24"/>
          <w:szCs w:val="24"/>
          <w:lang w:val="ka-GE"/>
        </w:rPr>
        <w:t xml:space="preserve">ამდენად საკონსტიტუციო სასამართლო </w:t>
      </w:r>
      <w:r w:rsidR="00DB5108" w:rsidRPr="00254DCC">
        <w:rPr>
          <w:rFonts w:ascii="Sylfaen" w:hAnsi="Sylfaen"/>
          <w:color w:val="auto"/>
          <w:sz w:val="24"/>
          <w:szCs w:val="24"/>
          <w:lang w:val="ka-GE"/>
        </w:rPr>
        <w:t>ცალ</w:t>
      </w:r>
      <w:r w:rsidRPr="00254DCC">
        <w:rPr>
          <w:rFonts w:ascii="Sylfaen" w:hAnsi="Sylfaen"/>
          <w:color w:val="auto"/>
          <w:sz w:val="24"/>
          <w:szCs w:val="24"/>
          <w:lang w:val="ka-GE"/>
        </w:rPr>
        <w:t xml:space="preserve">-ცალკე იმსჯელებს თითოეული მათგანის თაობაზე. </w:t>
      </w:r>
    </w:p>
    <w:p w14:paraId="00DB402F" w14:textId="77777777" w:rsidR="00DF7A8C" w:rsidRPr="00254DCC" w:rsidRDefault="00DF7A8C" w:rsidP="00DF7A8C">
      <w:pPr>
        <w:pStyle w:val="ListParagraph1"/>
        <w:tabs>
          <w:tab w:val="left" w:pos="900"/>
        </w:tabs>
        <w:spacing w:after="0"/>
        <w:ind w:left="426"/>
        <w:jc w:val="both"/>
        <w:rPr>
          <w:rFonts w:ascii="Sylfaen" w:hAnsi="Sylfaen"/>
          <w:sz w:val="24"/>
          <w:szCs w:val="24"/>
          <w:lang w:val="ka-GE"/>
        </w:rPr>
      </w:pPr>
    </w:p>
    <w:p w14:paraId="7639F52E" w14:textId="77777777" w:rsidR="00DF7A8C" w:rsidRPr="00254DCC" w:rsidRDefault="00DF7A8C" w:rsidP="00DF7A8C">
      <w:pPr>
        <w:pStyle w:val="ListParagraph1"/>
        <w:tabs>
          <w:tab w:val="left" w:pos="900"/>
        </w:tabs>
        <w:spacing w:after="0"/>
        <w:ind w:left="426"/>
        <w:jc w:val="both"/>
        <w:rPr>
          <w:rFonts w:ascii="Sylfaen" w:hAnsi="Sylfaen"/>
          <w:sz w:val="24"/>
          <w:szCs w:val="24"/>
          <w:lang w:val="ka-GE"/>
        </w:rPr>
      </w:pPr>
    </w:p>
    <w:p w14:paraId="4E1CD9DC" w14:textId="67C78B24" w:rsidR="00DF7A8C" w:rsidRPr="00C97694" w:rsidRDefault="005D7728" w:rsidP="00C97694">
      <w:pPr>
        <w:pStyle w:val="Heading2"/>
      </w:pPr>
      <w:r w:rsidRPr="00C97694">
        <w:t xml:space="preserve">მოსალოდნელი ზარალის ანაზღაურების უზრუნველყოფისათვის </w:t>
      </w:r>
      <w:r w:rsidR="00DC4058" w:rsidRPr="00C97694">
        <w:t xml:space="preserve"> ვადად </w:t>
      </w:r>
      <w:r w:rsidRPr="00C97694">
        <w:t xml:space="preserve">7 </w:t>
      </w:r>
      <w:r w:rsidR="00DC4058" w:rsidRPr="00C97694">
        <w:t>დღის</w:t>
      </w:r>
      <w:r w:rsidRPr="00C97694">
        <w:t xml:space="preserve"> დადგენის კონსტიტუციურობა.</w:t>
      </w:r>
    </w:p>
    <w:p w14:paraId="094313DA" w14:textId="77777777" w:rsidR="005D7728" w:rsidRPr="00254DCC" w:rsidRDefault="005D7728" w:rsidP="005D7728">
      <w:pPr>
        <w:pStyle w:val="ListParagraph1"/>
        <w:tabs>
          <w:tab w:val="left" w:pos="900"/>
        </w:tabs>
        <w:spacing w:after="0"/>
        <w:ind w:left="1146"/>
        <w:jc w:val="both"/>
        <w:rPr>
          <w:rFonts w:ascii="Sylfaen" w:hAnsi="Sylfaen"/>
          <w:sz w:val="24"/>
          <w:szCs w:val="24"/>
          <w:lang w:val="ka-GE"/>
        </w:rPr>
      </w:pPr>
    </w:p>
    <w:p w14:paraId="06BF9105" w14:textId="23635E57" w:rsidR="00DF7A8C" w:rsidRPr="00C97694" w:rsidRDefault="00504497" w:rsidP="00C97694">
      <w:pPr>
        <w:pStyle w:val="Heading3"/>
      </w:pPr>
      <w:r w:rsidRPr="00C97694">
        <w:t>სადავო ნორმის არსი</w:t>
      </w:r>
      <w:r w:rsidR="00AC6568" w:rsidRPr="00C97694">
        <w:t>/</w:t>
      </w:r>
      <w:r w:rsidRPr="00C97694">
        <w:t xml:space="preserve">უფლების შეზღუდვა </w:t>
      </w:r>
    </w:p>
    <w:p w14:paraId="2873F635" w14:textId="77777777" w:rsidR="00504497" w:rsidRPr="00254DCC" w:rsidRDefault="00504497" w:rsidP="00DF7A8C">
      <w:pPr>
        <w:pStyle w:val="ListParagraph1"/>
        <w:tabs>
          <w:tab w:val="left" w:pos="900"/>
        </w:tabs>
        <w:spacing w:after="0"/>
        <w:ind w:left="426"/>
        <w:jc w:val="both"/>
        <w:rPr>
          <w:rFonts w:ascii="Sylfaen" w:hAnsi="Sylfaen"/>
          <w:b/>
          <w:sz w:val="24"/>
          <w:szCs w:val="24"/>
          <w:lang w:val="ka-GE"/>
        </w:rPr>
      </w:pPr>
    </w:p>
    <w:p w14:paraId="07A90FF4" w14:textId="709172B1" w:rsidR="0054073F" w:rsidRPr="00254DCC" w:rsidRDefault="00A909D5" w:rsidP="00F54B48">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lastRenderedPageBreak/>
        <w:t>სადავო ნორმის</w:t>
      </w:r>
      <w:r w:rsidR="00CC09BF" w:rsidRPr="00254DCC">
        <w:rPr>
          <w:rFonts w:ascii="Sylfaen" w:hAnsi="Sylfaen"/>
          <w:sz w:val="24"/>
          <w:szCs w:val="24"/>
          <w:lang w:val="ka-GE"/>
        </w:rPr>
        <w:t xml:space="preserve"> საფუძველზე დადგენილი შეზღუდვის </w:t>
      </w:r>
      <w:r w:rsidR="005D7728" w:rsidRPr="00254DCC">
        <w:rPr>
          <w:rFonts w:ascii="Sylfaen" w:hAnsi="Sylfaen"/>
          <w:sz w:val="24"/>
          <w:szCs w:val="24"/>
          <w:lang w:val="ka-GE"/>
        </w:rPr>
        <w:t>შინაარსის</w:t>
      </w:r>
      <w:r w:rsidR="0013788E" w:rsidRPr="00254DCC">
        <w:rPr>
          <w:rFonts w:ascii="Sylfaen" w:hAnsi="Sylfaen"/>
          <w:sz w:val="24"/>
          <w:szCs w:val="24"/>
          <w:lang w:val="ka-GE"/>
        </w:rPr>
        <w:t xml:space="preserve"> მკაფიოდ წარმოსაჩენად, უპირველესად, უნდა გაანალიზდეს სარჩელის უზრუნველყოფის ინსტიტუტის არსი და დანიშნულება. </w:t>
      </w:r>
      <w:r w:rsidR="004E53A2" w:rsidRPr="00254DCC">
        <w:rPr>
          <w:rFonts w:ascii="Sylfaen" w:hAnsi="Sylfaen"/>
          <w:sz w:val="24"/>
          <w:szCs w:val="24"/>
          <w:lang w:val="ka-GE"/>
        </w:rPr>
        <w:t xml:space="preserve">საქართველოს სამოქალაქო საპროცესო კოდექსის 191-ე მუხლის პირველი ნაწილის მიხედვით, სარჩელის უზრუნველყოფის შესახებ </w:t>
      </w:r>
      <w:r w:rsidR="00344E00" w:rsidRPr="00254DCC">
        <w:rPr>
          <w:rFonts w:ascii="Sylfaen" w:hAnsi="Sylfaen"/>
          <w:sz w:val="24"/>
          <w:szCs w:val="24"/>
          <w:lang w:val="ka-GE"/>
        </w:rPr>
        <w:t xml:space="preserve">განცხადებაში უნდა მიეთითოს გარემოებები, „რომელთა გამოც სარჩელის უზრუნველყოფის ღონისძიებების გამოუყენებლობა </w:t>
      </w:r>
      <w:r w:rsidR="00BC0796" w:rsidRPr="00254DCC">
        <w:rPr>
          <w:rFonts w:ascii="Sylfaen" w:hAnsi="Sylfaen"/>
          <w:sz w:val="24"/>
          <w:szCs w:val="24"/>
          <w:lang w:val="ka-GE"/>
        </w:rPr>
        <w:t>გააძნელებს ან შეუძლებელს გახდის გადაწყვეტილების აღსრულებას, დარღვეული ან სადავო უფლების განხორციელებას, გამოიწვევს გამოუსწორებელ და პირდაპირ ზიანს ან ისეთ ზიანს რომელი</w:t>
      </w:r>
      <w:r w:rsidR="002A5132" w:rsidRPr="00254DCC">
        <w:rPr>
          <w:rFonts w:ascii="Sylfaen" w:hAnsi="Sylfaen"/>
          <w:sz w:val="24"/>
          <w:szCs w:val="24"/>
          <w:lang w:val="ka-GE"/>
        </w:rPr>
        <w:t>ც</w:t>
      </w:r>
      <w:r w:rsidR="00BC0796" w:rsidRPr="00254DCC">
        <w:rPr>
          <w:rFonts w:ascii="Sylfaen" w:hAnsi="Sylfaen"/>
          <w:sz w:val="24"/>
          <w:szCs w:val="24"/>
          <w:lang w:val="ka-GE"/>
        </w:rPr>
        <w:t xml:space="preserve"> კომპენსირებული ვერ იქნება მოპასუხისთვის ზიანის ანაზღაურების დაკისრებით</w:t>
      </w:r>
      <w:r w:rsidR="00FC2C76" w:rsidRPr="00254DCC">
        <w:rPr>
          <w:rFonts w:ascii="Sylfaen" w:hAnsi="Sylfaen"/>
          <w:sz w:val="24"/>
          <w:szCs w:val="24"/>
          <w:lang w:val="ka-GE"/>
        </w:rPr>
        <w:t>“</w:t>
      </w:r>
      <w:r w:rsidR="00BC0796" w:rsidRPr="00254DCC">
        <w:rPr>
          <w:rFonts w:ascii="Sylfaen" w:hAnsi="Sylfaen"/>
          <w:sz w:val="24"/>
          <w:szCs w:val="24"/>
          <w:lang w:val="ka-GE"/>
        </w:rPr>
        <w:t>.</w:t>
      </w:r>
      <w:r w:rsidR="00FC2C76" w:rsidRPr="00254DCC">
        <w:rPr>
          <w:rFonts w:ascii="Sylfaen" w:hAnsi="Sylfaen"/>
          <w:sz w:val="24"/>
          <w:szCs w:val="24"/>
          <w:lang w:val="ka-GE"/>
        </w:rPr>
        <w:t xml:space="preserve"> </w:t>
      </w:r>
      <w:r w:rsidR="00B40186" w:rsidRPr="00254DCC">
        <w:rPr>
          <w:rFonts w:ascii="Sylfaen" w:hAnsi="Sylfaen"/>
          <w:sz w:val="24"/>
          <w:szCs w:val="24"/>
          <w:lang w:val="ka-GE"/>
        </w:rPr>
        <w:t xml:space="preserve">მითითებული </w:t>
      </w:r>
      <w:r w:rsidR="000437B0" w:rsidRPr="00254DCC">
        <w:rPr>
          <w:rFonts w:ascii="Sylfaen" w:hAnsi="Sylfaen"/>
          <w:sz w:val="24"/>
          <w:szCs w:val="24"/>
          <w:lang w:val="ka-GE"/>
        </w:rPr>
        <w:t xml:space="preserve">ნორმა განსაზღვრავს </w:t>
      </w:r>
      <w:r w:rsidR="000537DF" w:rsidRPr="00254DCC">
        <w:rPr>
          <w:rFonts w:ascii="Sylfaen" w:hAnsi="Sylfaen"/>
          <w:sz w:val="24"/>
          <w:szCs w:val="24"/>
          <w:lang w:val="ka-GE"/>
        </w:rPr>
        <w:t>სარჩელის უზრუნველყოფის ღონისძიების გამოყენების სამართლებრივ საფუძველს.</w:t>
      </w:r>
      <w:r w:rsidR="003754A4" w:rsidRPr="00254DCC">
        <w:rPr>
          <w:rFonts w:ascii="Sylfaen" w:hAnsi="Sylfaen"/>
          <w:sz w:val="24"/>
          <w:szCs w:val="24"/>
          <w:lang w:val="ka-GE"/>
        </w:rPr>
        <w:t xml:space="preserve"> ცხადია, რომ</w:t>
      </w:r>
      <w:r w:rsidR="00B40186" w:rsidRPr="00254DCC">
        <w:rPr>
          <w:rFonts w:ascii="Sylfaen" w:hAnsi="Sylfaen"/>
          <w:sz w:val="24"/>
          <w:szCs w:val="24"/>
          <w:lang w:val="ka-GE"/>
        </w:rPr>
        <w:t xml:space="preserve"> </w:t>
      </w:r>
      <w:r w:rsidR="000537DF" w:rsidRPr="00254DCC">
        <w:rPr>
          <w:rFonts w:ascii="Sylfaen" w:hAnsi="Sylfaen"/>
          <w:sz w:val="24"/>
          <w:szCs w:val="24"/>
          <w:lang w:val="ka-GE"/>
        </w:rPr>
        <w:t>ეს</w:t>
      </w:r>
      <w:r w:rsidR="00F9265B" w:rsidRPr="00254DCC">
        <w:rPr>
          <w:rFonts w:ascii="Sylfaen" w:hAnsi="Sylfaen"/>
          <w:sz w:val="24"/>
          <w:szCs w:val="24"/>
          <w:lang w:val="ka-GE"/>
        </w:rPr>
        <w:t xml:space="preserve"> ღონისძიება წარმოადგენს მხარის ინტერესების დაცვის მნიშვნელოვან ინსტიტუტს, რომელიც მას შესაძლებლობას აძლევს</w:t>
      </w:r>
      <w:r w:rsidR="002A5132" w:rsidRPr="00254DCC">
        <w:rPr>
          <w:rFonts w:ascii="Sylfaen" w:hAnsi="Sylfaen"/>
          <w:sz w:val="24"/>
          <w:szCs w:val="24"/>
          <w:lang w:val="ka-GE"/>
        </w:rPr>
        <w:t>,</w:t>
      </w:r>
      <w:r w:rsidR="00F9265B" w:rsidRPr="00254DCC">
        <w:rPr>
          <w:rFonts w:ascii="Sylfaen" w:hAnsi="Sylfaen"/>
          <w:sz w:val="24"/>
          <w:szCs w:val="24"/>
          <w:lang w:val="ka-GE"/>
        </w:rPr>
        <w:t xml:space="preserve"> დროებითი ღონისძიების გამოყენებით</w:t>
      </w:r>
      <w:r w:rsidR="002A5132" w:rsidRPr="00254DCC">
        <w:rPr>
          <w:rFonts w:ascii="Sylfaen" w:hAnsi="Sylfaen"/>
          <w:sz w:val="24"/>
          <w:szCs w:val="24"/>
          <w:lang w:val="ka-GE"/>
        </w:rPr>
        <w:t>,</w:t>
      </w:r>
      <w:r w:rsidR="00F9265B" w:rsidRPr="00254DCC">
        <w:rPr>
          <w:rFonts w:ascii="Sylfaen" w:hAnsi="Sylfaen"/>
          <w:sz w:val="24"/>
          <w:szCs w:val="24"/>
          <w:lang w:val="ka-GE"/>
        </w:rPr>
        <w:t xml:space="preserve"> დავის საბოლოოდ დასრულებამდე</w:t>
      </w:r>
      <w:r w:rsidR="002A5132" w:rsidRPr="00254DCC">
        <w:rPr>
          <w:rFonts w:ascii="Sylfaen" w:hAnsi="Sylfaen"/>
          <w:sz w:val="24"/>
          <w:szCs w:val="24"/>
          <w:lang w:val="ka-GE"/>
        </w:rPr>
        <w:t>,</w:t>
      </w:r>
      <w:r w:rsidR="00F9265B" w:rsidRPr="00254DCC">
        <w:rPr>
          <w:rFonts w:ascii="Sylfaen" w:hAnsi="Sylfaen"/>
          <w:sz w:val="24"/>
          <w:szCs w:val="24"/>
          <w:lang w:val="ka-GE"/>
        </w:rPr>
        <w:t xml:space="preserve"> დააზღვიოს </w:t>
      </w:r>
      <w:r w:rsidR="00D5408E" w:rsidRPr="00254DCC">
        <w:rPr>
          <w:rFonts w:ascii="Sylfaen" w:hAnsi="Sylfaen"/>
          <w:sz w:val="24"/>
          <w:szCs w:val="24"/>
          <w:lang w:val="ka-GE"/>
        </w:rPr>
        <w:t xml:space="preserve">სამართლიანი სასამართლოს </w:t>
      </w:r>
      <w:r w:rsidR="00D6018A" w:rsidRPr="00254DCC">
        <w:rPr>
          <w:rFonts w:ascii="Sylfaen" w:hAnsi="Sylfaen"/>
          <w:sz w:val="24"/>
          <w:szCs w:val="24"/>
          <w:lang w:val="ka-GE"/>
        </w:rPr>
        <w:t xml:space="preserve">უფლებით </w:t>
      </w:r>
      <w:r w:rsidR="00D5408E" w:rsidRPr="00254DCC">
        <w:rPr>
          <w:rFonts w:ascii="Sylfaen" w:hAnsi="Sylfaen"/>
          <w:sz w:val="24"/>
          <w:szCs w:val="24"/>
          <w:lang w:val="ka-GE"/>
        </w:rPr>
        <w:t>ეფექტურ სარგებლობასთან დაკავშირებული რისკები</w:t>
      </w:r>
      <w:r w:rsidR="0054073F" w:rsidRPr="00254DCC">
        <w:rPr>
          <w:rFonts w:ascii="Sylfaen" w:hAnsi="Sylfaen"/>
          <w:sz w:val="24"/>
          <w:szCs w:val="24"/>
          <w:lang w:val="ka-GE"/>
        </w:rPr>
        <w:t xml:space="preserve">. </w:t>
      </w:r>
    </w:p>
    <w:p w14:paraId="1EF92EEC" w14:textId="461914BB" w:rsidR="00A909D5" w:rsidRPr="00254DCC" w:rsidRDefault="00F9265B" w:rsidP="00A909D5">
      <w:pPr>
        <w:pStyle w:val="ListParagraph1"/>
        <w:numPr>
          <w:ilvl w:val="0"/>
          <w:numId w:val="4"/>
        </w:numPr>
        <w:tabs>
          <w:tab w:val="left" w:pos="900"/>
        </w:tabs>
        <w:spacing w:after="0"/>
        <w:ind w:left="0" w:firstLine="426"/>
        <w:jc w:val="both"/>
        <w:rPr>
          <w:rFonts w:ascii="Sylfaen" w:hAnsi="Sylfaen"/>
          <w:sz w:val="24"/>
          <w:szCs w:val="24"/>
          <w:lang w:val="ka-GE"/>
        </w:rPr>
      </w:pPr>
      <w:r w:rsidRPr="00254DCC">
        <w:rPr>
          <w:rFonts w:ascii="Sylfaen" w:hAnsi="Sylfaen"/>
          <w:sz w:val="24"/>
          <w:szCs w:val="24"/>
          <w:lang w:val="ka-GE"/>
        </w:rPr>
        <w:t xml:space="preserve">სარჩელის უზრუნველყოფის ღონისძიების </w:t>
      </w:r>
      <w:r w:rsidR="005D7728" w:rsidRPr="00254DCC">
        <w:rPr>
          <w:rFonts w:ascii="Sylfaen" w:hAnsi="Sylfaen"/>
          <w:sz w:val="24"/>
          <w:szCs w:val="24"/>
          <w:lang w:val="ka-GE"/>
        </w:rPr>
        <w:t xml:space="preserve">მიზანია </w:t>
      </w:r>
      <w:r w:rsidR="00877ECB" w:rsidRPr="00254DCC">
        <w:rPr>
          <w:rFonts w:ascii="Sylfaen" w:hAnsi="Sylfaen"/>
          <w:sz w:val="24"/>
          <w:szCs w:val="24"/>
          <w:lang w:val="ka-GE"/>
        </w:rPr>
        <w:t>გადაწყვეტილების</w:t>
      </w:r>
      <w:r w:rsidR="005D7728" w:rsidRPr="00254DCC">
        <w:rPr>
          <w:rFonts w:ascii="Sylfaen" w:hAnsi="Sylfaen"/>
          <w:sz w:val="24"/>
          <w:szCs w:val="24"/>
          <w:lang w:val="ka-GE"/>
        </w:rPr>
        <w:t xml:space="preserve"> აღსრულების შეფერხების პრევენცია. იგი ქმნის მხარის მოლოდინს,  </w:t>
      </w:r>
      <w:r w:rsidRPr="00254DCC">
        <w:rPr>
          <w:rFonts w:ascii="Sylfaen" w:hAnsi="Sylfaen"/>
          <w:sz w:val="24"/>
          <w:szCs w:val="24"/>
          <w:lang w:val="ka-GE"/>
        </w:rPr>
        <w:t>რომ მის სასარგებლოდ გამოტანილ სასამართლო გადაწყვეტილებ</w:t>
      </w:r>
      <w:r w:rsidR="00877ECB" w:rsidRPr="00254DCC">
        <w:rPr>
          <w:rFonts w:ascii="Sylfaen" w:hAnsi="Sylfaen"/>
          <w:sz w:val="24"/>
          <w:szCs w:val="24"/>
          <w:lang w:val="ka-GE"/>
        </w:rPr>
        <w:t xml:space="preserve">ას </w:t>
      </w:r>
      <w:r w:rsidR="00136A23" w:rsidRPr="00254DCC">
        <w:rPr>
          <w:rFonts w:ascii="Sylfaen" w:hAnsi="Sylfaen"/>
          <w:sz w:val="24"/>
          <w:szCs w:val="24"/>
          <w:lang w:val="ka-GE"/>
        </w:rPr>
        <w:t xml:space="preserve">ექნება </w:t>
      </w:r>
      <w:r w:rsidR="00877ECB" w:rsidRPr="00254DCC">
        <w:rPr>
          <w:rFonts w:ascii="Sylfaen" w:hAnsi="Sylfaen"/>
          <w:sz w:val="24"/>
          <w:szCs w:val="24"/>
          <w:lang w:val="ka-GE"/>
        </w:rPr>
        <w:t xml:space="preserve">შესაბამისი ეფექტი, </w:t>
      </w:r>
      <w:r w:rsidRPr="00254DCC">
        <w:rPr>
          <w:rFonts w:ascii="Sylfaen" w:hAnsi="Sylfaen"/>
          <w:sz w:val="24"/>
          <w:szCs w:val="24"/>
          <w:lang w:val="ka-GE"/>
        </w:rPr>
        <w:t>არ დაბრკოლდება</w:t>
      </w:r>
      <w:r w:rsidR="00136A23" w:rsidRPr="00254DCC">
        <w:rPr>
          <w:rFonts w:ascii="Sylfaen" w:hAnsi="Sylfaen"/>
          <w:sz w:val="24"/>
          <w:szCs w:val="24"/>
          <w:lang w:val="ka-GE"/>
        </w:rPr>
        <w:t xml:space="preserve"> მისი აღსრულება</w:t>
      </w:r>
      <w:r w:rsidRPr="00254DCC">
        <w:rPr>
          <w:rFonts w:ascii="Sylfaen" w:hAnsi="Sylfaen"/>
          <w:sz w:val="24"/>
          <w:szCs w:val="24"/>
          <w:lang w:val="ka-GE"/>
        </w:rPr>
        <w:t>.</w:t>
      </w:r>
      <w:r w:rsidR="00ED0917" w:rsidRPr="00254DCC">
        <w:rPr>
          <w:rFonts w:ascii="Sylfaen" w:hAnsi="Sylfaen"/>
          <w:sz w:val="24"/>
          <w:szCs w:val="24"/>
          <w:lang w:val="ka-GE"/>
        </w:rPr>
        <w:t xml:space="preserve"> </w:t>
      </w:r>
      <w:r w:rsidR="00AC1DB3" w:rsidRPr="00254DCC">
        <w:rPr>
          <w:rFonts w:ascii="Sylfaen" w:hAnsi="Sylfaen" w:cs="Sylfaen"/>
          <w:sz w:val="24"/>
          <w:szCs w:val="24"/>
          <w:lang w:val="ka-GE"/>
        </w:rPr>
        <w:t>საკონსტიტუციო</w:t>
      </w:r>
      <w:r w:rsidR="00AC1DB3" w:rsidRPr="00254DCC">
        <w:rPr>
          <w:rFonts w:ascii="Sylfaen" w:hAnsi="Sylfaen"/>
          <w:sz w:val="24"/>
          <w:szCs w:val="24"/>
          <w:lang w:val="ka-GE"/>
        </w:rPr>
        <w:t xml:space="preserve"> სასამართლოს </w:t>
      </w:r>
      <w:r w:rsidR="00ED0917" w:rsidRPr="00254DCC">
        <w:rPr>
          <w:rFonts w:ascii="Sylfaen" w:hAnsi="Sylfaen"/>
          <w:sz w:val="24"/>
          <w:szCs w:val="24"/>
          <w:lang w:val="ka-GE"/>
        </w:rPr>
        <w:t>პრაქტიკის თანახმად,</w:t>
      </w:r>
      <w:r w:rsidR="00AC1DB3" w:rsidRPr="00254DCC">
        <w:rPr>
          <w:rFonts w:ascii="Sylfaen" w:hAnsi="Sylfaen"/>
          <w:sz w:val="24"/>
          <w:szCs w:val="24"/>
          <w:lang w:val="ka-GE"/>
        </w:rPr>
        <w:t xml:space="preserve"> სამართლიანი სასამართლო</w:t>
      </w:r>
      <w:r w:rsidR="00DC4058">
        <w:rPr>
          <w:rFonts w:ascii="Sylfaen" w:hAnsi="Sylfaen"/>
          <w:sz w:val="24"/>
          <w:szCs w:val="24"/>
          <w:lang w:val="ka-GE"/>
        </w:rPr>
        <w:t>ს უფლება</w:t>
      </w:r>
      <w:r w:rsidR="00AC1DB3" w:rsidRPr="00254DCC">
        <w:rPr>
          <w:rFonts w:ascii="Sylfaen" w:hAnsi="Sylfaen"/>
          <w:sz w:val="24"/>
          <w:szCs w:val="24"/>
          <w:lang w:val="ka-GE"/>
        </w:rPr>
        <w:t>, როგორც ინსტრუმენტული უფლება, მოიცავს არამხოლოდ სასამართლოსადმი ფორმალურად მიმართვ</w:t>
      </w:r>
      <w:r w:rsidR="00A92A07" w:rsidRPr="00254DCC">
        <w:rPr>
          <w:rFonts w:ascii="Sylfaen" w:hAnsi="Sylfaen"/>
          <w:sz w:val="24"/>
          <w:szCs w:val="24"/>
          <w:lang w:val="ka-GE"/>
        </w:rPr>
        <w:t xml:space="preserve">ას, </w:t>
      </w:r>
      <w:r w:rsidR="00AC1DB3" w:rsidRPr="00254DCC">
        <w:rPr>
          <w:rFonts w:ascii="Sylfaen" w:hAnsi="Sylfaen"/>
          <w:sz w:val="24"/>
          <w:szCs w:val="24"/>
          <w:lang w:val="ka-GE"/>
        </w:rPr>
        <w:t xml:space="preserve">არამედ სასამართლოს </w:t>
      </w:r>
      <w:r w:rsidR="00926E1A" w:rsidRPr="00254DCC">
        <w:rPr>
          <w:rFonts w:ascii="Sylfaen" w:hAnsi="Sylfaen"/>
          <w:sz w:val="24"/>
          <w:szCs w:val="24"/>
          <w:lang w:val="ka-GE"/>
        </w:rPr>
        <w:t xml:space="preserve">შესაძლებლობას </w:t>
      </w:r>
      <w:r w:rsidR="00AC1DB3" w:rsidRPr="00254DCC">
        <w:rPr>
          <w:rFonts w:ascii="Sylfaen" w:hAnsi="Sylfaen"/>
          <w:sz w:val="24"/>
          <w:szCs w:val="24"/>
          <w:lang w:val="ka-GE"/>
        </w:rPr>
        <w:t xml:space="preserve">უფლების დარღვევის ფაქტზე მოახდინოს ეფექტური რეაგირება. </w:t>
      </w:r>
      <w:r w:rsidR="00877ECB" w:rsidRPr="00254DCC">
        <w:rPr>
          <w:rFonts w:ascii="Sylfaen" w:hAnsi="Sylfaen"/>
          <w:sz w:val="24"/>
          <w:szCs w:val="24"/>
          <w:lang w:val="ka-GE"/>
        </w:rPr>
        <w:t>სამართლიანი სასამართლოს უფლება თავის თავში</w:t>
      </w:r>
      <w:r w:rsidR="00AC1DB3" w:rsidRPr="00254DCC">
        <w:rPr>
          <w:rFonts w:ascii="Sylfaen" w:hAnsi="Sylfaen"/>
          <w:sz w:val="24"/>
          <w:szCs w:val="24"/>
          <w:lang w:val="ka-GE"/>
        </w:rPr>
        <w:t xml:space="preserve"> გულისხმობს სახელმწიფოს მხრიდან იმგვარი რეგულაციის შექმნ</w:t>
      </w:r>
      <w:r w:rsidR="005A030F" w:rsidRPr="00254DCC">
        <w:rPr>
          <w:rFonts w:ascii="Sylfaen" w:hAnsi="Sylfaen"/>
          <w:sz w:val="24"/>
          <w:szCs w:val="24"/>
          <w:lang w:val="ka-GE"/>
        </w:rPr>
        <w:t>ის ვალდებულებას</w:t>
      </w:r>
      <w:r w:rsidR="00AC1DB3" w:rsidRPr="00254DCC">
        <w:rPr>
          <w:rFonts w:ascii="Sylfaen" w:hAnsi="Sylfaen"/>
          <w:sz w:val="24"/>
          <w:szCs w:val="24"/>
          <w:lang w:val="ka-GE"/>
        </w:rPr>
        <w:t>, რომ</w:t>
      </w:r>
      <w:r w:rsidR="005A030F" w:rsidRPr="00254DCC">
        <w:rPr>
          <w:rFonts w:ascii="Sylfaen" w:hAnsi="Sylfaen"/>
          <w:sz w:val="24"/>
          <w:szCs w:val="24"/>
          <w:lang w:val="ka-GE"/>
        </w:rPr>
        <w:t>ელიც</w:t>
      </w:r>
      <w:r w:rsidR="00AC1DB3" w:rsidRPr="00254DCC">
        <w:rPr>
          <w:rFonts w:ascii="Sylfaen" w:hAnsi="Sylfaen"/>
          <w:sz w:val="24"/>
          <w:szCs w:val="24"/>
          <w:lang w:val="ka-GE"/>
        </w:rPr>
        <w:t xml:space="preserve"> უზრუნველყო</w:t>
      </w:r>
      <w:r w:rsidR="005A030F" w:rsidRPr="00254DCC">
        <w:rPr>
          <w:rFonts w:ascii="Sylfaen" w:hAnsi="Sylfaen"/>
          <w:sz w:val="24"/>
          <w:szCs w:val="24"/>
          <w:lang w:val="ka-GE"/>
        </w:rPr>
        <w:t xml:space="preserve">ფს სასამართლოს </w:t>
      </w:r>
      <w:r w:rsidR="00AC1DB3" w:rsidRPr="00254DCC">
        <w:rPr>
          <w:rFonts w:ascii="Sylfaen" w:hAnsi="Sylfaen"/>
          <w:sz w:val="24"/>
          <w:szCs w:val="24"/>
          <w:lang w:val="ka-GE"/>
        </w:rPr>
        <w:t>გადაწყვეტილების</w:t>
      </w:r>
      <w:r w:rsidR="00877ECB" w:rsidRPr="00254DCC">
        <w:rPr>
          <w:rFonts w:ascii="Sylfaen" w:hAnsi="Sylfaen"/>
          <w:sz w:val="24"/>
          <w:szCs w:val="24"/>
          <w:lang w:val="ka-GE"/>
        </w:rPr>
        <w:t xml:space="preserve"> ეფექტურ</w:t>
      </w:r>
      <w:r w:rsidR="00AC1DB3" w:rsidRPr="00254DCC">
        <w:rPr>
          <w:rFonts w:ascii="Sylfaen" w:hAnsi="Sylfaen"/>
          <w:sz w:val="24"/>
          <w:szCs w:val="24"/>
          <w:lang w:val="ka-GE"/>
        </w:rPr>
        <w:t xml:space="preserve"> აღსრულება</w:t>
      </w:r>
      <w:r w:rsidR="005A030F" w:rsidRPr="00254DCC">
        <w:rPr>
          <w:rFonts w:ascii="Sylfaen" w:hAnsi="Sylfaen"/>
          <w:sz w:val="24"/>
          <w:szCs w:val="24"/>
          <w:lang w:val="ka-GE"/>
        </w:rPr>
        <w:t>ს</w:t>
      </w:r>
      <w:r w:rsidR="00AC1DB3" w:rsidRPr="00254DCC">
        <w:rPr>
          <w:rFonts w:ascii="Sylfaen" w:hAnsi="Sylfaen"/>
          <w:sz w:val="24"/>
          <w:szCs w:val="24"/>
          <w:lang w:val="ka-GE"/>
        </w:rPr>
        <w:t>.</w:t>
      </w:r>
      <w:r w:rsidR="009522C5" w:rsidRPr="00254DCC">
        <w:rPr>
          <w:rFonts w:ascii="Sylfaen" w:hAnsi="Sylfaen"/>
          <w:sz w:val="24"/>
          <w:szCs w:val="24"/>
          <w:lang w:val="ka-GE"/>
        </w:rPr>
        <w:t xml:space="preserve"> </w:t>
      </w:r>
      <w:r w:rsidR="00877ECB" w:rsidRPr="00254DCC">
        <w:rPr>
          <w:rFonts w:ascii="Sylfaen" w:hAnsi="Sylfaen"/>
          <w:sz w:val="24"/>
          <w:szCs w:val="24"/>
          <w:lang w:val="ka-GE"/>
        </w:rPr>
        <w:t xml:space="preserve">საკონსტიტუციო სასამართლოს განმარტებით </w:t>
      </w:r>
      <w:r w:rsidR="00632C84" w:rsidRPr="00254DCC">
        <w:rPr>
          <w:rFonts w:ascii="Sylfaen" w:hAnsi="Sylfaen"/>
          <w:sz w:val="24"/>
          <w:szCs w:val="24"/>
          <w:lang w:val="ka-GE"/>
        </w:rPr>
        <w:t xml:space="preserve">„საქართველოს კონსტიტუციის 42-ე მუხლის პირველი პუნქტით გარანტირებული სასამართლოსადმი მიმართვის უფლება... </w:t>
      </w:r>
      <w:r w:rsidR="00FC67E1" w:rsidRPr="00254DCC">
        <w:rPr>
          <w:rFonts w:ascii="Sylfaen" w:hAnsi="Sylfaen"/>
          <w:sz w:val="24"/>
          <w:szCs w:val="24"/>
          <w:lang w:val="ka-GE"/>
        </w:rPr>
        <w:t>უნდა იყოს არა ილუზორული, არამედ ქმნიდეს პირის უფლებებში ჯეროვნად აღდგენის რეალურ შესაძლებლობას და წარმოადგენდეს უფლების დაცვის ეფექტურ საშუალებას.</w:t>
      </w:r>
      <w:r w:rsidR="00A4159E" w:rsidRPr="00254DCC">
        <w:rPr>
          <w:rFonts w:ascii="Sylfaen" w:hAnsi="Sylfaen"/>
          <w:sz w:val="24"/>
          <w:szCs w:val="24"/>
          <w:lang w:val="ka-GE"/>
        </w:rPr>
        <w:t>“</w:t>
      </w:r>
      <w:r w:rsidR="00127647" w:rsidRPr="00254DCC">
        <w:rPr>
          <w:rFonts w:ascii="Sylfaen" w:hAnsi="Sylfaen"/>
          <w:sz w:val="24"/>
          <w:szCs w:val="24"/>
          <w:lang w:val="ka-GE"/>
        </w:rPr>
        <w:t>(საქართველოს საკონსტიტუციო სასამართლოს 2014 წლის 24 დეკემბრის N3/2/577გადაწყვეტილება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II-30).</w:t>
      </w:r>
      <w:r w:rsidR="00C34159" w:rsidRPr="00254DCC">
        <w:rPr>
          <w:rFonts w:ascii="Sylfaen" w:hAnsi="Sylfaen"/>
          <w:color w:val="000000" w:themeColor="text1"/>
          <w:sz w:val="24"/>
          <w:szCs w:val="24"/>
          <w:lang w:val="ka-GE"/>
        </w:rPr>
        <w:t xml:space="preserve"> „საქართველოს კონსტიტუციის 42-ე მუხლის პირველი პუნქტი ქმნის სამართლიანი სასამართლოს კონსტიტუციურ-სამართლებრივ გარანტიას და მოიაზრებს ყველა სამართლებრივ </w:t>
      </w:r>
      <w:r w:rsidR="00C34159" w:rsidRPr="00254DCC">
        <w:rPr>
          <w:rFonts w:ascii="Sylfaen" w:hAnsi="Sylfaen"/>
          <w:color w:val="000000" w:themeColor="text1"/>
          <w:sz w:val="24"/>
          <w:szCs w:val="24"/>
          <w:lang w:val="ka-GE"/>
        </w:rPr>
        <w:lastRenderedPageBreak/>
        <w:t>მექანიზმს, რომელიც უზრუნველყოფს უფლებებისა და კანონიერი ინტერესების სასამართლო წესით სრულყოფილი და ეფექტური დაცვის შესაძლებლობას“ (საქართველოს საკონსტიტუციო სასამართლოს 2014 წლის 24 დეკემბრის №3/3/601 გადაწყვეტილება საქმეზე „</w:t>
      </w:r>
      <w:r w:rsidR="00C34159" w:rsidRPr="00254DCC">
        <w:rPr>
          <w:rFonts w:ascii="Sylfaen" w:hAnsi="Sylfaen" w:cs="Sylfaen"/>
          <w:color w:val="000000" w:themeColor="text1"/>
          <w:sz w:val="24"/>
          <w:szCs w:val="24"/>
          <w:lang w:val="ka-GE"/>
        </w:rPr>
        <w:t>საქართველოს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უზენაესი</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სასამართლოს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კონსტიტუციური</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წარდგინება</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საქართველოს</w:t>
      </w:r>
      <w:r w:rsidR="00C34159" w:rsidRPr="00254DCC">
        <w:rPr>
          <w:rFonts w:ascii="Sylfaen" w:hAnsi="Sylfaen" w:cs="AcadNusx"/>
          <w:color w:val="000000" w:themeColor="text1"/>
          <w:sz w:val="24"/>
          <w:szCs w:val="24"/>
          <w:lang w:val="ka-GE"/>
        </w:rPr>
        <w:t xml:space="preserve"> 1998 </w:t>
      </w:r>
      <w:r w:rsidR="00C34159" w:rsidRPr="00254DCC">
        <w:rPr>
          <w:rFonts w:ascii="Sylfaen" w:hAnsi="Sylfaen" w:cs="Sylfaen"/>
          <w:color w:val="000000" w:themeColor="text1"/>
          <w:sz w:val="24"/>
          <w:szCs w:val="24"/>
          <w:lang w:val="ka-GE"/>
        </w:rPr>
        <w:t>წლის</w:t>
      </w:r>
      <w:r w:rsidR="00C34159" w:rsidRPr="00254DCC">
        <w:rPr>
          <w:rFonts w:ascii="Sylfaen" w:hAnsi="Sylfaen" w:cs="AcadNusx"/>
          <w:color w:val="000000" w:themeColor="text1"/>
          <w:sz w:val="24"/>
          <w:szCs w:val="24"/>
          <w:lang w:val="ka-GE"/>
        </w:rPr>
        <w:t xml:space="preserve"> 20 </w:t>
      </w:r>
      <w:r w:rsidR="00C34159" w:rsidRPr="00254DCC">
        <w:rPr>
          <w:rFonts w:ascii="Sylfaen" w:hAnsi="Sylfaen" w:cs="Sylfaen"/>
          <w:color w:val="000000" w:themeColor="text1"/>
          <w:sz w:val="24"/>
          <w:szCs w:val="24"/>
          <w:lang w:val="ka-GE"/>
        </w:rPr>
        <w:t>თებერვლის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სისხლის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სამართლის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საპროცესო</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კოდექსის</w:t>
      </w:r>
      <w:r w:rsidR="00C34159" w:rsidRPr="00254DCC">
        <w:rPr>
          <w:rFonts w:ascii="Sylfaen" w:hAnsi="Sylfaen" w:cs="AcadNusx"/>
          <w:color w:val="000000" w:themeColor="text1"/>
          <w:sz w:val="24"/>
          <w:szCs w:val="24"/>
          <w:lang w:val="ka-GE"/>
        </w:rPr>
        <w:t xml:space="preserve"> 546-</w:t>
      </w:r>
      <w:r w:rsidR="00C34159" w:rsidRPr="00254DCC">
        <w:rPr>
          <w:rFonts w:ascii="Sylfaen" w:hAnsi="Sylfaen" w:cs="Sylfaen"/>
          <w:color w:val="000000" w:themeColor="text1"/>
          <w:sz w:val="24"/>
          <w:szCs w:val="24"/>
          <w:lang w:val="ka-GE"/>
        </w:rPr>
        <w:t>ე</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მუხლის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და</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ამავე</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კოდექსის</w:t>
      </w:r>
      <w:r w:rsidR="00C34159" w:rsidRPr="00254DCC">
        <w:rPr>
          <w:rFonts w:ascii="Sylfaen" w:hAnsi="Sylfaen" w:cs="AcadNusx"/>
          <w:color w:val="000000" w:themeColor="text1"/>
          <w:sz w:val="24"/>
          <w:szCs w:val="24"/>
          <w:lang w:val="ka-GE"/>
        </w:rPr>
        <w:t xml:space="preserve"> 518-</w:t>
      </w:r>
      <w:r w:rsidR="00C34159" w:rsidRPr="00254DCC">
        <w:rPr>
          <w:rFonts w:ascii="Sylfaen" w:hAnsi="Sylfaen" w:cs="Sylfaen"/>
          <w:color w:val="000000" w:themeColor="text1"/>
          <w:sz w:val="24"/>
          <w:szCs w:val="24"/>
          <w:lang w:val="ka-GE"/>
        </w:rPr>
        <w:t>ე</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მუხლის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პირველი</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ნაწილის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კონსტიტუციურობის</w:t>
      </w:r>
      <w:r w:rsidR="00C34159" w:rsidRPr="00254DCC">
        <w:rPr>
          <w:rFonts w:ascii="Sylfaen" w:hAnsi="Sylfaen" w:cs="AcadNusx"/>
          <w:color w:val="000000" w:themeColor="text1"/>
          <w:sz w:val="24"/>
          <w:szCs w:val="24"/>
          <w:lang w:val="ka-GE"/>
        </w:rPr>
        <w:t xml:space="preserve"> </w:t>
      </w:r>
      <w:r w:rsidR="00C34159" w:rsidRPr="00254DCC">
        <w:rPr>
          <w:rFonts w:ascii="Sylfaen" w:hAnsi="Sylfaen" w:cs="Sylfaen"/>
          <w:color w:val="000000" w:themeColor="text1"/>
          <w:sz w:val="24"/>
          <w:szCs w:val="24"/>
          <w:lang w:val="ka-GE"/>
        </w:rPr>
        <w:t>თაობაზე“</w:t>
      </w:r>
      <w:r w:rsidR="00C34159" w:rsidRPr="00254DCC">
        <w:rPr>
          <w:rFonts w:ascii="Sylfaen" w:hAnsi="Sylfaen"/>
          <w:color w:val="000000" w:themeColor="text1"/>
          <w:sz w:val="24"/>
          <w:szCs w:val="24"/>
          <w:lang w:val="ka-GE"/>
        </w:rPr>
        <w:t>, II-9</w:t>
      </w:r>
      <w:r w:rsidR="00C34159" w:rsidRPr="00254DCC">
        <w:rPr>
          <w:rFonts w:ascii="Sylfaen" w:hAnsi="Sylfaen"/>
          <w:sz w:val="24"/>
          <w:szCs w:val="24"/>
          <w:lang w:val="ka-GE"/>
        </w:rPr>
        <w:t>). წარმოდგენილი განმარტებები მიუთითებს, რომ სარჩელის უზრუნველყოფის ღონისძიებ</w:t>
      </w:r>
      <w:r w:rsidR="00636AB0" w:rsidRPr="00254DCC">
        <w:rPr>
          <w:rFonts w:ascii="Sylfaen" w:hAnsi="Sylfaen"/>
          <w:sz w:val="24"/>
          <w:szCs w:val="24"/>
          <w:lang w:val="ka-GE"/>
        </w:rPr>
        <w:t xml:space="preserve">ა </w:t>
      </w:r>
      <w:r w:rsidR="00DC4058">
        <w:rPr>
          <w:rFonts w:ascii="Sylfaen" w:hAnsi="Sylfaen"/>
          <w:sz w:val="24"/>
          <w:szCs w:val="24"/>
          <w:lang w:val="ka-GE"/>
        </w:rPr>
        <w:t>ქმნის</w:t>
      </w:r>
      <w:r w:rsidR="005A030F" w:rsidRPr="00254DCC">
        <w:rPr>
          <w:rFonts w:ascii="Sylfaen" w:hAnsi="Sylfaen"/>
          <w:sz w:val="24"/>
          <w:szCs w:val="24"/>
          <w:lang w:val="ka-GE"/>
        </w:rPr>
        <w:t xml:space="preserve"> </w:t>
      </w:r>
      <w:r w:rsidR="00BD5166" w:rsidRPr="00254DCC">
        <w:rPr>
          <w:rFonts w:ascii="Sylfaen" w:hAnsi="Sylfaen"/>
          <w:sz w:val="24"/>
          <w:szCs w:val="24"/>
          <w:lang w:val="ka-GE"/>
        </w:rPr>
        <w:t xml:space="preserve">სამართლიანი სასამართლოს </w:t>
      </w:r>
      <w:r w:rsidR="00AC111F" w:rsidRPr="00254DCC">
        <w:rPr>
          <w:rFonts w:ascii="Sylfaen" w:hAnsi="Sylfaen"/>
          <w:sz w:val="24"/>
          <w:szCs w:val="24"/>
          <w:lang w:val="ka-GE"/>
        </w:rPr>
        <w:t>უფლებით ეფექტურ</w:t>
      </w:r>
      <w:r w:rsidR="005A030F" w:rsidRPr="00254DCC">
        <w:rPr>
          <w:rFonts w:ascii="Sylfaen" w:hAnsi="Sylfaen"/>
          <w:sz w:val="24"/>
          <w:szCs w:val="24"/>
          <w:lang w:val="ka-GE"/>
        </w:rPr>
        <w:t>ად</w:t>
      </w:r>
      <w:r w:rsidR="00AC111F" w:rsidRPr="00254DCC">
        <w:rPr>
          <w:rFonts w:ascii="Sylfaen" w:hAnsi="Sylfaen"/>
          <w:sz w:val="24"/>
          <w:szCs w:val="24"/>
          <w:lang w:val="ka-GE"/>
        </w:rPr>
        <w:t xml:space="preserve"> სარგებლობის </w:t>
      </w:r>
      <w:r w:rsidR="00BD5166" w:rsidRPr="00254DCC">
        <w:rPr>
          <w:rFonts w:ascii="Sylfaen" w:hAnsi="Sylfaen"/>
          <w:sz w:val="24"/>
          <w:szCs w:val="24"/>
          <w:lang w:val="ka-GE"/>
        </w:rPr>
        <w:t>ერთ</w:t>
      </w:r>
      <w:r w:rsidR="00EA0B85" w:rsidRPr="00254DCC">
        <w:rPr>
          <w:rFonts w:ascii="Sylfaen" w:hAnsi="Sylfaen"/>
          <w:sz w:val="24"/>
          <w:szCs w:val="24"/>
          <w:lang w:val="ka-GE"/>
        </w:rPr>
        <w:t>-</w:t>
      </w:r>
      <w:r w:rsidR="00BD5166" w:rsidRPr="00254DCC">
        <w:rPr>
          <w:rFonts w:ascii="Sylfaen" w:hAnsi="Sylfaen"/>
          <w:sz w:val="24"/>
          <w:szCs w:val="24"/>
          <w:lang w:val="ka-GE"/>
        </w:rPr>
        <w:t xml:space="preserve">ერთ საპროცესო </w:t>
      </w:r>
      <w:r w:rsidR="00DC4058">
        <w:rPr>
          <w:rFonts w:ascii="Sylfaen" w:hAnsi="Sylfaen"/>
          <w:sz w:val="24"/>
          <w:szCs w:val="24"/>
          <w:lang w:val="ka-GE"/>
        </w:rPr>
        <w:t>გარანტიას და შესაბამისად, წარმოადგენს</w:t>
      </w:r>
      <w:r w:rsidR="00636AB0" w:rsidRPr="00254DCC">
        <w:rPr>
          <w:rFonts w:ascii="Sylfaen" w:hAnsi="Sylfaen"/>
          <w:sz w:val="24"/>
          <w:szCs w:val="24"/>
          <w:lang w:val="ka-GE"/>
        </w:rPr>
        <w:t xml:space="preserve"> საქართველოს კონსტიტუციის 42-ე მუხლის პირველი პუნქტით დაცული სფეროს ნაწილ</w:t>
      </w:r>
      <w:r w:rsidR="00DC4058">
        <w:rPr>
          <w:rFonts w:ascii="Sylfaen" w:hAnsi="Sylfaen"/>
          <w:sz w:val="24"/>
          <w:szCs w:val="24"/>
          <w:lang w:val="ka-GE"/>
        </w:rPr>
        <w:t>ს</w:t>
      </w:r>
      <w:r w:rsidR="00636AB0" w:rsidRPr="00254DCC">
        <w:rPr>
          <w:rFonts w:ascii="Sylfaen" w:hAnsi="Sylfaen"/>
          <w:sz w:val="24"/>
          <w:szCs w:val="24"/>
          <w:lang w:val="ka-GE"/>
        </w:rPr>
        <w:t xml:space="preserve">. </w:t>
      </w:r>
    </w:p>
    <w:p w14:paraId="2C257272" w14:textId="576B9920" w:rsidR="009522C5" w:rsidRPr="00254DCC" w:rsidRDefault="005534BB" w:rsidP="00A909D5">
      <w:pPr>
        <w:pStyle w:val="ListParagraph1"/>
        <w:numPr>
          <w:ilvl w:val="0"/>
          <w:numId w:val="4"/>
        </w:numPr>
        <w:tabs>
          <w:tab w:val="left" w:pos="900"/>
        </w:tabs>
        <w:spacing w:after="0"/>
        <w:ind w:left="0" w:firstLine="426"/>
        <w:jc w:val="both"/>
        <w:rPr>
          <w:rFonts w:ascii="Sylfaen" w:hAnsi="Sylfaen"/>
          <w:sz w:val="24"/>
          <w:szCs w:val="24"/>
          <w:lang w:val="ka-GE"/>
        </w:rPr>
      </w:pPr>
      <w:r w:rsidRPr="00254DCC">
        <w:rPr>
          <w:rFonts w:ascii="Sylfaen" w:hAnsi="Sylfaen"/>
          <w:sz w:val="24"/>
          <w:szCs w:val="24"/>
          <w:lang w:val="ka-GE"/>
        </w:rPr>
        <w:t xml:space="preserve">სადავო ნორმით მოწესრიგებულია </w:t>
      </w:r>
      <w:r w:rsidR="00DC4058" w:rsidRPr="00254DCC">
        <w:rPr>
          <w:rFonts w:ascii="Sylfaen" w:hAnsi="Sylfaen"/>
          <w:sz w:val="24"/>
          <w:szCs w:val="24"/>
          <w:lang w:val="ka-GE"/>
        </w:rPr>
        <w:t>სარჩელის უზრუნველყოფის ღონისძიებ</w:t>
      </w:r>
      <w:r w:rsidR="00DC4058">
        <w:rPr>
          <w:rFonts w:ascii="Sylfaen" w:hAnsi="Sylfaen"/>
          <w:sz w:val="24"/>
          <w:szCs w:val="24"/>
          <w:lang w:val="ka-GE"/>
        </w:rPr>
        <w:t>ის გამოყენების შედეგად</w:t>
      </w:r>
      <w:r w:rsidR="00DC4058" w:rsidRPr="00254DCC">
        <w:rPr>
          <w:rFonts w:ascii="Sylfaen" w:hAnsi="Sylfaen"/>
          <w:sz w:val="24"/>
          <w:szCs w:val="24"/>
          <w:lang w:val="ka-GE"/>
        </w:rPr>
        <w:t xml:space="preserve"> </w:t>
      </w:r>
      <w:r w:rsidRPr="00254DCC">
        <w:rPr>
          <w:rFonts w:ascii="Sylfaen" w:hAnsi="Sylfaen"/>
          <w:sz w:val="24"/>
          <w:szCs w:val="24"/>
          <w:lang w:val="ka-GE"/>
        </w:rPr>
        <w:t>მოსალოდნელი ზარალის ანაზღაურების უზრუნველყოფის ვად</w:t>
      </w:r>
      <w:r w:rsidR="00E5078F">
        <w:rPr>
          <w:rFonts w:ascii="Sylfaen" w:hAnsi="Sylfaen"/>
          <w:sz w:val="24"/>
          <w:szCs w:val="24"/>
          <w:lang w:val="ka-GE"/>
        </w:rPr>
        <w:t>ა</w:t>
      </w:r>
      <w:r w:rsidRPr="00254DCC">
        <w:rPr>
          <w:rFonts w:ascii="Sylfaen" w:hAnsi="Sylfaen"/>
          <w:sz w:val="24"/>
          <w:szCs w:val="24"/>
          <w:lang w:val="ka-GE"/>
        </w:rPr>
        <w:t>, ასევე</w:t>
      </w:r>
      <w:r w:rsidR="00E5078F">
        <w:rPr>
          <w:rFonts w:ascii="Sylfaen" w:hAnsi="Sylfaen"/>
          <w:sz w:val="24"/>
          <w:szCs w:val="24"/>
          <w:lang w:val="ka-GE"/>
        </w:rPr>
        <w:t xml:space="preserve"> ამ ვადაში სათანადო ქმედების განუხორციელებლობის შედეგები. </w:t>
      </w:r>
      <w:r w:rsidRPr="00254DCC">
        <w:rPr>
          <w:rFonts w:ascii="Sylfaen" w:hAnsi="Sylfaen"/>
          <w:sz w:val="24"/>
          <w:szCs w:val="24"/>
          <w:lang w:val="ka-GE"/>
        </w:rPr>
        <w:t xml:space="preserve"> კერძოდ, </w:t>
      </w:r>
      <w:r w:rsidR="00285A14" w:rsidRPr="00254DCC">
        <w:rPr>
          <w:rFonts w:ascii="Sylfaen" w:hAnsi="Sylfaen" w:cs="Sylfaen"/>
          <w:sz w:val="24"/>
          <w:szCs w:val="24"/>
          <w:lang w:val="ka-GE"/>
        </w:rPr>
        <w:t>სამოქალაქო</w:t>
      </w:r>
      <w:r w:rsidR="00285A14" w:rsidRPr="00254DCC">
        <w:rPr>
          <w:rFonts w:ascii="Sylfaen" w:hAnsi="Sylfaen"/>
          <w:sz w:val="24"/>
          <w:szCs w:val="24"/>
          <w:lang w:val="ka-GE"/>
        </w:rPr>
        <w:t xml:space="preserve"> საპროცესო კოდექსის 199-ე მუხლის მე-2 ნაწილი მხარეს უდგენს 7 დღიან ვადას, რათა მოახდინოს მოსალოდნელი ზარალის ანაზღაურების უზრუნველყოფა, წინააღმდეგ შემთხვევაში ავტომატურად უქმდება გამოყენებული სარჩელის უზრუნველყოფის ღონისძიება. </w:t>
      </w:r>
      <w:r w:rsidR="00FA1DCA" w:rsidRPr="00254DCC">
        <w:rPr>
          <w:rFonts w:ascii="Sylfaen" w:hAnsi="Sylfaen"/>
          <w:sz w:val="24"/>
          <w:szCs w:val="24"/>
          <w:lang w:val="ka-GE"/>
        </w:rPr>
        <w:t xml:space="preserve">მოსალოდნელი ზარალის ანაზღაურების </w:t>
      </w:r>
      <w:r w:rsidR="003A16D5">
        <w:rPr>
          <w:rFonts w:ascii="Sylfaen" w:hAnsi="Sylfaen"/>
          <w:sz w:val="24"/>
          <w:szCs w:val="24"/>
          <w:lang w:val="ka-GE"/>
        </w:rPr>
        <w:t>გარანტირება</w:t>
      </w:r>
      <w:r w:rsidR="00E5078F">
        <w:rPr>
          <w:rFonts w:ascii="Sylfaen" w:hAnsi="Sylfaen"/>
          <w:sz w:val="24"/>
          <w:szCs w:val="24"/>
          <w:lang w:val="ka-GE"/>
        </w:rPr>
        <w:t xml:space="preserve"> წარმოადგენს სარჩელის უზრუნველყოფის </w:t>
      </w:r>
      <w:r w:rsidR="003A16D5">
        <w:rPr>
          <w:rFonts w:ascii="Sylfaen" w:hAnsi="Sylfaen"/>
          <w:sz w:val="24"/>
          <w:szCs w:val="24"/>
          <w:lang w:val="ka-GE"/>
        </w:rPr>
        <w:t xml:space="preserve">ღონისძიების </w:t>
      </w:r>
      <w:r w:rsidR="00E5078F">
        <w:rPr>
          <w:rFonts w:ascii="Sylfaen" w:hAnsi="Sylfaen"/>
          <w:sz w:val="24"/>
          <w:szCs w:val="24"/>
          <w:lang w:val="ka-GE"/>
        </w:rPr>
        <w:t xml:space="preserve">გამოყენების წინაპირობას. შესაბამისად, </w:t>
      </w:r>
      <w:r w:rsidR="00E5078F" w:rsidRPr="00254DCC">
        <w:rPr>
          <w:rFonts w:ascii="Sylfaen" w:hAnsi="Sylfaen"/>
          <w:sz w:val="24"/>
          <w:szCs w:val="24"/>
          <w:lang w:val="ka-GE"/>
        </w:rPr>
        <w:t xml:space="preserve"> </w:t>
      </w:r>
      <w:r w:rsidR="00A909D5" w:rsidRPr="00254DCC">
        <w:rPr>
          <w:rFonts w:ascii="Sylfaen" w:hAnsi="Sylfaen"/>
          <w:sz w:val="24"/>
          <w:szCs w:val="24"/>
          <w:lang w:val="ka-GE"/>
        </w:rPr>
        <w:t xml:space="preserve">სადავო ნორმა </w:t>
      </w:r>
      <w:r w:rsidR="003A16D5">
        <w:rPr>
          <w:rFonts w:ascii="Sylfaen" w:hAnsi="Sylfaen"/>
          <w:sz w:val="24"/>
          <w:szCs w:val="24"/>
          <w:lang w:val="ka-GE"/>
        </w:rPr>
        <w:t xml:space="preserve">ქმნის ერთგვარ ბარიერს </w:t>
      </w:r>
      <w:r w:rsidR="00A909D5" w:rsidRPr="00254DCC">
        <w:rPr>
          <w:rFonts w:ascii="Sylfaen" w:hAnsi="Sylfaen"/>
          <w:sz w:val="24"/>
          <w:szCs w:val="24"/>
          <w:lang w:val="ka-GE"/>
        </w:rPr>
        <w:t>სარჩელის უზრუნველყოფის</w:t>
      </w:r>
      <w:r w:rsidR="00E5078F">
        <w:rPr>
          <w:rFonts w:ascii="Sylfaen" w:hAnsi="Sylfaen"/>
          <w:sz w:val="24"/>
          <w:szCs w:val="24"/>
          <w:lang w:val="ka-GE"/>
        </w:rPr>
        <w:t xml:space="preserve"> ღონისძიების</w:t>
      </w:r>
      <w:r w:rsidR="00A909D5" w:rsidRPr="00254DCC">
        <w:rPr>
          <w:rFonts w:ascii="Sylfaen" w:hAnsi="Sylfaen"/>
          <w:sz w:val="24"/>
          <w:szCs w:val="24"/>
          <w:lang w:val="ka-GE"/>
        </w:rPr>
        <w:t xml:space="preserve"> </w:t>
      </w:r>
      <w:r w:rsidR="003A16D5">
        <w:rPr>
          <w:rFonts w:ascii="Sylfaen" w:hAnsi="Sylfaen"/>
          <w:sz w:val="24"/>
          <w:szCs w:val="24"/>
          <w:lang w:val="ka-GE"/>
        </w:rPr>
        <w:t xml:space="preserve">გამოყენებასთან დაკავშირებით და შესაბამისად, მისი სირთულის ხარისხზე მნიშვნელოვნად </w:t>
      </w:r>
      <w:r w:rsidR="00B1193F">
        <w:rPr>
          <w:rFonts w:ascii="Sylfaen" w:hAnsi="Sylfaen"/>
          <w:sz w:val="24"/>
          <w:szCs w:val="24"/>
          <w:lang w:val="ka-GE"/>
        </w:rPr>
        <w:t>არის</w:t>
      </w:r>
      <w:r w:rsidR="003A16D5">
        <w:rPr>
          <w:rFonts w:ascii="Sylfaen" w:hAnsi="Sylfaen"/>
          <w:sz w:val="24"/>
          <w:szCs w:val="24"/>
          <w:lang w:val="ka-GE"/>
        </w:rPr>
        <w:t xml:space="preserve"> დამოკიდებული ის, თუ რამდენად ეფექტურად იქნება შესაძლებელი </w:t>
      </w:r>
      <w:r w:rsidR="003A16D5" w:rsidRPr="00254DCC">
        <w:rPr>
          <w:rFonts w:ascii="Sylfaen" w:hAnsi="Sylfaen"/>
          <w:sz w:val="24"/>
          <w:szCs w:val="24"/>
          <w:lang w:val="ka-GE"/>
        </w:rPr>
        <w:t>სარჩელის უზრუნველყოფის</w:t>
      </w:r>
      <w:r w:rsidR="003A16D5">
        <w:rPr>
          <w:rFonts w:ascii="Sylfaen" w:hAnsi="Sylfaen"/>
          <w:sz w:val="24"/>
          <w:szCs w:val="24"/>
          <w:lang w:val="ka-GE"/>
        </w:rPr>
        <w:t xml:space="preserve"> ღონისძიების გამოყენება</w:t>
      </w:r>
      <w:r w:rsidR="00A909D5" w:rsidRPr="00254DCC">
        <w:rPr>
          <w:rFonts w:ascii="Sylfaen" w:hAnsi="Sylfaen"/>
          <w:sz w:val="24"/>
          <w:szCs w:val="24"/>
          <w:lang w:val="ka-GE"/>
        </w:rPr>
        <w:t>.</w:t>
      </w:r>
    </w:p>
    <w:p w14:paraId="3651988E" w14:textId="06169BB6" w:rsidR="00504497" w:rsidRPr="00254DCC" w:rsidRDefault="00E82D2A"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color w:val="000000" w:themeColor="text1"/>
          <w:sz w:val="24"/>
          <w:szCs w:val="24"/>
          <w:lang w:val="ka-GE"/>
        </w:rPr>
        <w:t xml:space="preserve">სარჩელის უზრუნველყოფის </w:t>
      </w:r>
      <w:r w:rsidR="002338DB" w:rsidRPr="00254DCC">
        <w:rPr>
          <w:rFonts w:ascii="Sylfaen" w:hAnsi="Sylfaen"/>
          <w:color w:val="000000" w:themeColor="text1"/>
          <w:sz w:val="24"/>
          <w:szCs w:val="24"/>
          <w:lang w:val="ka-GE"/>
        </w:rPr>
        <w:t xml:space="preserve">ღონისძიების </w:t>
      </w:r>
      <w:r w:rsidR="00386DEC" w:rsidRPr="00254DCC">
        <w:rPr>
          <w:rFonts w:ascii="Sylfaen" w:hAnsi="Sylfaen"/>
          <w:color w:val="000000" w:themeColor="text1"/>
          <w:sz w:val="24"/>
          <w:szCs w:val="24"/>
          <w:lang w:val="ka-GE"/>
        </w:rPr>
        <w:t>გაუქმებამ</w:t>
      </w:r>
      <w:r w:rsidR="002338DB" w:rsidRPr="00254DCC">
        <w:rPr>
          <w:rFonts w:ascii="Sylfaen" w:hAnsi="Sylfaen"/>
          <w:color w:val="000000" w:themeColor="text1"/>
          <w:sz w:val="24"/>
          <w:szCs w:val="24"/>
          <w:lang w:val="ka-GE"/>
        </w:rPr>
        <w:t xml:space="preserve"> შესაძლოა მნიშვნელოვანი საფრთხე შეუქმნას პირის უფლებებისა და თავისუფლებების დაცვას</w:t>
      </w:r>
      <w:r w:rsidR="009F7126" w:rsidRPr="00254DCC">
        <w:rPr>
          <w:rFonts w:ascii="Sylfaen" w:hAnsi="Sylfaen"/>
          <w:color w:val="000000" w:themeColor="text1"/>
          <w:sz w:val="24"/>
          <w:szCs w:val="24"/>
          <w:lang w:val="ka-GE"/>
        </w:rPr>
        <w:t xml:space="preserve"> სასამართლოში. </w:t>
      </w:r>
      <w:r w:rsidR="00B741FE" w:rsidRPr="00254DCC">
        <w:rPr>
          <w:rFonts w:ascii="Sylfaen" w:hAnsi="Sylfaen"/>
          <w:color w:val="auto"/>
          <w:sz w:val="24"/>
          <w:szCs w:val="24"/>
          <w:lang w:val="ka-GE"/>
        </w:rPr>
        <w:t>ამ ღონისძიების შეწყვეტა იმ პირობებში</w:t>
      </w:r>
      <w:r w:rsidR="001C2469" w:rsidRPr="00254DCC">
        <w:rPr>
          <w:rFonts w:ascii="Sylfaen" w:hAnsi="Sylfaen"/>
          <w:color w:val="auto"/>
          <w:sz w:val="24"/>
          <w:szCs w:val="24"/>
          <w:lang w:val="ka-GE"/>
        </w:rPr>
        <w:t>,</w:t>
      </w:r>
      <w:r w:rsidR="00B741FE" w:rsidRPr="00254DCC">
        <w:rPr>
          <w:rFonts w:ascii="Sylfaen" w:hAnsi="Sylfaen"/>
          <w:color w:val="auto"/>
          <w:sz w:val="24"/>
          <w:szCs w:val="24"/>
          <w:lang w:val="ka-GE"/>
        </w:rPr>
        <w:t xml:space="preserve"> როდესაც კვლავ არსებობს სასამართლოს გადაწყვეტილების აღუსრულებლობის</w:t>
      </w:r>
      <w:r w:rsidR="00B1193F">
        <w:rPr>
          <w:rFonts w:ascii="Sylfaen" w:hAnsi="Sylfaen"/>
          <w:color w:val="auto"/>
          <w:sz w:val="24"/>
          <w:szCs w:val="24"/>
          <w:lang w:val="ka-GE"/>
        </w:rPr>
        <w:t xml:space="preserve">, </w:t>
      </w:r>
      <w:r w:rsidR="00B741FE" w:rsidRPr="00254DCC">
        <w:rPr>
          <w:rFonts w:ascii="Sylfaen" w:hAnsi="Sylfaen"/>
          <w:color w:val="auto"/>
          <w:sz w:val="24"/>
          <w:szCs w:val="24"/>
          <w:lang w:val="ka-GE"/>
        </w:rPr>
        <w:t>აღსრულების გართულებ</w:t>
      </w:r>
      <w:r w:rsidR="001C2469" w:rsidRPr="00254DCC">
        <w:rPr>
          <w:rFonts w:ascii="Sylfaen" w:hAnsi="Sylfaen"/>
          <w:color w:val="auto"/>
          <w:sz w:val="24"/>
          <w:szCs w:val="24"/>
          <w:lang w:val="ka-GE"/>
        </w:rPr>
        <w:t>ის რისკი</w:t>
      </w:r>
      <w:r w:rsidR="005F2E75" w:rsidRPr="00254DCC">
        <w:rPr>
          <w:rFonts w:ascii="Sylfaen" w:hAnsi="Sylfaen"/>
          <w:color w:val="auto"/>
          <w:sz w:val="24"/>
          <w:szCs w:val="24"/>
          <w:lang w:val="ka-GE"/>
        </w:rPr>
        <w:t xml:space="preserve"> ან</w:t>
      </w:r>
      <w:r w:rsidR="001C2469" w:rsidRPr="00254DCC">
        <w:rPr>
          <w:rFonts w:ascii="Sylfaen" w:hAnsi="Sylfaen"/>
          <w:color w:val="auto"/>
          <w:sz w:val="24"/>
          <w:szCs w:val="24"/>
          <w:lang w:val="ka-GE"/>
        </w:rPr>
        <w:t xml:space="preserve"> სარჩელის უზრუნველყოფის ინსტიტუტის გამოყენების სხვაგვარი საჭიროება, </w:t>
      </w:r>
      <w:r w:rsidR="00877ECB" w:rsidRPr="00254DCC">
        <w:rPr>
          <w:rFonts w:ascii="Sylfaen" w:hAnsi="Sylfaen"/>
          <w:color w:val="auto"/>
          <w:sz w:val="24"/>
          <w:szCs w:val="24"/>
          <w:lang w:val="ka-GE"/>
        </w:rPr>
        <w:t>მნიშვნელოვან საფრთხეს</w:t>
      </w:r>
      <w:r w:rsidR="00B741FE" w:rsidRPr="00254DCC">
        <w:rPr>
          <w:rFonts w:ascii="Sylfaen" w:hAnsi="Sylfaen"/>
          <w:color w:val="auto"/>
          <w:sz w:val="24"/>
          <w:szCs w:val="24"/>
          <w:lang w:val="ka-GE"/>
        </w:rPr>
        <w:t xml:space="preserve"> </w:t>
      </w:r>
      <w:r w:rsidR="00877ECB" w:rsidRPr="00254DCC">
        <w:rPr>
          <w:rFonts w:ascii="Sylfaen" w:hAnsi="Sylfaen"/>
          <w:color w:val="auto"/>
          <w:sz w:val="24"/>
          <w:szCs w:val="24"/>
          <w:lang w:val="ka-GE"/>
        </w:rPr>
        <w:t>უ</w:t>
      </w:r>
      <w:r w:rsidR="00C93FAC" w:rsidRPr="00254DCC">
        <w:rPr>
          <w:rFonts w:ascii="Sylfaen" w:hAnsi="Sylfaen"/>
          <w:color w:val="auto"/>
          <w:sz w:val="24"/>
          <w:szCs w:val="24"/>
          <w:lang w:val="ka-GE"/>
        </w:rPr>
        <w:t xml:space="preserve">ქმნის სამართლიანი სასამართლოს უფლებით </w:t>
      </w:r>
      <w:r w:rsidR="004603A6" w:rsidRPr="00254DCC">
        <w:rPr>
          <w:rFonts w:ascii="Sylfaen" w:hAnsi="Sylfaen"/>
          <w:color w:val="auto"/>
          <w:sz w:val="24"/>
          <w:szCs w:val="24"/>
          <w:lang w:val="ka-GE"/>
        </w:rPr>
        <w:t xml:space="preserve">სრულყოფილად </w:t>
      </w:r>
      <w:r w:rsidR="00C93FAC" w:rsidRPr="00254DCC">
        <w:rPr>
          <w:rFonts w:ascii="Sylfaen" w:hAnsi="Sylfaen"/>
          <w:color w:val="auto"/>
          <w:sz w:val="24"/>
          <w:szCs w:val="24"/>
          <w:lang w:val="ka-GE"/>
        </w:rPr>
        <w:t>სარგებლობ</w:t>
      </w:r>
      <w:r w:rsidR="00877ECB" w:rsidRPr="00254DCC">
        <w:rPr>
          <w:rFonts w:ascii="Sylfaen" w:hAnsi="Sylfaen"/>
          <w:color w:val="auto"/>
          <w:sz w:val="24"/>
          <w:szCs w:val="24"/>
          <w:lang w:val="ka-GE"/>
        </w:rPr>
        <w:t>ას</w:t>
      </w:r>
      <w:r w:rsidR="00C93FAC" w:rsidRPr="00254DCC">
        <w:rPr>
          <w:rFonts w:ascii="Sylfaen" w:hAnsi="Sylfaen"/>
          <w:color w:val="auto"/>
          <w:sz w:val="24"/>
          <w:szCs w:val="24"/>
          <w:lang w:val="ka-GE"/>
        </w:rPr>
        <w:t>.</w:t>
      </w:r>
      <w:r w:rsidR="00B741FE" w:rsidRPr="00254DCC">
        <w:rPr>
          <w:rFonts w:ascii="Sylfaen" w:hAnsi="Sylfaen"/>
          <w:color w:val="auto"/>
          <w:sz w:val="24"/>
          <w:szCs w:val="24"/>
          <w:lang w:val="ka-GE"/>
        </w:rPr>
        <w:t xml:space="preserve"> </w:t>
      </w:r>
      <w:r w:rsidR="00877ECB" w:rsidRPr="00254DCC">
        <w:rPr>
          <w:rFonts w:ascii="Sylfaen" w:hAnsi="Sylfaen"/>
          <w:color w:val="000000" w:themeColor="text1"/>
          <w:sz w:val="24"/>
          <w:szCs w:val="24"/>
          <w:lang w:val="ka-GE"/>
        </w:rPr>
        <w:t xml:space="preserve">აღნიშნულიდან </w:t>
      </w:r>
      <w:r w:rsidR="009F7126" w:rsidRPr="00254DCC">
        <w:rPr>
          <w:rFonts w:ascii="Sylfaen" w:hAnsi="Sylfaen"/>
          <w:color w:val="000000" w:themeColor="text1"/>
          <w:sz w:val="24"/>
          <w:szCs w:val="24"/>
          <w:lang w:val="ka-GE"/>
        </w:rPr>
        <w:t xml:space="preserve">გამომდინარე, სადავო </w:t>
      </w:r>
      <w:r w:rsidR="00C93FAC" w:rsidRPr="00254DCC">
        <w:rPr>
          <w:rFonts w:ascii="Sylfaen" w:hAnsi="Sylfaen"/>
          <w:color w:val="000000" w:themeColor="text1"/>
          <w:sz w:val="24"/>
          <w:szCs w:val="24"/>
          <w:lang w:val="ka-GE"/>
        </w:rPr>
        <w:t>ნორმა ზღუდავს საქართველოს კონსტიტუციის 42-ე მუხლის პირველ პუნქტით დაცულ უფლებას.</w:t>
      </w:r>
    </w:p>
    <w:p w14:paraId="4FB1FECD" w14:textId="77777777" w:rsidR="00504497" w:rsidRPr="00254DCC" w:rsidRDefault="00504497" w:rsidP="00504497">
      <w:pPr>
        <w:pStyle w:val="ListParagraph1"/>
        <w:tabs>
          <w:tab w:val="left" w:pos="900"/>
        </w:tabs>
        <w:spacing w:after="0"/>
        <w:jc w:val="both"/>
        <w:rPr>
          <w:rFonts w:ascii="Sylfaen" w:hAnsi="Sylfaen"/>
          <w:color w:val="000000" w:themeColor="text1"/>
          <w:sz w:val="24"/>
          <w:szCs w:val="24"/>
          <w:lang w:val="ka-GE"/>
        </w:rPr>
      </w:pPr>
    </w:p>
    <w:p w14:paraId="7A88CBB8" w14:textId="09196705" w:rsidR="00504497" w:rsidRPr="00254DCC" w:rsidRDefault="00504497" w:rsidP="00C97694">
      <w:pPr>
        <w:pStyle w:val="Heading3"/>
      </w:pPr>
      <w:r w:rsidRPr="00254DCC">
        <w:t>შეზღუდვის გამართლება</w:t>
      </w:r>
      <w:r w:rsidR="000925B9" w:rsidRPr="00254DCC">
        <w:t>/ლეგიტიმური მიზნები</w:t>
      </w:r>
    </w:p>
    <w:p w14:paraId="235FC66F" w14:textId="7356456B" w:rsidR="00D467C8" w:rsidRPr="00254DCC" w:rsidRDefault="00C93FAC" w:rsidP="00504497">
      <w:pPr>
        <w:pStyle w:val="ListParagraph1"/>
        <w:tabs>
          <w:tab w:val="left" w:pos="900"/>
        </w:tabs>
        <w:spacing w:after="0"/>
        <w:jc w:val="both"/>
        <w:rPr>
          <w:rFonts w:ascii="Sylfaen" w:hAnsi="Sylfaen"/>
          <w:sz w:val="24"/>
          <w:szCs w:val="24"/>
          <w:lang w:val="ka-GE"/>
        </w:rPr>
      </w:pPr>
      <w:r w:rsidRPr="00254DCC">
        <w:rPr>
          <w:rFonts w:ascii="Sylfaen" w:hAnsi="Sylfaen"/>
          <w:color w:val="000000" w:themeColor="text1"/>
          <w:sz w:val="24"/>
          <w:szCs w:val="24"/>
          <w:lang w:val="ka-GE"/>
        </w:rPr>
        <w:lastRenderedPageBreak/>
        <w:t xml:space="preserve"> </w:t>
      </w:r>
      <w:r w:rsidR="005632B9" w:rsidRPr="00254DCC">
        <w:rPr>
          <w:rFonts w:ascii="Sylfaen" w:hAnsi="Sylfaen"/>
          <w:sz w:val="24"/>
          <w:szCs w:val="24"/>
          <w:lang w:val="ka-GE"/>
        </w:rPr>
        <w:t xml:space="preserve"> </w:t>
      </w:r>
    </w:p>
    <w:p w14:paraId="2C4C673E" w14:textId="641946F4" w:rsidR="00D467C8" w:rsidRPr="00254DCC" w:rsidRDefault="008506A7"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საკონსტიტუციო სასამართლოს განმარტებით, </w:t>
      </w:r>
      <w:r w:rsidR="000060D8" w:rsidRPr="00254DCC">
        <w:rPr>
          <w:rFonts w:ascii="Sylfaen" w:hAnsi="Sylfaen"/>
          <w:sz w:val="24"/>
          <w:szCs w:val="24"/>
          <w:lang w:val="ka-GE"/>
        </w:rPr>
        <w:t>მიუხედავად სამართლიანი სასამართლოს უფლების უდიდესი მნიშვნელობისა</w:t>
      </w:r>
      <w:r w:rsidR="004603A6" w:rsidRPr="00254DCC">
        <w:rPr>
          <w:rFonts w:ascii="Sylfaen" w:hAnsi="Sylfaen"/>
          <w:sz w:val="24"/>
          <w:szCs w:val="24"/>
          <w:lang w:val="ka-GE"/>
        </w:rPr>
        <w:t>,</w:t>
      </w:r>
      <w:r w:rsidR="000060D8" w:rsidRPr="00254DCC">
        <w:rPr>
          <w:rFonts w:ascii="Sylfaen" w:hAnsi="Sylfaen"/>
          <w:sz w:val="24"/>
          <w:szCs w:val="24"/>
          <w:lang w:val="ka-GE"/>
        </w:rPr>
        <w:t xml:space="preserve"> იგი </w:t>
      </w:r>
      <w:r w:rsidR="00D467C8" w:rsidRPr="00254DCC">
        <w:rPr>
          <w:rFonts w:ascii="Sylfaen" w:hAnsi="Sylfaen"/>
          <w:sz w:val="24"/>
          <w:szCs w:val="24"/>
          <w:lang w:val="ka-GE"/>
        </w:rPr>
        <w:t xml:space="preserve">არ წარმოადგენს აბსოლუტურ უფლებას და </w:t>
      </w:r>
      <w:r w:rsidR="00D467C8" w:rsidRPr="00254DCC">
        <w:rPr>
          <w:rFonts w:ascii="Sylfaen" w:hAnsi="Sylfaen"/>
          <w:sz w:val="24"/>
          <w:szCs w:val="24"/>
          <w:lang w:val="ka-GE" w:eastAsia="ka-GE"/>
        </w:rPr>
        <w:t>„შეიძლება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w:t>
      </w:r>
      <w:r w:rsidR="00E5078F">
        <w:rPr>
          <w:rFonts w:ascii="Sylfaen" w:hAnsi="Sylfaen"/>
          <w:sz w:val="24"/>
          <w:szCs w:val="24"/>
          <w:lang w:val="ka-GE" w:eastAsia="ka-GE"/>
        </w:rPr>
        <w:t>-</w:t>
      </w:r>
      <w:r w:rsidR="00D467C8" w:rsidRPr="00254DCC">
        <w:rPr>
          <w:rFonts w:ascii="Sylfaen" w:hAnsi="Sylfaen"/>
          <w:sz w:val="24"/>
          <w:szCs w:val="24"/>
          <w:lang w:val="ka-GE" w:eastAsia="ka-GE"/>
        </w:rPr>
        <w:t>15).</w:t>
      </w:r>
      <w:r w:rsidR="00D467C8" w:rsidRPr="00254DCC">
        <w:rPr>
          <w:rFonts w:ascii="Sylfaen" w:hAnsi="Sylfaen"/>
          <w:sz w:val="24"/>
          <w:szCs w:val="24"/>
          <w:lang w:val="ka-GE"/>
        </w:rPr>
        <w:t xml:space="preserve"> ამასთანავე, </w:t>
      </w:r>
      <w:r w:rsidR="00E5078F">
        <w:rPr>
          <w:rFonts w:ascii="Sylfaen" w:hAnsi="Sylfaen"/>
          <w:sz w:val="24"/>
          <w:szCs w:val="24"/>
          <w:lang w:val="ka-GE"/>
        </w:rPr>
        <w:t>საქართველოს საკონსტიტუციო სასამართლოს</w:t>
      </w:r>
      <w:r w:rsidR="00E5078F" w:rsidRPr="00254DCC">
        <w:rPr>
          <w:rFonts w:ascii="Sylfaen" w:hAnsi="Sylfaen"/>
          <w:sz w:val="24"/>
          <w:szCs w:val="24"/>
          <w:lang w:val="ka-GE"/>
        </w:rPr>
        <w:t xml:space="preserve"> </w:t>
      </w:r>
      <w:r w:rsidR="00D467C8" w:rsidRPr="00254DCC">
        <w:rPr>
          <w:rFonts w:ascii="Sylfaen" w:hAnsi="Sylfaen"/>
          <w:sz w:val="24"/>
          <w:szCs w:val="24"/>
          <w:lang w:val="ka-GE"/>
        </w:rPr>
        <w:t xml:space="preserve">პრაქტიკის თანახმად, შეზღუდვის </w:t>
      </w:r>
      <w:r w:rsidR="00245BA2" w:rsidRPr="00254DCC">
        <w:rPr>
          <w:rFonts w:ascii="Sylfaen" w:hAnsi="Sylfaen"/>
          <w:sz w:val="24"/>
          <w:szCs w:val="24"/>
          <w:lang w:val="ka-GE"/>
        </w:rPr>
        <w:t>კონსტიტუციურობის შეფასება ხდება</w:t>
      </w:r>
      <w:r w:rsidR="00D467C8" w:rsidRPr="00254DCC">
        <w:rPr>
          <w:rFonts w:ascii="Sylfaen" w:hAnsi="Sylfaen"/>
          <w:sz w:val="24"/>
          <w:szCs w:val="24"/>
          <w:lang w:val="ka-GE"/>
        </w:rPr>
        <w:t xml:space="preserve"> თანაზომიერების პრინციპის შესაბამისად, რაც გულისხმობს, რომ </w:t>
      </w:r>
      <w:r w:rsidR="00D467C8" w:rsidRPr="00254DCC">
        <w:rPr>
          <w:rFonts w:ascii="Sylfaen" w:hAnsi="Sylfaen"/>
          <w:sz w:val="24"/>
          <w:szCs w:val="24"/>
          <w:lang w:val="ka-GE" w:eastAsia="ka-GE"/>
        </w:rPr>
        <w:t>„უფლების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00580348" w:rsidRPr="00254DCC">
        <w:rPr>
          <w:rFonts w:ascii="Sylfaen" w:hAnsi="Sylfaen"/>
          <w:sz w:val="24"/>
          <w:szCs w:val="24"/>
          <w:lang w:val="ka-GE" w:eastAsia="ka-GE"/>
        </w:rPr>
        <w:t xml:space="preserve"> ამდენად, საკონსტიტუციო სასამართლომ უნდა დაადგინოს თუ რა ლეგიტიმური მიზნების მიღწევას ემ</w:t>
      </w:r>
      <w:r w:rsidR="004603A6" w:rsidRPr="00254DCC">
        <w:rPr>
          <w:rFonts w:ascii="Sylfaen" w:hAnsi="Sylfaen"/>
          <w:sz w:val="24"/>
          <w:szCs w:val="24"/>
          <w:lang w:val="ka-GE" w:eastAsia="ka-GE"/>
        </w:rPr>
        <w:t>ს</w:t>
      </w:r>
      <w:r w:rsidR="00580348" w:rsidRPr="00254DCC">
        <w:rPr>
          <w:rFonts w:ascii="Sylfaen" w:hAnsi="Sylfaen"/>
          <w:sz w:val="24"/>
          <w:szCs w:val="24"/>
          <w:lang w:val="ka-GE" w:eastAsia="ka-GE"/>
        </w:rPr>
        <w:t>ა</w:t>
      </w:r>
      <w:r w:rsidR="004603A6" w:rsidRPr="00254DCC">
        <w:rPr>
          <w:rFonts w:ascii="Sylfaen" w:hAnsi="Sylfaen"/>
          <w:sz w:val="24"/>
          <w:szCs w:val="24"/>
          <w:lang w:val="ka-GE" w:eastAsia="ka-GE"/>
        </w:rPr>
        <w:t>ხ</w:t>
      </w:r>
      <w:r w:rsidR="00580348" w:rsidRPr="00254DCC">
        <w:rPr>
          <w:rFonts w:ascii="Sylfaen" w:hAnsi="Sylfaen"/>
          <w:sz w:val="24"/>
          <w:szCs w:val="24"/>
          <w:lang w:val="ka-GE" w:eastAsia="ka-GE"/>
        </w:rPr>
        <w:t>ურება სადავო რეგულაცია და რამდენად შეესაბამება იგი თანაზომიერების პრინციპის მოთხოვნებს.</w:t>
      </w:r>
    </w:p>
    <w:p w14:paraId="0CC280BD" w14:textId="08E2999A" w:rsidR="00867BE3" w:rsidRPr="00254DCC" w:rsidRDefault="00580348"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საქართველოს პარლამენტის </w:t>
      </w:r>
      <w:r w:rsidR="005E1C01" w:rsidRPr="00254DCC">
        <w:rPr>
          <w:rFonts w:ascii="Sylfaen" w:hAnsi="Sylfaen"/>
          <w:sz w:val="24"/>
          <w:szCs w:val="24"/>
          <w:lang w:val="ka-GE"/>
        </w:rPr>
        <w:t>პოზიციით</w:t>
      </w:r>
      <w:r w:rsidR="00F96A55" w:rsidRPr="00254DCC">
        <w:rPr>
          <w:rFonts w:ascii="Sylfaen" w:hAnsi="Sylfaen"/>
          <w:sz w:val="24"/>
          <w:szCs w:val="24"/>
          <w:lang w:val="ka-GE"/>
        </w:rPr>
        <w:t>,</w:t>
      </w:r>
      <w:r w:rsidRPr="00254DCC">
        <w:rPr>
          <w:rFonts w:ascii="Sylfaen" w:hAnsi="Sylfaen"/>
          <w:sz w:val="24"/>
          <w:szCs w:val="24"/>
          <w:lang w:val="ka-GE"/>
        </w:rPr>
        <w:t xml:space="preserve"> </w:t>
      </w:r>
      <w:r w:rsidR="00F96A55" w:rsidRPr="00254DCC">
        <w:rPr>
          <w:rFonts w:ascii="Sylfaen" w:hAnsi="Sylfaen"/>
          <w:sz w:val="24"/>
          <w:szCs w:val="24"/>
          <w:lang w:val="ka-GE"/>
        </w:rPr>
        <w:t>მოსალოდნელი ზარალის ანაზღაურების უზრუნველყოფის შესახებ განჩინების შესრულებისათვის დადგენილი 7 დღიანი ვადის მიზანს წარმოადგენს ქმედითი</w:t>
      </w:r>
      <w:r w:rsidRPr="00254DCC">
        <w:rPr>
          <w:rFonts w:ascii="Sylfaen" w:hAnsi="Sylfaen"/>
          <w:sz w:val="24"/>
          <w:szCs w:val="24"/>
          <w:lang w:val="ka-GE"/>
        </w:rPr>
        <w:t xml:space="preserve">, </w:t>
      </w:r>
      <w:r w:rsidR="00F96A55" w:rsidRPr="00254DCC">
        <w:rPr>
          <w:rFonts w:ascii="Sylfaen" w:hAnsi="Sylfaen"/>
          <w:sz w:val="24"/>
          <w:szCs w:val="24"/>
          <w:lang w:val="ka-GE"/>
        </w:rPr>
        <w:t>სწრაფი და ეფექტური მართლმსაჯულების</w:t>
      </w:r>
      <w:r w:rsidR="00EA0B85" w:rsidRPr="00254DCC">
        <w:rPr>
          <w:rFonts w:ascii="Sylfaen" w:hAnsi="Sylfaen"/>
          <w:sz w:val="24"/>
          <w:szCs w:val="24"/>
          <w:lang w:val="ka-GE"/>
        </w:rPr>
        <w:t>ა</w:t>
      </w:r>
      <w:r w:rsidR="00F96A55" w:rsidRPr="00254DCC">
        <w:rPr>
          <w:rFonts w:ascii="Sylfaen" w:hAnsi="Sylfaen"/>
          <w:sz w:val="24"/>
          <w:szCs w:val="24"/>
          <w:lang w:val="ka-GE"/>
        </w:rPr>
        <w:t xml:space="preserve"> </w:t>
      </w:r>
      <w:r w:rsidRPr="00254DCC">
        <w:rPr>
          <w:rFonts w:ascii="Sylfaen" w:hAnsi="Sylfaen"/>
          <w:sz w:val="24"/>
          <w:szCs w:val="24"/>
          <w:lang w:val="ka-GE"/>
        </w:rPr>
        <w:t xml:space="preserve">და სტაბილური სამოქალაქო ბრუნვის უზრუნველყოფა, </w:t>
      </w:r>
      <w:r w:rsidR="00FD1213" w:rsidRPr="00254DCC">
        <w:rPr>
          <w:rFonts w:ascii="Sylfaen" w:hAnsi="Sylfaen"/>
          <w:sz w:val="24"/>
          <w:szCs w:val="24"/>
          <w:lang w:val="ka-GE"/>
        </w:rPr>
        <w:t xml:space="preserve">ასევე </w:t>
      </w:r>
      <w:r w:rsidR="00F96A55" w:rsidRPr="00254DCC">
        <w:rPr>
          <w:rFonts w:ascii="Sylfaen" w:hAnsi="Sylfaen"/>
          <w:sz w:val="24"/>
          <w:szCs w:val="24"/>
          <w:lang w:val="ka-GE"/>
        </w:rPr>
        <w:t>მოპასუხის დაცვა სარჩელის უზრუნველყოფის ღონისძიების შედეგად მიყენებული ზიანისაგან</w:t>
      </w:r>
      <w:r w:rsidRPr="00254DCC">
        <w:rPr>
          <w:rFonts w:ascii="Sylfaen" w:hAnsi="Sylfaen"/>
          <w:sz w:val="24"/>
          <w:szCs w:val="24"/>
          <w:lang w:val="ka-GE"/>
        </w:rPr>
        <w:t xml:space="preserve">. </w:t>
      </w:r>
    </w:p>
    <w:p w14:paraId="0703C703" w14:textId="1CA1347E" w:rsidR="00FC0BB3" w:rsidRPr="00254DCC" w:rsidRDefault="00315A57" w:rsidP="00F22AAD">
      <w:pPr>
        <w:pStyle w:val="ListParagraph1"/>
        <w:numPr>
          <w:ilvl w:val="0"/>
          <w:numId w:val="4"/>
        </w:numPr>
        <w:tabs>
          <w:tab w:val="left" w:pos="900"/>
        </w:tabs>
        <w:spacing w:after="0"/>
        <w:ind w:left="0" w:firstLine="360"/>
        <w:jc w:val="both"/>
        <w:rPr>
          <w:rFonts w:ascii="Sylfaen" w:hAnsi="Sylfaen"/>
          <w:sz w:val="24"/>
          <w:szCs w:val="24"/>
          <w:lang w:val="ka-GE"/>
        </w:rPr>
      </w:pPr>
      <w:r>
        <w:rPr>
          <w:rFonts w:ascii="Sylfaen" w:hAnsi="Sylfaen" w:cs="Sylfaen"/>
          <w:sz w:val="24"/>
          <w:szCs w:val="24"/>
          <w:lang w:val="ka-GE"/>
        </w:rPr>
        <w:t xml:space="preserve">საქართველოს კონსტიტუციის 42-ე მუხლის პირველი პუნქტით დაცული </w:t>
      </w:r>
      <w:r w:rsidR="00B1193F">
        <w:rPr>
          <w:rFonts w:ascii="Sylfaen" w:hAnsi="Sylfaen" w:cs="Sylfaen"/>
          <w:sz w:val="24"/>
          <w:szCs w:val="24"/>
          <w:lang w:val="ka-GE"/>
        </w:rPr>
        <w:t xml:space="preserve">სამართლიანი სასამართლოს </w:t>
      </w:r>
      <w:r>
        <w:rPr>
          <w:rFonts w:ascii="Sylfaen" w:hAnsi="Sylfaen" w:cs="Sylfaen"/>
          <w:sz w:val="24"/>
          <w:szCs w:val="24"/>
          <w:lang w:val="ka-GE"/>
        </w:rPr>
        <w:t xml:space="preserve">უფლება მოითხოვს </w:t>
      </w:r>
      <w:r w:rsidR="00317FD3" w:rsidRPr="00254DCC">
        <w:rPr>
          <w:rFonts w:ascii="Sylfaen" w:hAnsi="Sylfaen" w:cs="Sylfaen"/>
          <w:sz w:val="24"/>
          <w:szCs w:val="24"/>
          <w:lang w:val="ka-GE"/>
        </w:rPr>
        <w:t>იმგვარი სამართლებრივი სისტემის ჩამოყალიბებას, რომელიც უზრუნველყოფს პირის უფლებებისა და ინტერესების სწრაფად და ეფექტურად დაცვას</w:t>
      </w:r>
      <w:r w:rsidR="005E1C01" w:rsidRPr="00254DCC">
        <w:rPr>
          <w:rFonts w:ascii="Sylfaen" w:hAnsi="Sylfaen" w:cs="Sylfaen"/>
          <w:sz w:val="24"/>
          <w:szCs w:val="24"/>
          <w:lang w:val="ka-GE"/>
        </w:rPr>
        <w:t>.</w:t>
      </w:r>
      <w:r w:rsidR="00317FD3" w:rsidRPr="00254DCC">
        <w:rPr>
          <w:rFonts w:ascii="Sylfaen" w:hAnsi="Sylfaen" w:cs="Sylfaen"/>
          <w:sz w:val="24"/>
          <w:szCs w:val="24"/>
          <w:lang w:val="ka-GE"/>
        </w:rPr>
        <w:t xml:space="preserve"> </w:t>
      </w:r>
      <w:r w:rsidR="00FC0BB3" w:rsidRPr="00254DCC">
        <w:rPr>
          <w:rFonts w:ascii="Sylfaen" w:hAnsi="Sylfaen"/>
          <w:sz w:val="24"/>
          <w:szCs w:val="24"/>
          <w:lang w:val="ka-GE"/>
        </w:rPr>
        <w:t>„</w:t>
      </w:r>
      <w:r w:rsidR="00867BE3" w:rsidRPr="00254DCC">
        <w:rPr>
          <w:rFonts w:ascii="Sylfaen" w:hAnsi="Sylfaen"/>
          <w:sz w:val="24"/>
          <w:szCs w:val="24"/>
          <w:lang w:val="ka-GE"/>
        </w:rPr>
        <w:t>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w:t>
      </w:r>
      <w:r w:rsidR="00FC0BB3" w:rsidRPr="00254DCC">
        <w:rPr>
          <w:rFonts w:ascii="Sylfaen" w:hAnsi="Sylfaen"/>
          <w:sz w:val="24"/>
          <w:szCs w:val="24"/>
          <w:lang w:val="ka-GE"/>
        </w:rPr>
        <w:t xml:space="preserve"> </w:t>
      </w:r>
      <w:r w:rsidR="00867BE3" w:rsidRPr="00254DCC">
        <w:rPr>
          <w:rFonts w:ascii="Sylfaen" w:hAnsi="Sylfaen"/>
          <w:sz w:val="24"/>
          <w:szCs w:val="24"/>
          <w:lang w:val="ka-GE"/>
        </w:rPr>
        <w:t>მართლმსაჯულების გაუმართლებელი დაყოვნება ძირს უთხრის მისდამი საზოგადოების ნდობას</w:t>
      </w:r>
      <w:r w:rsidR="00FC0BB3" w:rsidRPr="00254DCC">
        <w:rPr>
          <w:rFonts w:ascii="Sylfaen" w:hAnsi="Sylfaen"/>
          <w:sz w:val="24"/>
          <w:szCs w:val="24"/>
          <w:lang w:val="ka-GE"/>
        </w:rPr>
        <w:t xml:space="preserve">“. </w:t>
      </w:r>
      <w:r w:rsidR="00FC0BB3" w:rsidRPr="00254DCC">
        <w:rPr>
          <w:rFonts w:ascii="Sylfaen" w:hAnsi="Sylfaen"/>
          <w:sz w:val="24"/>
          <w:szCs w:val="24"/>
          <w:lang w:val="ka-GE"/>
        </w:rPr>
        <w:lastRenderedPageBreak/>
        <w:t xml:space="preserve">(საქართველოს საკონსტიტუციო სასამართლოს </w:t>
      </w:r>
      <w:r w:rsidR="008B0AE8" w:rsidRPr="00254DCC">
        <w:rPr>
          <w:rFonts w:ascii="Sylfaen" w:hAnsi="Sylfaen"/>
          <w:sz w:val="24"/>
          <w:szCs w:val="24"/>
          <w:lang w:val="ka-GE"/>
        </w:rPr>
        <w:t xml:space="preserve">2014 წლის 24 დეკემბრის N3/2/577გადაწყვეტილება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II-7). </w:t>
      </w:r>
      <w:r w:rsidR="005E1C01" w:rsidRPr="00254DCC">
        <w:rPr>
          <w:rFonts w:ascii="Sylfaen" w:hAnsi="Sylfaen"/>
          <w:sz w:val="24"/>
          <w:szCs w:val="24"/>
          <w:lang w:val="ka-GE"/>
        </w:rPr>
        <w:t xml:space="preserve">ამავე დროს, </w:t>
      </w:r>
      <w:r w:rsidR="008B0AE8" w:rsidRPr="00254DCC">
        <w:rPr>
          <w:rFonts w:ascii="Sylfaen" w:hAnsi="Sylfaen"/>
          <w:sz w:val="24"/>
          <w:szCs w:val="24"/>
          <w:lang w:val="ka-GE"/>
        </w:rPr>
        <w:t>საკონსტიტუციო სასამართლოს არაერთ</w:t>
      </w:r>
      <w:r w:rsidR="007B53D7" w:rsidRPr="00254DCC">
        <w:rPr>
          <w:rFonts w:ascii="Sylfaen" w:hAnsi="Sylfaen"/>
          <w:sz w:val="24"/>
          <w:szCs w:val="24"/>
          <w:lang w:val="ka-GE"/>
        </w:rPr>
        <w:t xml:space="preserve">ხელ აღუნიშნავს, რომ </w:t>
      </w:r>
      <w:r w:rsidR="003A0A4B" w:rsidRPr="00254DCC">
        <w:rPr>
          <w:rFonts w:ascii="Sylfaen" w:hAnsi="Sylfaen"/>
          <w:sz w:val="24"/>
          <w:szCs w:val="24"/>
          <w:lang w:val="ka-GE"/>
        </w:rPr>
        <w:t>მნიშვნელოვან ლეგიტიმურ ინტერესებს წარმოადგენს „სამოქალაქო ურთიერთობებში წესრიგისა და სტაბილურობის დამყარება</w:t>
      </w:r>
      <w:r w:rsidR="00C935F6" w:rsidRPr="00254DCC">
        <w:rPr>
          <w:rFonts w:ascii="Sylfaen" w:hAnsi="Sylfaen"/>
          <w:sz w:val="24"/>
          <w:szCs w:val="24"/>
          <w:lang w:val="ka-GE"/>
        </w:rPr>
        <w:t xml:space="preserve"> (</w:t>
      </w:r>
      <w:r w:rsidR="003A0A4B" w:rsidRPr="00254DCC">
        <w:rPr>
          <w:rFonts w:ascii="Sylfaen" w:hAnsi="Sylfaen"/>
          <w:sz w:val="24"/>
          <w:szCs w:val="24"/>
          <w:lang w:val="ka-GE"/>
        </w:rPr>
        <w:t>მოწესრიგებული  და სტაბილური სამოქალაქო ბრუნვის უზრუნველყოფა</w:t>
      </w:r>
      <w:r w:rsidR="00C935F6" w:rsidRPr="00254DCC">
        <w:rPr>
          <w:rFonts w:ascii="Sylfaen" w:hAnsi="Sylfaen"/>
          <w:sz w:val="24"/>
          <w:szCs w:val="24"/>
          <w:lang w:val="ka-GE"/>
        </w:rPr>
        <w:t>)</w:t>
      </w:r>
      <w:r w:rsidR="003A0A4B" w:rsidRPr="00254DCC">
        <w:rPr>
          <w:rFonts w:ascii="Sylfaen" w:hAnsi="Sylfaen"/>
          <w:sz w:val="24"/>
          <w:szCs w:val="24"/>
          <w:lang w:val="ka-GE"/>
        </w:rPr>
        <w:t xml:space="preserve">“ (საქართველოს საკონსტიტუციო სასამართლოს </w:t>
      </w:r>
      <w:r w:rsidR="00137CA1" w:rsidRPr="00254DCC">
        <w:rPr>
          <w:rFonts w:ascii="Sylfaen" w:hAnsi="Sylfaen"/>
          <w:sz w:val="24"/>
          <w:szCs w:val="24"/>
          <w:lang w:val="ka-GE"/>
        </w:rPr>
        <w:t xml:space="preserve">2013 წლის 5 ნოემბრის N3/1/531 გადაწყვეტილება საქმეზე „ისრაელის მოქალაქეები - თამარ ჯანაშვილი, ნანა ჯანაშვილი და ირმა ჯანაშვილი საქართველოს პარლამენტის წინააღმდეგ“ II-19). </w:t>
      </w:r>
      <w:r w:rsidR="00B9476D" w:rsidRPr="00254DCC">
        <w:rPr>
          <w:rFonts w:ascii="Sylfaen" w:hAnsi="Sylfaen"/>
          <w:sz w:val="24"/>
          <w:szCs w:val="24"/>
          <w:lang w:val="ka-GE"/>
        </w:rPr>
        <w:t xml:space="preserve">წარმოდგენელი განმარტებები მიუთითებს, რომ როგორც სწრაფი და ეფექტური მართლმსაჯულების განხორციელება, ასევე </w:t>
      </w:r>
      <w:r w:rsidR="004A551E" w:rsidRPr="00254DCC">
        <w:rPr>
          <w:rFonts w:ascii="Sylfaen" w:hAnsi="Sylfaen"/>
          <w:sz w:val="24"/>
          <w:szCs w:val="24"/>
          <w:lang w:val="ka-GE"/>
        </w:rPr>
        <w:t>სტაბილური სამოქალაქო ბრუნვის უზრუნველყოფა</w:t>
      </w:r>
      <w:r w:rsidR="000B7E9A" w:rsidRPr="00254DCC">
        <w:rPr>
          <w:rFonts w:ascii="Sylfaen" w:hAnsi="Sylfaen"/>
          <w:sz w:val="24"/>
          <w:szCs w:val="24"/>
          <w:lang w:val="ka-GE"/>
        </w:rPr>
        <w:t>,</w:t>
      </w:r>
      <w:r w:rsidR="004A551E" w:rsidRPr="00254DCC">
        <w:rPr>
          <w:rFonts w:ascii="Sylfaen" w:hAnsi="Sylfaen"/>
          <w:sz w:val="24"/>
          <w:szCs w:val="24"/>
          <w:lang w:val="ka-GE"/>
        </w:rPr>
        <w:t xml:space="preserve"> წარმოადგენს ღირებულ ლეგიტიმურ ინტერესებს. იმავდროულად, </w:t>
      </w:r>
      <w:r w:rsidR="00201029" w:rsidRPr="00254DCC">
        <w:rPr>
          <w:rFonts w:ascii="Sylfaen" w:hAnsi="Sylfaen"/>
          <w:sz w:val="24"/>
          <w:szCs w:val="24"/>
          <w:lang w:val="ka-GE"/>
        </w:rPr>
        <w:t xml:space="preserve">სამართალწარმოების მიმდინარეობისას პირის უფლებების დაცვა და მათი მომეტებული შეზღუდვის თავიდან </w:t>
      </w:r>
      <w:r w:rsidR="00FF7EDF" w:rsidRPr="00254DCC">
        <w:rPr>
          <w:rFonts w:ascii="Sylfaen" w:hAnsi="Sylfaen"/>
          <w:sz w:val="24"/>
          <w:szCs w:val="24"/>
          <w:lang w:val="ka-GE"/>
        </w:rPr>
        <w:t xml:space="preserve">აცილება </w:t>
      </w:r>
      <w:r w:rsidR="00BE0EE1" w:rsidRPr="00254DCC">
        <w:rPr>
          <w:rFonts w:ascii="Sylfaen" w:hAnsi="Sylfaen"/>
          <w:sz w:val="24"/>
          <w:szCs w:val="24"/>
          <w:lang w:val="ka-GE"/>
        </w:rPr>
        <w:t xml:space="preserve">მნიშვნელოვანი </w:t>
      </w:r>
      <w:r w:rsidR="004A551E" w:rsidRPr="00254DCC">
        <w:rPr>
          <w:rFonts w:ascii="Sylfaen" w:hAnsi="Sylfaen"/>
          <w:sz w:val="24"/>
          <w:szCs w:val="24"/>
          <w:lang w:val="ka-GE"/>
        </w:rPr>
        <w:t xml:space="preserve">კონსტიტუციური </w:t>
      </w:r>
      <w:r w:rsidR="00FF7EDF" w:rsidRPr="00254DCC">
        <w:rPr>
          <w:rFonts w:ascii="Sylfaen" w:hAnsi="Sylfaen"/>
          <w:sz w:val="24"/>
          <w:szCs w:val="24"/>
          <w:lang w:val="ka-GE"/>
        </w:rPr>
        <w:t>ღირებულების მატარებელია</w:t>
      </w:r>
      <w:r w:rsidR="004A551E" w:rsidRPr="00254DCC">
        <w:rPr>
          <w:rFonts w:ascii="Sylfaen" w:hAnsi="Sylfaen"/>
          <w:sz w:val="24"/>
          <w:szCs w:val="24"/>
          <w:lang w:val="ka-GE"/>
        </w:rPr>
        <w:t xml:space="preserve">. </w:t>
      </w:r>
      <w:r>
        <w:rPr>
          <w:rFonts w:ascii="Sylfaen" w:hAnsi="Sylfaen"/>
          <w:sz w:val="24"/>
          <w:szCs w:val="24"/>
          <w:lang w:val="ka-GE"/>
        </w:rPr>
        <w:t>აღნიშნულიდან</w:t>
      </w:r>
      <w:r w:rsidR="00BE0EE1" w:rsidRPr="00254DCC">
        <w:rPr>
          <w:rFonts w:ascii="Sylfaen" w:hAnsi="Sylfaen"/>
          <w:sz w:val="24"/>
          <w:szCs w:val="24"/>
          <w:lang w:val="ka-GE"/>
        </w:rPr>
        <w:t xml:space="preserve"> გამომდინარე, </w:t>
      </w:r>
      <w:r w:rsidR="00B552CC" w:rsidRPr="00254DCC">
        <w:rPr>
          <w:rFonts w:ascii="Sylfaen" w:hAnsi="Sylfaen"/>
          <w:sz w:val="24"/>
          <w:szCs w:val="24"/>
          <w:lang w:val="ka-GE"/>
        </w:rPr>
        <w:t>მოპასუხის</w:t>
      </w:r>
      <w:r w:rsidR="00BE0EE1" w:rsidRPr="00254DCC">
        <w:rPr>
          <w:rFonts w:ascii="Sylfaen" w:hAnsi="Sylfaen"/>
          <w:sz w:val="24"/>
          <w:szCs w:val="24"/>
          <w:lang w:val="ka-GE"/>
        </w:rPr>
        <w:t xml:space="preserve"> მიერ დასახელებული ლეგიტიმური მიზნები წარმოადგენს ღირებულ სამართლებრივ სიკეთეებს, რომელთა დაცვის მიზნით</w:t>
      </w:r>
      <w:r w:rsidR="00FD1213" w:rsidRPr="00254DCC">
        <w:rPr>
          <w:rFonts w:ascii="Sylfaen" w:hAnsi="Sylfaen"/>
          <w:sz w:val="24"/>
          <w:szCs w:val="24"/>
          <w:lang w:val="ka-GE"/>
        </w:rPr>
        <w:t xml:space="preserve"> </w:t>
      </w:r>
      <w:r w:rsidR="00BE0EE1" w:rsidRPr="00254DCC">
        <w:rPr>
          <w:rFonts w:ascii="Sylfaen" w:hAnsi="Sylfaen"/>
          <w:sz w:val="24"/>
          <w:szCs w:val="24"/>
          <w:lang w:val="ka-GE"/>
        </w:rPr>
        <w:t xml:space="preserve">სახელმწიფო უფლებამოსილია </w:t>
      </w:r>
      <w:r w:rsidR="00895973" w:rsidRPr="00254DCC">
        <w:rPr>
          <w:rFonts w:ascii="Sylfaen" w:hAnsi="Sylfaen"/>
          <w:sz w:val="24"/>
          <w:szCs w:val="24"/>
          <w:lang w:val="ka-GE"/>
        </w:rPr>
        <w:t>სამართლიანი სასამართლოს უფლება შეზღუდოს</w:t>
      </w:r>
      <w:r w:rsidR="001B56DB" w:rsidRPr="00254DCC">
        <w:rPr>
          <w:rFonts w:ascii="Sylfaen" w:hAnsi="Sylfaen"/>
          <w:sz w:val="24"/>
          <w:szCs w:val="24"/>
          <w:lang w:val="ka-GE"/>
        </w:rPr>
        <w:t xml:space="preserve">. </w:t>
      </w:r>
    </w:p>
    <w:p w14:paraId="159238F1" w14:textId="388CCB14" w:rsidR="00580348" w:rsidRPr="00254DCC" w:rsidRDefault="00291FBE" w:rsidP="001367B4">
      <w:pPr>
        <w:pStyle w:val="ListParagraph1"/>
        <w:numPr>
          <w:ilvl w:val="0"/>
          <w:numId w:val="4"/>
        </w:numPr>
        <w:tabs>
          <w:tab w:val="left" w:pos="900"/>
        </w:tabs>
        <w:spacing w:after="0"/>
        <w:ind w:left="0" w:firstLine="360"/>
        <w:contextualSpacing/>
        <w:jc w:val="both"/>
        <w:rPr>
          <w:rFonts w:ascii="Sylfaen" w:hAnsi="Sylfaen"/>
          <w:sz w:val="24"/>
          <w:szCs w:val="24"/>
          <w:lang w:val="ka-GE"/>
        </w:rPr>
      </w:pPr>
      <w:r w:rsidRPr="00254DCC">
        <w:rPr>
          <w:rFonts w:ascii="Sylfaen" w:hAnsi="Sylfaen"/>
          <w:sz w:val="24"/>
          <w:szCs w:val="24"/>
          <w:lang w:val="ka-GE"/>
        </w:rPr>
        <w:t xml:space="preserve">როგორც უკვე აღინიშნა, მხოლოდ ლეგიტიმურ </w:t>
      </w:r>
      <w:r w:rsidR="00895973" w:rsidRPr="00254DCC">
        <w:rPr>
          <w:rFonts w:ascii="Sylfaen" w:hAnsi="Sylfaen"/>
          <w:sz w:val="24"/>
          <w:szCs w:val="24"/>
          <w:lang w:val="ka-GE"/>
        </w:rPr>
        <w:t>მიზ</w:t>
      </w:r>
      <w:r w:rsidRPr="00254DCC">
        <w:rPr>
          <w:rFonts w:ascii="Sylfaen" w:hAnsi="Sylfaen"/>
          <w:sz w:val="24"/>
          <w:szCs w:val="24"/>
          <w:lang w:val="ka-GE"/>
        </w:rPr>
        <w:t>ა</w:t>
      </w:r>
      <w:r w:rsidR="00895973" w:rsidRPr="00254DCC">
        <w:rPr>
          <w:rFonts w:ascii="Sylfaen" w:hAnsi="Sylfaen"/>
          <w:sz w:val="24"/>
          <w:szCs w:val="24"/>
          <w:lang w:val="ka-GE"/>
        </w:rPr>
        <w:t>ნ</w:t>
      </w:r>
      <w:r w:rsidRPr="00254DCC">
        <w:rPr>
          <w:rFonts w:ascii="Sylfaen" w:hAnsi="Sylfaen"/>
          <w:sz w:val="24"/>
          <w:szCs w:val="24"/>
          <w:lang w:val="ka-GE"/>
        </w:rPr>
        <w:t>ზე</w:t>
      </w:r>
      <w:r w:rsidR="00895973" w:rsidRPr="00254DCC">
        <w:rPr>
          <w:rFonts w:ascii="Sylfaen" w:hAnsi="Sylfaen"/>
          <w:sz w:val="24"/>
          <w:szCs w:val="24"/>
          <w:lang w:val="ka-GE"/>
        </w:rPr>
        <w:t xml:space="preserve"> მითითება არ არის საკმარისი სადავო ნორმიდან მომდინარე შეზღუდვის გასამართლებლად. ამავე დროს აუცილებელია შეზღუდვა წარმოადგენდეს მიზნის მიღწევის ვარგის და აუცილებელ საშუალებას. </w:t>
      </w:r>
      <w:r w:rsidRPr="00254DCC">
        <w:rPr>
          <w:rFonts w:ascii="Sylfaen" w:hAnsi="Sylfaen"/>
          <w:sz w:val="24"/>
          <w:szCs w:val="24"/>
          <w:lang w:val="ka-GE"/>
        </w:rPr>
        <w:t xml:space="preserve">ვინაიდან </w:t>
      </w:r>
      <w:r w:rsidR="00895973" w:rsidRPr="00254DCC">
        <w:rPr>
          <w:rFonts w:ascii="Sylfaen" w:hAnsi="Sylfaen"/>
          <w:sz w:val="24"/>
          <w:szCs w:val="24"/>
          <w:lang w:val="ka-GE"/>
        </w:rPr>
        <w:t xml:space="preserve">მოპასუხე მხარის მითითებით </w:t>
      </w:r>
      <w:r w:rsidR="002F07C4" w:rsidRPr="00254DCC">
        <w:rPr>
          <w:rFonts w:ascii="Sylfaen" w:hAnsi="Sylfaen" w:cs="Sylfaen"/>
          <w:sz w:val="24"/>
          <w:szCs w:val="24"/>
          <w:lang w:val="ka-GE"/>
        </w:rPr>
        <w:t>სადავო</w:t>
      </w:r>
      <w:r w:rsidR="005B57A9" w:rsidRPr="00254DCC">
        <w:rPr>
          <w:rFonts w:ascii="Sylfaen" w:hAnsi="Sylfaen" w:cs="Sylfaen"/>
          <w:sz w:val="24"/>
          <w:szCs w:val="24"/>
          <w:lang w:val="ka-GE"/>
        </w:rPr>
        <w:t xml:space="preserve"> </w:t>
      </w:r>
      <w:r w:rsidRPr="00254DCC">
        <w:rPr>
          <w:rFonts w:ascii="Sylfaen" w:hAnsi="Sylfaen" w:cs="Sylfaen"/>
          <w:sz w:val="24"/>
          <w:szCs w:val="24"/>
          <w:lang w:val="ka-GE"/>
        </w:rPr>
        <w:t>ნორმა 3</w:t>
      </w:r>
      <w:r w:rsidR="005B57A9" w:rsidRPr="00254DCC">
        <w:rPr>
          <w:rFonts w:ascii="Sylfaen" w:hAnsi="Sylfaen" w:cs="Sylfaen"/>
          <w:sz w:val="24"/>
          <w:szCs w:val="24"/>
          <w:lang w:val="ka-GE"/>
        </w:rPr>
        <w:t xml:space="preserve"> </w:t>
      </w:r>
      <w:r w:rsidR="00B4485E" w:rsidRPr="00254DCC">
        <w:rPr>
          <w:rFonts w:ascii="Sylfaen" w:hAnsi="Sylfaen" w:cs="Sylfaen"/>
          <w:sz w:val="24"/>
          <w:szCs w:val="24"/>
          <w:lang w:val="ka-GE"/>
        </w:rPr>
        <w:t xml:space="preserve">ერთმანეთისგან შინაარსობრივად </w:t>
      </w:r>
      <w:r w:rsidR="005B57A9" w:rsidRPr="00254DCC">
        <w:rPr>
          <w:rFonts w:ascii="Sylfaen" w:hAnsi="Sylfaen" w:cs="Sylfaen"/>
          <w:sz w:val="24"/>
          <w:szCs w:val="24"/>
          <w:lang w:val="ka-GE"/>
        </w:rPr>
        <w:t xml:space="preserve">დამოუკიდებელი ლეგიტიმური </w:t>
      </w:r>
      <w:r w:rsidR="00FD1213" w:rsidRPr="00254DCC">
        <w:rPr>
          <w:rFonts w:ascii="Sylfaen" w:hAnsi="Sylfaen" w:cs="Sylfaen"/>
          <w:sz w:val="24"/>
          <w:szCs w:val="24"/>
          <w:lang w:val="ka-GE"/>
        </w:rPr>
        <w:t xml:space="preserve">მიზნის </w:t>
      </w:r>
      <w:r w:rsidR="005B57A9" w:rsidRPr="00254DCC">
        <w:rPr>
          <w:rFonts w:ascii="Sylfaen" w:hAnsi="Sylfaen" w:cs="Sylfaen"/>
          <w:sz w:val="24"/>
          <w:szCs w:val="24"/>
          <w:lang w:val="ka-GE"/>
        </w:rPr>
        <w:t>მიღწევას ემსახურება</w:t>
      </w:r>
      <w:r w:rsidR="00EA0B85" w:rsidRPr="00254DCC">
        <w:rPr>
          <w:rFonts w:ascii="Sylfaen" w:hAnsi="Sylfaen" w:cs="Sylfaen"/>
          <w:sz w:val="24"/>
          <w:szCs w:val="24"/>
          <w:lang w:val="ka-GE"/>
        </w:rPr>
        <w:t>,</w:t>
      </w:r>
      <w:r w:rsidR="00B4485E" w:rsidRPr="00254DCC">
        <w:rPr>
          <w:rFonts w:ascii="Sylfaen" w:hAnsi="Sylfaen" w:cs="Sylfaen"/>
          <w:sz w:val="24"/>
          <w:szCs w:val="24"/>
          <w:lang w:val="ka-GE"/>
        </w:rPr>
        <w:t xml:space="preserve"> </w:t>
      </w:r>
      <w:r w:rsidR="008C3498">
        <w:rPr>
          <w:rFonts w:ascii="Sylfaen" w:hAnsi="Sylfaen" w:cs="Sylfaen"/>
          <w:sz w:val="24"/>
          <w:szCs w:val="24"/>
          <w:lang w:val="ka-GE"/>
        </w:rPr>
        <w:t xml:space="preserve">საკონსტიტუციო </w:t>
      </w:r>
      <w:r w:rsidRPr="00254DCC">
        <w:rPr>
          <w:rFonts w:ascii="Sylfaen" w:hAnsi="Sylfaen" w:cs="Sylfaen"/>
          <w:sz w:val="24"/>
          <w:szCs w:val="24"/>
          <w:lang w:val="ka-GE"/>
        </w:rPr>
        <w:t>სასამარ</w:t>
      </w:r>
      <w:r w:rsidR="008C3498">
        <w:rPr>
          <w:rFonts w:ascii="Sylfaen" w:hAnsi="Sylfaen" w:cs="Sylfaen"/>
          <w:sz w:val="24"/>
          <w:szCs w:val="24"/>
          <w:lang w:val="ka-GE"/>
        </w:rPr>
        <w:t>თ</w:t>
      </w:r>
      <w:r w:rsidRPr="00254DCC">
        <w:rPr>
          <w:rFonts w:ascii="Sylfaen" w:hAnsi="Sylfaen" w:cs="Sylfaen"/>
          <w:sz w:val="24"/>
          <w:szCs w:val="24"/>
          <w:lang w:val="ka-GE"/>
        </w:rPr>
        <w:t>ლო დად</w:t>
      </w:r>
      <w:r w:rsidR="00DB5108" w:rsidRPr="00254DCC">
        <w:rPr>
          <w:rFonts w:ascii="Sylfaen" w:hAnsi="Sylfaen" w:cs="Sylfaen"/>
          <w:sz w:val="24"/>
          <w:szCs w:val="24"/>
          <w:lang w:val="ka-GE"/>
        </w:rPr>
        <w:t>გ</w:t>
      </w:r>
      <w:r w:rsidRPr="00254DCC">
        <w:rPr>
          <w:rFonts w:ascii="Sylfaen" w:hAnsi="Sylfaen" w:cs="Sylfaen"/>
          <w:sz w:val="24"/>
          <w:szCs w:val="24"/>
          <w:lang w:val="ka-GE"/>
        </w:rPr>
        <w:t>ენილი შეზღუდვის</w:t>
      </w:r>
      <w:r w:rsidR="005B57A9" w:rsidRPr="00254DCC">
        <w:rPr>
          <w:rFonts w:ascii="Sylfaen" w:hAnsi="Sylfaen" w:cs="Sylfaen"/>
          <w:sz w:val="24"/>
          <w:szCs w:val="24"/>
          <w:lang w:val="ka-GE"/>
        </w:rPr>
        <w:t xml:space="preserve"> </w:t>
      </w:r>
      <w:r w:rsidR="00AC3E8E" w:rsidRPr="00254DCC">
        <w:rPr>
          <w:rFonts w:ascii="Sylfaen" w:hAnsi="Sylfaen" w:cs="Sylfaen"/>
          <w:sz w:val="24"/>
          <w:szCs w:val="24"/>
          <w:lang w:val="ka-GE"/>
        </w:rPr>
        <w:t xml:space="preserve">თანაზომიერებას თითოეულ </w:t>
      </w:r>
      <w:r w:rsidRPr="00254DCC">
        <w:rPr>
          <w:rFonts w:ascii="Sylfaen" w:hAnsi="Sylfaen" w:cs="Sylfaen"/>
          <w:sz w:val="24"/>
          <w:szCs w:val="24"/>
          <w:lang w:val="ka-GE"/>
        </w:rPr>
        <w:t>მათგანთან</w:t>
      </w:r>
      <w:r w:rsidR="00AC3E8E" w:rsidRPr="00254DCC">
        <w:rPr>
          <w:rFonts w:ascii="Sylfaen" w:hAnsi="Sylfaen" w:cs="Sylfaen"/>
          <w:sz w:val="24"/>
          <w:szCs w:val="24"/>
          <w:lang w:val="ka-GE"/>
        </w:rPr>
        <w:t xml:space="preserve"> მიმართებით</w:t>
      </w:r>
      <w:r w:rsidRPr="00254DCC">
        <w:rPr>
          <w:rFonts w:ascii="Sylfaen" w:hAnsi="Sylfaen" w:cs="Sylfaen"/>
          <w:sz w:val="24"/>
          <w:szCs w:val="24"/>
          <w:lang w:val="ka-GE"/>
        </w:rPr>
        <w:t xml:space="preserve"> ცალ-ცალკე შეაფასებს</w:t>
      </w:r>
      <w:r w:rsidR="00AC3E8E" w:rsidRPr="00254DCC">
        <w:rPr>
          <w:rFonts w:ascii="Sylfaen" w:hAnsi="Sylfaen" w:cs="Sylfaen"/>
          <w:sz w:val="24"/>
          <w:szCs w:val="24"/>
          <w:lang w:val="ka-GE"/>
        </w:rPr>
        <w:t>.</w:t>
      </w:r>
    </w:p>
    <w:p w14:paraId="0A1EC4EA" w14:textId="77777777" w:rsidR="00291FBE" w:rsidRPr="00254DCC" w:rsidRDefault="00291FBE" w:rsidP="00291FBE">
      <w:pPr>
        <w:pStyle w:val="ListParagraph1"/>
        <w:tabs>
          <w:tab w:val="left" w:pos="900"/>
        </w:tabs>
        <w:spacing w:after="0"/>
        <w:ind w:left="360"/>
        <w:jc w:val="both"/>
        <w:rPr>
          <w:rFonts w:ascii="Sylfaen" w:hAnsi="Sylfaen" w:cs="Sylfaen"/>
          <w:b/>
          <w:i/>
          <w:sz w:val="24"/>
          <w:szCs w:val="24"/>
          <w:lang w:val="ka-GE"/>
        </w:rPr>
      </w:pPr>
    </w:p>
    <w:p w14:paraId="6F89AA86" w14:textId="68596994" w:rsidR="00291FBE" w:rsidRPr="00C97694" w:rsidRDefault="00291FBE" w:rsidP="00C97694">
      <w:pPr>
        <w:pStyle w:val="Heading4"/>
      </w:pPr>
      <w:r w:rsidRPr="00C97694">
        <w:t xml:space="preserve">1.2.1 სწრაფი და ეფექტური მართლმსაჯულების უზრუნველყოფა. </w:t>
      </w:r>
    </w:p>
    <w:p w14:paraId="5BFB3336" w14:textId="77777777" w:rsidR="00291FBE" w:rsidRPr="00254DCC" w:rsidRDefault="00291FBE" w:rsidP="00291FBE">
      <w:pPr>
        <w:pStyle w:val="ListParagraph1"/>
        <w:tabs>
          <w:tab w:val="left" w:pos="900"/>
        </w:tabs>
        <w:spacing w:after="0"/>
        <w:ind w:left="360"/>
        <w:jc w:val="both"/>
        <w:rPr>
          <w:rFonts w:ascii="Sylfaen" w:hAnsi="Sylfaen"/>
          <w:b/>
          <w:i/>
          <w:color w:val="auto"/>
          <w:sz w:val="24"/>
          <w:szCs w:val="24"/>
          <w:lang w:val="ka-GE"/>
        </w:rPr>
      </w:pPr>
    </w:p>
    <w:p w14:paraId="44E2516C" w14:textId="221ACA6E" w:rsidR="00D85089" w:rsidRPr="00254DCC" w:rsidRDefault="00291FBE" w:rsidP="00FE3E91">
      <w:pPr>
        <w:pStyle w:val="ListParagraph1"/>
        <w:numPr>
          <w:ilvl w:val="0"/>
          <w:numId w:val="4"/>
        </w:numPr>
        <w:tabs>
          <w:tab w:val="left" w:pos="900"/>
        </w:tabs>
        <w:spacing w:after="0"/>
        <w:ind w:left="0" w:firstLine="360"/>
        <w:jc w:val="both"/>
        <w:rPr>
          <w:rFonts w:ascii="Sylfaen" w:hAnsi="Sylfaen"/>
          <w:color w:val="auto"/>
          <w:sz w:val="24"/>
          <w:szCs w:val="24"/>
          <w:lang w:val="ka-GE"/>
        </w:rPr>
      </w:pPr>
      <w:r w:rsidRPr="00254DCC">
        <w:rPr>
          <w:rFonts w:ascii="Sylfaen" w:hAnsi="Sylfaen" w:cs="Sylfaen"/>
          <w:color w:val="auto"/>
          <w:sz w:val="24"/>
          <w:szCs w:val="24"/>
          <w:lang w:val="ka-GE"/>
        </w:rPr>
        <w:t>უპირველ</w:t>
      </w:r>
      <w:r w:rsidR="00DB5108" w:rsidRPr="00254DCC">
        <w:rPr>
          <w:rFonts w:ascii="Sylfaen" w:hAnsi="Sylfaen" w:cs="Sylfaen"/>
          <w:color w:val="auto"/>
          <w:sz w:val="24"/>
          <w:szCs w:val="24"/>
          <w:lang w:val="ka-GE"/>
        </w:rPr>
        <w:t>ე</w:t>
      </w:r>
      <w:r w:rsidRPr="00254DCC">
        <w:rPr>
          <w:rFonts w:ascii="Sylfaen" w:hAnsi="Sylfaen" w:cs="Sylfaen"/>
          <w:color w:val="auto"/>
          <w:sz w:val="24"/>
          <w:szCs w:val="24"/>
          <w:lang w:val="ka-GE"/>
        </w:rPr>
        <w:t>ს ყო</w:t>
      </w:r>
      <w:r w:rsidR="00EA0B85" w:rsidRPr="00254DCC">
        <w:rPr>
          <w:rFonts w:ascii="Sylfaen" w:hAnsi="Sylfaen" w:cs="Sylfaen"/>
          <w:color w:val="auto"/>
          <w:sz w:val="24"/>
          <w:szCs w:val="24"/>
          <w:lang w:val="ka-GE"/>
        </w:rPr>
        <w:t>ვ</w:t>
      </w:r>
      <w:r w:rsidRPr="00254DCC">
        <w:rPr>
          <w:rFonts w:ascii="Sylfaen" w:hAnsi="Sylfaen" w:cs="Sylfaen"/>
          <w:color w:val="auto"/>
          <w:sz w:val="24"/>
          <w:szCs w:val="24"/>
          <w:lang w:val="ka-GE"/>
        </w:rPr>
        <w:t xml:space="preserve">ლისა </w:t>
      </w:r>
      <w:r w:rsidR="00DB5108" w:rsidRPr="00254DCC">
        <w:rPr>
          <w:rFonts w:ascii="Sylfaen" w:hAnsi="Sylfaen" w:cs="Sylfaen"/>
          <w:color w:val="auto"/>
          <w:sz w:val="24"/>
          <w:szCs w:val="24"/>
          <w:lang w:val="ka-GE"/>
        </w:rPr>
        <w:t>სასამართლო</w:t>
      </w:r>
      <w:r w:rsidRPr="00254DCC">
        <w:rPr>
          <w:rFonts w:ascii="Sylfaen" w:hAnsi="Sylfaen" w:cs="Sylfaen"/>
          <w:color w:val="auto"/>
          <w:sz w:val="24"/>
          <w:szCs w:val="24"/>
          <w:lang w:val="ka-GE"/>
        </w:rPr>
        <w:t xml:space="preserve"> შეაფასებს რამდენად წარმოადგენს სადავო ნორმა სწრაფი და </w:t>
      </w:r>
      <w:r w:rsidR="00B63D22" w:rsidRPr="00254DCC">
        <w:rPr>
          <w:rFonts w:ascii="Sylfaen" w:hAnsi="Sylfaen" w:cs="Sylfaen"/>
          <w:color w:val="auto"/>
          <w:sz w:val="24"/>
          <w:szCs w:val="24"/>
          <w:lang w:val="ka-GE"/>
        </w:rPr>
        <w:t xml:space="preserve">ეფექტურ მართლმსაჯულების ლეგიტიმური მიზნის მიღწევის ვარგის და აუცილებელს საშუალებას. სადავო ნორმით განსაზღვრულია </w:t>
      </w:r>
      <w:r w:rsidR="008A6354">
        <w:rPr>
          <w:rFonts w:ascii="Sylfaen" w:hAnsi="Sylfaen" w:cs="Sylfaen"/>
          <w:color w:val="auto"/>
          <w:sz w:val="24"/>
          <w:szCs w:val="24"/>
          <w:lang w:val="ka-GE"/>
        </w:rPr>
        <w:t xml:space="preserve">სარჩელის უზრუნველყოფის ღონისძიების გამოყენების შედეგად მოსალოდნელი </w:t>
      </w:r>
      <w:r w:rsidR="00D85089" w:rsidRPr="00254DCC">
        <w:rPr>
          <w:rFonts w:ascii="Sylfaen" w:hAnsi="Sylfaen" w:cs="Sylfaen"/>
          <w:color w:val="auto"/>
          <w:sz w:val="24"/>
          <w:szCs w:val="24"/>
          <w:lang w:val="ka-GE"/>
        </w:rPr>
        <w:t xml:space="preserve"> ზარალის უზრუნველყოფის ვადა. </w:t>
      </w:r>
      <w:r w:rsidR="00BC2761" w:rsidRPr="00254DCC">
        <w:rPr>
          <w:rFonts w:ascii="Sylfaen" w:hAnsi="Sylfaen" w:cs="Sylfaen"/>
          <w:color w:val="auto"/>
          <w:sz w:val="24"/>
          <w:szCs w:val="24"/>
          <w:lang w:val="ka-GE"/>
        </w:rPr>
        <w:t>სარჩელის უზრუნველყოფის</w:t>
      </w:r>
      <w:r w:rsidR="00FD1213" w:rsidRPr="00254DCC">
        <w:rPr>
          <w:rFonts w:ascii="Sylfaen" w:hAnsi="Sylfaen" w:cs="Sylfaen"/>
          <w:color w:val="auto"/>
          <w:sz w:val="24"/>
          <w:szCs w:val="24"/>
          <w:lang w:val="ka-GE"/>
        </w:rPr>
        <w:t>ა</w:t>
      </w:r>
      <w:r w:rsidR="00BC2761" w:rsidRPr="00254DCC">
        <w:rPr>
          <w:rFonts w:ascii="Sylfaen" w:hAnsi="Sylfaen" w:cs="Sylfaen"/>
          <w:color w:val="auto"/>
          <w:sz w:val="24"/>
          <w:szCs w:val="24"/>
          <w:lang w:val="ka-GE"/>
        </w:rPr>
        <w:t xml:space="preserve"> თუ </w:t>
      </w:r>
      <w:r w:rsidR="008C3498">
        <w:rPr>
          <w:rFonts w:ascii="Sylfaen" w:hAnsi="Sylfaen" w:cs="Sylfaen"/>
          <w:color w:val="auto"/>
          <w:sz w:val="24"/>
          <w:szCs w:val="24"/>
          <w:lang w:val="ka-GE"/>
        </w:rPr>
        <w:t>მოსალოდნელი</w:t>
      </w:r>
      <w:r w:rsidR="00BC2761" w:rsidRPr="00254DCC">
        <w:rPr>
          <w:rFonts w:ascii="Sylfaen" w:hAnsi="Sylfaen" w:cs="Sylfaen"/>
          <w:color w:val="auto"/>
          <w:sz w:val="24"/>
          <w:szCs w:val="24"/>
          <w:lang w:val="ka-GE"/>
        </w:rPr>
        <w:t xml:space="preserve"> ზარალის უზრუნველყოფის </w:t>
      </w:r>
      <w:r w:rsidR="008A6354">
        <w:rPr>
          <w:rFonts w:ascii="Sylfaen" w:hAnsi="Sylfaen" w:cs="Sylfaen"/>
          <w:color w:val="auto"/>
          <w:sz w:val="24"/>
          <w:szCs w:val="24"/>
          <w:lang w:val="ka-GE"/>
        </w:rPr>
        <w:t xml:space="preserve">ღონისძიებების </w:t>
      </w:r>
      <w:r w:rsidR="00BC2761" w:rsidRPr="00254DCC">
        <w:rPr>
          <w:rFonts w:ascii="Sylfaen" w:hAnsi="Sylfaen" w:cs="Sylfaen"/>
          <w:color w:val="auto"/>
          <w:sz w:val="24"/>
          <w:szCs w:val="24"/>
          <w:lang w:val="ka-GE"/>
        </w:rPr>
        <w:t>გამოყენება</w:t>
      </w:r>
      <w:r w:rsidR="000A24BA" w:rsidRPr="00254DCC">
        <w:rPr>
          <w:rFonts w:ascii="Sylfaen" w:hAnsi="Sylfaen" w:cs="Sylfaen"/>
          <w:color w:val="auto"/>
          <w:sz w:val="24"/>
          <w:szCs w:val="24"/>
          <w:lang w:val="ka-GE"/>
        </w:rPr>
        <w:t xml:space="preserve">/შეწყვეტა </w:t>
      </w:r>
      <w:r w:rsidR="008A6354">
        <w:rPr>
          <w:rFonts w:ascii="Sylfaen" w:hAnsi="Sylfaen" w:cs="Sylfaen"/>
          <w:color w:val="auto"/>
          <w:sz w:val="24"/>
          <w:szCs w:val="24"/>
          <w:lang w:val="ka-GE"/>
        </w:rPr>
        <w:t xml:space="preserve">არ უკავშირდება საქმის </w:t>
      </w:r>
      <w:r w:rsidR="008A6354">
        <w:rPr>
          <w:rFonts w:ascii="Sylfaen" w:hAnsi="Sylfaen" w:cs="Sylfaen"/>
          <w:color w:val="auto"/>
          <w:sz w:val="24"/>
          <w:szCs w:val="24"/>
          <w:lang w:val="ka-GE"/>
        </w:rPr>
        <w:lastRenderedPageBreak/>
        <w:t xml:space="preserve">გადაწყვეტასთან დაკავშირებული სხვა მოქმედებების განხორციელებაზე და ამდენად, იგი </w:t>
      </w:r>
      <w:r w:rsidR="000A24BA" w:rsidRPr="00254DCC">
        <w:rPr>
          <w:rFonts w:ascii="Sylfaen" w:hAnsi="Sylfaen" w:cs="Sylfaen"/>
          <w:color w:val="auto"/>
          <w:sz w:val="24"/>
          <w:szCs w:val="24"/>
          <w:lang w:val="ka-GE"/>
        </w:rPr>
        <w:t xml:space="preserve">ზემოქმედებას </w:t>
      </w:r>
      <w:r w:rsidR="00315A57" w:rsidRPr="00254DCC">
        <w:rPr>
          <w:rFonts w:ascii="Sylfaen" w:hAnsi="Sylfaen" w:cs="Sylfaen"/>
          <w:color w:val="auto"/>
          <w:sz w:val="24"/>
          <w:szCs w:val="24"/>
          <w:lang w:val="ka-GE"/>
        </w:rPr>
        <w:t>არ ახდენს</w:t>
      </w:r>
      <w:r w:rsidR="00315A57">
        <w:rPr>
          <w:rFonts w:ascii="Sylfaen" w:hAnsi="Sylfaen" w:cs="Sylfaen"/>
          <w:color w:val="auto"/>
          <w:sz w:val="24"/>
          <w:szCs w:val="24"/>
          <w:lang w:val="ka-GE"/>
        </w:rPr>
        <w:t xml:space="preserve"> </w:t>
      </w:r>
      <w:r w:rsidR="000A24BA" w:rsidRPr="00254DCC">
        <w:rPr>
          <w:rFonts w:ascii="Sylfaen" w:hAnsi="Sylfaen" w:cs="Sylfaen"/>
          <w:color w:val="auto"/>
          <w:sz w:val="24"/>
          <w:szCs w:val="24"/>
          <w:lang w:val="ka-GE"/>
        </w:rPr>
        <w:t>საქმის განხილ</w:t>
      </w:r>
      <w:r w:rsidR="00D85089" w:rsidRPr="00254DCC">
        <w:rPr>
          <w:rFonts w:ascii="Sylfaen" w:hAnsi="Sylfaen" w:cs="Sylfaen"/>
          <w:color w:val="auto"/>
          <w:sz w:val="24"/>
          <w:szCs w:val="24"/>
          <w:lang w:val="ka-GE"/>
        </w:rPr>
        <w:t>ვ</w:t>
      </w:r>
      <w:r w:rsidR="000A24BA" w:rsidRPr="00254DCC">
        <w:rPr>
          <w:rFonts w:ascii="Sylfaen" w:hAnsi="Sylfaen" w:cs="Sylfaen"/>
          <w:color w:val="auto"/>
          <w:sz w:val="24"/>
          <w:szCs w:val="24"/>
          <w:lang w:val="ka-GE"/>
        </w:rPr>
        <w:t>ა/გადაწყვეტის საერთო ვადაზე</w:t>
      </w:r>
      <w:r w:rsidR="008A6354">
        <w:rPr>
          <w:rFonts w:ascii="Sylfaen" w:hAnsi="Sylfaen" w:cs="Sylfaen"/>
          <w:color w:val="auto"/>
          <w:sz w:val="24"/>
          <w:szCs w:val="24"/>
          <w:lang w:val="ka-GE"/>
        </w:rPr>
        <w:t xml:space="preserve">, იგი არ იწვევს </w:t>
      </w:r>
      <w:r w:rsidR="008A6354" w:rsidRPr="00254DCC">
        <w:rPr>
          <w:rFonts w:ascii="Sylfaen" w:hAnsi="Sylfaen" w:cs="Sylfaen"/>
          <w:color w:val="auto"/>
          <w:sz w:val="24"/>
          <w:szCs w:val="24"/>
          <w:lang w:val="ka-GE"/>
        </w:rPr>
        <w:t>საქმის განხილვის შეჩერება</w:t>
      </w:r>
      <w:r w:rsidR="008A6354">
        <w:rPr>
          <w:rFonts w:ascii="Sylfaen" w:hAnsi="Sylfaen" w:cs="Sylfaen"/>
          <w:color w:val="auto"/>
          <w:sz w:val="24"/>
          <w:szCs w:val="24"/>
          <w:lang w:val="ka-GE"/>
        </w:rPr>
        <w:t>ს</w:t>
      </w:r>
      <w:r w:rsidR="008A6354" w:rsidRPr="00254DCC">
        <w:rPr>
          <w:rFonts w:ascii="Sylfaen" w:hAnsi="Sylfaen" w:cs="Sylfaen"/>
          <w:color w:val="auto"/>
          <w:sz w:val="24"/>
          <w:szCs w:val="24"/>
          <w:lang w:val="ka-GE"/>
        </w:rPr>
        <w:t xml:space="preserve"> ან რაიმე სახით შეფერხება</w:t>
      </w:r>
      <w:r w:rsidR="008A6354">
        <w:rPr>
          <w:rFonts w:ascii="Sylfaen" w:hAnsi="Sylfaen" w:cs="Sylfaen"/>
          <w:color w:val="auto"/>
          <w:sz w:val="24"/>
          <w:szCs w:val="24"/>
          <w:lang w:val="ka-GE"/>
        </w:rPr>
        <w:t>ს</w:t>
      </w:r>
      <w:r w:rsidR="008A6354" w:rsidRPr="00254DCC">
        <w:rPr>
          <w:rFonts w:ascii="Sylfaen" w:hAnsi="Sylfaen" w:cs="Sylfaen"/>
          <w:color w:val="auto"/>
          <w:sz w:val="24"/>
          <w:szCs w:val="24"/>
          <w:lang w:val="ka-GE"/>
        </w:rPr>
        <w:t xml:space="preserve">. </w:t>
      </w:r>
      <w:r w:rsidR="001123B8" w:rsidRPr="00254DCC">
        <w:rPr>
          <w:rFonts w:ascii="Sylfaen" w:hAnsi="Sylfaen" w:cs="Sylfaen"/>
          <w:color w:val="auto"/>
          <w:sz w:val="24"/>
          <w:szCs w:val="24"/>
          <w:lang w:val="ka-GE"/>
        </w:rPr>
        <w:t>შესაბამისად, სადავო ნორმით გათვალისწინებული რეგულაცია ვერანაირ გავლენას ვერ მოახდენს</w:t>
      </w:r>
      <w:r w:rsidR="00DB31A4" w:rsidRPr="00254DCC">
        <w:rPr>
          <w:rFonts w:ascii="Sylfaen" w:hAnsi="Sylfaen" w:cs="Sylfaen"/>
          <w:color w:val="auto"/>
          <w:sz w:val="24"/>
          <w:szCs w:val="24"/>
          <w:lang w:val="ka-GE"/>
        </w:rPr>
        <w:t xml:space="preserve"> სამოქალაქო დავაზე არსებულ</w:t>
      </w:r>
      <w:r w:rsidR="00FD1213" w:rsidRPr="00254DCC">
        <w:rPr>
          <w:rFonts w:ascii="Sylfaen" w:hAnsi="Sylfaen" w:cs="Sylfaen"/>
          <w:color w:val="auto"/>
          <w:sz w:val="24"/>
          <w:szCs w:val="24"/>
          <w:lang w:val="ka-GE"/>
        </w:rPr>
        <w:t>ი</w:t>
      </w:r>
      <w:r w:rsidR="00DB31A4" w:rsidRPr="00254DCC">
        <w:rPr>
          <w:rFonts w:ascii="Sylfaen" w:hAnsi="Sylfaen" w:cs="Sylfaen"/>
          <w:color w:val="auto"/>
          <w:sz w:val="24"/>
          <w:szCs w:val="24"/>
          <w:lang w:val="ka-GE"/>
        </w:rPr>
        <w:t xml:space="preserve"> სამართალწარმოების მიმდინარეობაზე</w:t>
      </w:r>
      <w:r w:rsidR="002A2D3A" w:rsidRPr="00254DCC">
        <w:rPr>
          <w:rFonts w:ascii="Sylfaen" w:hAnsi="Sylfaen" w:cs="Sylfaen"/>
          <w:color w:val="auto"/>
          <w:sz w:val="24"/>
          <w:szCs w:val="24"/>
          <w:lang w:val="ka-GE"/>
        </w:rPr>
        <w:t xml:space="preserve"> ან მისი განხილვის ვადებზე. </w:t>
      </w:r>
      <w:r w:rsidR="00D85089" w:rsidRPr="00254DCC">
        <w:rPr>
          <w:rFonts w:ascii="Sylfaen" w:hAnsi="Sylfaen" w:cs="Sylfaen"/>
          <w:color w:val="auto"/>
          <w:sz w:val="24"/>
          <w:szCs w:val="24"/>
          <w:lang w:val="ka-GE"/>
        </w:rPr>
        <w:t>იგი ემსახურება პროცესის მონაწილის მიერ</w:t>
      </w:r>
      <w:r w:rsidR="00AC6568" w:rsidRPr="00254DCC">
        <w:rPr>
          <w:rFonts w:ascii="Sylfaen" w:hAnsi="Sylfaen" w:cs="Sylfaen"/>
          <w:color w:val="auto"/>
          <w:sz w:val="24"/>
          <w:szCs w:val="24"/>
          <w:lang w:val="ka-GE"/>
        </w:rPr>
        <w:t xml:space="preserve"> მეორე მხარის</w:t>
      </w:r>
      <w:r w:rsidR="00EA0B85" w:rsidRPr="00254DCC">
        <w:rPr>
          <w:rFonts w:ascii="Sylfaen" w:hAnsi="Sylfaen" w:cs="Sylfaen"/>
          <w:color w:val="auto"/>
          <w:sz w:val="24"/>
          <w:szCs w:val="24"/>
          <w:lang w:val="ka-GE"/>
        </w:rPr>
        <w:t>ათვის მიყენებული</w:t>
      </w:r>
      <w:r w:rsidR="00AC6568" w:rsidRPr="00254DCC">
        <w:rPr>
          <w:rFonts w:ascii="Sylfaen" w:hAnsi="Sylfaen" w:cs="Sylfaen"/>
          <w:color w:val="auto"/>
          <w:sz w:val="24"/>
          <w:szCs w:val="24"/>
          <w:lang w:val="ka-GE"/>
        </w:rPr>
        <w:t xml:space="preserve"> შესაძლო ზარალის უზრუნველყოფის ვადის </w:t>
      </w:r>
      <w:r w:rsidR="008A6354">
        <w:rPr>
          <w:rFonts w:ascii="Sylfaen" w:hAnsi="Sylfaen" w:cs="Sylfaen"/>
          <w:color w:val="auto"/>
          <w:sz w:val="24"/>
          <w:szCs w:val="24"/>
          <w:lang w:val="ka-GE"/>
        </w:rPr>
        <w:t>განსაზღვრას</w:t>
      </w:r>
      <w:r w:rsidR="00AC6568" w:rsidRPr="00254DCC">
        <w:rPr>
          <w:rFonts w:ascii="Sylfaen" w:hAnsi="Sylfaen" w:cs="Sylfaen"/>
          <w:color w:val="auto"/>
          <w:sz w:val="24"/>
          <w:szCs w:val="24"/>
          <w:lang w:val="ka-GE"/>
        </w:rPr>
        <w:t xml:space="preserve"> და </w:t>
      </w:r>
      <w:r w:rsidR="008A6354">
        <w:rPr>
          <w:rFonts w:ascii="Sylfaen" w:hAnsi="Sylfaen" w:cs="Sylfaen"/>
          <w:color w:val="auto"/>
          <w:sz w:val="24"/>
          <w:szCs w:val="24"/>
          <w:lang w:val="ka-GE"/>
        </w:rPr>
        <w:t xml:space="preserve">გავლენას არ ახდენს </w:t>
      </w:r>
      <w:r w:rsidR="00AC6568" w:rsidRPr="00254DCC">
        <w:rPr>
          <w:rFonts w:ascii="Sylfaen" w:hAnsi="Sylfaen" w:cs="Sylfaen"/>
          <w:color w:val="auto"/>
          <w:sz w:val="24"/>
          <w:szCs w:val="24"/>
          <w:lang w:val="ka-GE"/>
        </w:rPr>
        <w:t xml:space="preserve"> თავად </w:t>
      </w:r>
      <w:r w:rsidR="008A6354">
        <w:rPr>
          <w:rFonts w:ascii="Sylfaen" w:hAnsi="Sylfaen" w:cs="Sylfaen"/>
          <w:color w:val="auto"/>
          <w:sz w:val="24"/>
          <w:szCs w:val="24"/>
          <w:lang w:val="ka-GE"/>
        </w:rPr>
        <w:t>სამართალწარმოების</w:t>
      </w:r>
      <w:r w:rsidR="00AC6568" w:rsidRPr="00254DCC">
        <w:rPr>
          <w:rFonts w:ascii="Sylfaen" w:hAnsi="Sylfaen" w:cs="Sylfaen"/>
          <w:color w:val="auto"/>
          <w:sz w:val="24"/>
          <w:szCs w:val="24"/>
          <w:lang w:val="ka-GE"/>
        </w:rPr>
        <w:t xml:space="preserve"> </w:t>
      </w:r>
      <w:r w:rsidR="008A6354">
        <w:rPr>
          <w:rFonts w:ascii="Sylfaen" w:hAnsi="Sylfaen" w:cs="Sylfaen"/>
          <w:color w:val="auto"/>
          <w:sz w:val="24"/>
          <w:szCs w:val="24"/>
          <w:lang w:val="ka-GE"/>
        </w:rPr>
        <w:t>სისწრაფეზე</w:t>
      </w:r>
      <w:r w:rsidR="00AC6568" w:rsidRPr="00254DCC">
        <w:rPr>
          <w:rFonts w:ascii="Sylfaen" w:hAnsi="Sylfaen" w:cs="Sylfaen"/>
          <w:color w:val="auto"/>
          <w:sz w:val="24"/>
          <w:szCs w:val="24"/>
          <w:lang w:val="ka-GE"/>
        </w:rPr>
        <w:t>.</w:t>
      </w:r>
    </w:p>
    <w:p w14:paraId="2ACD8A43" w14:textId="76F4543C" w:rsidR="00AC6568" w:rsidRPr="00254DCC" w:rsidRDefault="00AC6568" w:rsidP="009344E8">
      <w:pPr>
        <w:pStyle w:val="ListParagraph1"/>
        <w:numPr>
          <w:ilvl w:val="0"/>
          <w:numId w:val="4"/>
        </w:numPr>
        <w:tabs>
          <w:tab w:val="left" w:pos="900"/>
        </w:tabs>
        <w:spacing w:after="0"/>
        <w:ind w:left="0" w:firstLine="360"/>
        <w:jc w:val="both"/>
        <w:rPr>
          <w:rFonts w:ascii="Sylfaen" w:hAnsi="Sylfaen"/>
          <w:color w:val="auto"/>
          <w:sz w:val="24"/>
          <w:szCs w:val="24"/>
          <w:lang w:val="ka-GE"/>
        </w:rPr>
      </w:pPr>
      <w:r w:rsidRPr="00254DCC">
        <w:rPr>
          <w:rFonts w:ascii="Sylfaen" w:hAnsi="Sylfaen" w:cs="Sylfaen"/>
          <w:color w:val="auto"/>
          <w:sz w:val="24"/>
          <w:szCs w:val="24"/>
          <w:lang w:val="ka-GE"/>
        </w:rPr>
        <w:t>ამავე დროს</w:t>
      </w:r>
      <w:r w:rsidR="001473A4" w:rsidRPr="00254DCC">
        <w:rPr>
          <w:rFonts w:ascii="Sylfaen" w:hAnsi="Sylfaen" w:cs="Sylfaen"/>
          <w:color w:val="auto"/>
          <w:sz w:val="24"/>
          <w:szCs w:val="24"/>
          <w:lang w:val="ka-GE"/>
        </w:rPr>
        <w:t>,</w:t>
      </w:r>
      <w:r w:rsidRPr="00254DCC">
        <w:rPr>
          <w:rFonts w:ascii="Sylfaen" w:hAnsi="Sylfaen" w:cs="Sylfaen"/>
          <w:color w:val="auto"/>
          <w:sz w:val="24"/>
          <w:szCs w:val="24"/>
          <w:lang w:val="ka-GE"/>
        </w:rPr>
        <w:t xml:space="preserve"> ასევე არ იკვეთება კავშირი სასამართლოს გადაწყვეტილების ეფექტურობასა და </w:t>
      </w:r>
      <w:r w:rsidR="001473A4" w:rsidRPr="00254DCC">
        <w:rPr>
          <w:rFonts w:ascii="Sylfaen" w:hAnsi="Sylfaen" w:cs="Sylfaen"/>
          <w:color w:val="auto"/>
          <w:sz w:val="24"/>
          <w:szCs w:val="24"/>
          <w:lang w:val="ka-GE"/>
        </w:rPr>
        <w:t xml:space="preserve">მოსალოდნელი </w:t>
      </w:r>
      <w:r w:rsidRPr="00254DCC">
        <w:rPr>
          <w:rFonts w:ascii="Sylfaen" w:hAnsi="Sylfaen" w:cs="Sylfaen"/>
          <w:color w:val="auto"/>
          <w:sz w:val="24"/>
          <w:szCs w:val="24"/>
          <w:lang w:val="ka-GE"/>
        </w:rPr>
        <w:t xml:space="preserve">ზარალის უზრუნველყოფის ვადაში შეზღუდვას შორის. </w:t>
      </w:r>
      <w:r w:rsidR="00CD47F5" w:rsidRPr="00254DCC">
        <w:rPr>
          <w:rFonts w:ascii="Sylfaen" w:hAnsi="Sylfaen" w:cs="Sylfaen"/>
          <w:color w:val="auto"/>
          <w:sz w:val="24"/>
          <w:szCs w:val="24"/>
          <w:lang w:val="ka-GE"/>
        </w:rPr>
        <w:t xml:space="preserve">ამდენად, სადავო ნორმით გათვალისწინებულ </w:t>
      </w:r>
      <w:r w:rsidR="00007FCE" w:rsidRPr="00254DCC">
        <w:rPr>
          <w:rFonts w:ascii="Sylfaen" w:hAnsi="Sylfaen" w:cs="Sylfaen"/>
          <w:color w:val="auto"/>
          <w:sz w:val="24"/>
          <w:szCs w:val="24"/>
          <w:lang w:val="ka-GE"/>
        </w:rPr>
        <w:t xml:space="preserve">შეზღუდვას </w:t>
      </w:r>
      <w:r w:rsidR="00F20F8C" w:rsidRPr="00254DCC">
        <w:rPr>
          <w:rFonts w:ascii="Sylfaen" w:hAnsi="Sylfaen" w:cs="Sylfaen"/>
          <w:color w:val="auto"/>
          <w:sz w:val="24"/>
          <w:szCs w:val="24"/>
          <w:lang w:val="ka-GE"/>
        </w:rPr>
        <w:t>არ გააჩნია გონივრული კავშირი მოპასუხის მიერ დასახელებულ ლეგიტიმურ მიზანთან</w:t>
      </w:r>
      <w:r w:rsidR="00007FCE" w:rsidRPr="00254DCC">
        <w:rPr>
          <w:rFonts w:ascii="Sylfaen" w:hAnsi="Sylfaen" w:cs="Sylfaen"/>
          <w:color w:val="auto"/>
          <w:sz w:val="24"/>
          <w:szCs w:val="24"/>
          <w:lang w:val="ka-GE"/>
        </w:rPr>
        <w:t xml:space="preserve">, შესაბამისად, </w:t>
      </w:r>
      <w:r w:rsidR="00D061FA" w:rsidRPr="00254DCC">
        <w:rPr>
          <w:rFonts w:ascii="Sylfaen" w:hAnsi="Sylfaen" w:cs="Sylfaen"/>
          <w:color w:val="auto"/>
          <w:sz w:val="24"/>
          <w:szCs w:val="24"/>
          <w:lang w:val="ka-GE"/>
        </w:rPr>
        <w:t xml:space="preserve">უფლების </w:t>
      </w:r>
      <w:r w:rsidR="00E26640" w:rsidRPr="00254DCC">
        <w:rPr>
          <w:rFonts w:ascii="Sylfaen" w:hAnsi="Sylfaen" w:cs="Sylfaen"/>
          <w:color w:val="auto"/>
          <w:sz w:val="24"/>
          <w:szCs w:val="24"/>
          <w:lang w:val="ka-GE"/>
        </w:rPr>
        <w:t xml:space="preserve">შეზღუდვის განსახილველი ფორმა </w:t>
      </w:r>
      <w:r w:rsidR="00D061FA" w:rsidRPr="00254DCC">
        <w:rPr>
          <w:rFonts w:ascii="Sylfaen" w:hAnsi="Sylfaen" w:cs="Sylfaen"/>
          <w:color w:val="auto"/>
          <w:sz w:val="24"/>
          <w:szCs w:val="24"/>
          <w:lang w:val="ka-GE"/>
        </w:rPr>
        <w:t>ქმედითი</w:t>
      </w:r>
      <w:r w:rsidR="00FD1213" w:rsidRPr="00254DCC">
        <w:rPr>
          <w:rFonts w:ascii="Sylfaen" w:hAnsi="Sylfaen" w:cs="Sylfaen"/>
          <w:color w:val="auto"/>
          <w:sz w:val="24"/>
          <w:szCs w:val="24"/>
          <w:lang w:val="ka-GE"/>
        </w:rPr>
        <w:t>,</w:t>
      </w:r>
      <w:r w:rsidR="00D061FA" w:rsidRPr="00254DCC">
        <w:rPr>
          <w:rFonts w:ascii="Sylfaen" w:hAnsi="Sylfaen" w:cs="Sylfaen"/>
          <w:color w:val="auto"/>
          <w:sz w:val="24"/>
          <w:szCs w:val="24"/>
          <w:lang w:val="ka-GE"/>
        </w:rPr>
        <w:t xml:space="preserve"> სწრაფი და ეფექტური მართლმსაჯულების </w:t>
      </w:r>
      <w:r w:rsidR="00AF64F2" w:rsidRPr="00254DCC">
        <w:rPr>
          <w:rFonts w:ascii="Sylfaen" w:hAnsi="Sylfaen" w:cs="Sylfaen"/>
          <w:color w:val="auto"/>
          <w:sz w:val="24"/>
          <w:szCs w:val="24"/>
          <w:lang w:val="ka-GE"/>
        </w:rPr>
        <w:t xml:space="preserve">ლეგიტიმური მიზნის მიღწევის </w:t>
      </w:r>
      <w:r w:rsidR="009873CD" w:rsidRPr="00254DCC">
        <w:rPr>
          <w:rFonts w:ascii="Sylfaen" w:hAnsi="Sylfaen" w:cs="Sylfaen"/>
          <w:color w:val="auto"/>
          <w:sz w:val="24"/>
          <w:szCs w:val="24"/>
          <w:lang w:val="ka-GE"/>
        </w:rPr>
        <w:t>გამოუსადეგარი</w:t>
      </w:r>
      <w:r w:rsidR="00AF64F2" w:rsidRPr="00254DCC">
        <w:rPr>
          <w:rFonts w:ascii="Sylfaen" w:hAnsi="Sylfaen" w:cs="Sylfaen"/>
          <w:color w:val="auto"/>
          <w:sz w:val="24"/>
          <w:szCs w:val="24"/>
          <w:lang w:val="ka-GE"/>
        </w:rPr>
        <w:t xml:space="preserve"> საშუალებაა.</w:t>
      </w:r>
    </w:p>
    <w:p w14:paraId="2868E56B" w14:textId="77777777" w:rsidR="00AC6568" w:rsidRPr="00254DCC" w:rsidRDefault="00AC6568" w:rsidP="00AC6568">
      <w:pPr>
        <w:pStyle w:val="ListParagraph1"/>
        <w:tabs>
          <w:tab w:val="left" w:pos="900"/>
        </w:tabs>
        <w:spacing w:after="0"/>
        <w:jc w:val="both"/>
        <w:rPr>
          <w:rFonts w:ascii="Sylfaen" w:hAnsi="Sylfaen" w:cs="Sylfaen"/>
          <w:color w:val="auto"/>
          <w:sz w:val="24"/>
          <w:szCs w:val="24"/>
          <w:lang w:val="ka-GE"/>
        </w:rPr>
      </w:pPr>
    </w:p>
    <w:p w14:paraId="5B360DDD" w14:textId="495A48F9" w:rsidR="00AC6568" w:rsidRPr="009D1AC9" w:rsidRDefault="00AC6568" w:rsidP="00C97694">
      <w:pPr>
        <w:pStyle w:val="Heading4"/>
        <w:rPr>
          <w:color w:val="auto"/>
        </w:rPr>
      </w:pPr>
      <w:r w:rsidRPr="009D1AC9">
        <w:rPr>
          <w:color w:val="auto"/>
        </w:rPr>
        <w:t xml:space="preserve">1.2.2. </w:t>
      </w:r>
      <w:r w:rsidRPr="009D1AC9">
        <w:t>სტაბილური სამოქალაქო ბრუნვის უზრუნველყოფა</w:t>
      </w:r>
    </w:p>
    <w:p w14:paraId="3842B67A" w14:textId="43BEC8E0" w:rsidR="002F07C4" w:rsidRPr="00254DCC" w:rsidRDefault="00AF64F2" w:rsidP="00AC6568">
      <w:pPr>
        <w:pStyle w:val="ListParagraph1"/>
        <w:tabs>
          <w:tab w:val="left" w:pos="900"/>
        </w:tabs>
        <w:spacing w:after="0"/>
        <w:jc w:val="both"/>
        <w:rPr>
          <w:rFonts w:ascii="Sylfaen" w:hAnsi="Sylfaen"/>
          <w:color w:val="auto"/>
          <w:sz w:val="24"/>
          <w:szCs w:val="24"/>
          <w:lang w:val="ka-GE"/>
        </w:rPr>
      </w:pPr>
      <w:r w:rsidRPr="00254DCC">
        <w:rPr>
          <w:rFonts w:ascii="Sylfaen" w:hAnsi="Sylfaen" w:cs="Sylfaen"/>
          <w:color w:val="auto"/>
          <w:sz w:val="24"/>
          <w:szCs w:val="24"/>
          <w:lang w:val="ka-GE"/>
        </w:rPr>
        <w:t xml:space="preserve"> </w:t>
      </w:r>
    </w:p>
    <w:p w14:paraId="430614FD" w14:textId="160A71C6" w:rsidR="00615AAA" w:rsidRPr="00254DCC" w:rsidRDefault="00494E52"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cs="Sylfaen"/>
          <w:sz w:val="24"/>
          <w:szCs w:val="24"/>
          <w:lang w:val="ka-GE"/>
        </w:rPr>
        <w:t xml:space="preserve">სადავო ნორმით დადგენილი შეზღუდვის კონსტიტუციურობა აგრეთვე უნდა შეფასდეს სამოქალაქო ბრუნვის სტაბილურობის ლეგიტიმურ მიზანთან მიმართებით. </w:t>
      </w:r>
      <w:r w:rsidR="00032269" w:rsidRPr="00254DCC">
        <w:rPr>
          <w:rFonts w:ascii="Sylfaen" w:hAnsi="Sylfaen" w:cs="Sylfaen"/>
          <w:sz w:val="24"/>
          <w:szCs w:val="24"/>
          <w:lang w:val="ka-GE"/>
        </w:rPr>
        <w:t xml:space="preserve">სამოქალაქო ბრუნვის სტაბილურობა აყალიბებს საზოგადოების ლეგიტიმურ მოლოდინს საკუთრების უფლებასთან დაკავშირებით და </w:t>
      </w:r>
      <w:r w:rsidR="00170190" w:rsidRPr="00254DCC">
        <w:rPr>
          <w:rFonts w:ascii="Sylfaen" w:hAnsi="Sylfaen" w:cs="Sylfaen"/>
          <w:sz w:val="24"/>
          <w:szCs w:val="24"/>
          <w:lang w:val="ka-GE"/>
        </w:rPr>
        <w:t xml:space="preserve">წარმოადგენს სახელმწიფოს ეკონომიკური განვითარების მნიშვნელოვან წინაპირობას. სამოქალაქო სამართლებრივი </w:t>
      </w:r>
      <w:r w:rsidR="00417292" w:rsidRPr="00254DCC">
        <w:rPr>
          <w:rFonts w:ascii="Sylfaen" w:hAnsi="Sylfaen" w:cs="Sylfaen"/>
          <w:sz w:val="24"/>
          <w:szCs w:val="24"/>
          <w:lang w:val="ka-GE"/>
        </w:rPr>
        <w:t>გარიგებებიდან მომდინარე შედეგების მერყეობა</w:t>
      </w:r>
      <w:r w:rsidR="00FD1213" w:rsidRPr="00254DCC">
        <w:rPr>
          <w:rFonts w:ascii="Sylfaen" w:hAnsi="Sylfaen" w:cs="Sylfaen"/>
          <w:sz w:val="24"/>
          <w:szCs w:val="24"/>
          <w:lang w:val="ka-GE"/>
        </w:rPr>
        <w:t xml:space="preserve"> და</w:t>
      </w:r>
      <w:r w:rsidR="00417292" w:rsidRPr="00254DCC">
        <w:rPr>
          <w:rFonts w:ascii="Sylfaen" w:hAnsi="Sylfaen" w:cs="Sylfaen"/>
          <w:sz w:val="24"/>
          <w:szCs w:val="24"/>
          <w:lang w:val="ka-GE"/>
        </w:rPr>
        <w:t xml:space="preserve"> მათი </w:t>
      </w:r>
      <w:r w:rsidR="001473A4" w:rsidRPr="00254DCC">
        <w:rPr>
          <w:rFonts w:ascii="Sylfaen" w:hAnsi="Sylfaen" w:cs="Sylfaen"/>
          <w:sz w:val="24"/>
          <w:szCs w:val="24"/>
          <w:lang w:val="ka-GE"/>
        </w:rPr>
        <w:t xml:space="preserve">განუსაზღვრელობა </w:t>
      </w:r>
      <w:r w:rsidR="00417292" w:rsidRPr="00254DCC">
        <w:rPr>
          <w:rFonts w:ascii="Sylfaen" w:hAnsi="Sylfaen" w:cs="Sylfaen"/>
          <w:sz w:val="24"/>
          <w:szCs w:val="24"/>
          <w:lang w:val="ka-GE"/>
        </w:rPr>
        <w:t xml:space="preserve">წარმოადგენს მნიშვნელოვან ბარიერს </w:t>
      </w:r>
      <w:r w:rsidR="00FD1213" w:rsidRPr="00254DCC">
        <w:rPr>
          <w:rFonts w:ascii="Sylfaen" w:hAnsi="Sylfaen" w:cs="Sylfaen"/>
          <w:sz w:val="24"/>
          <w:szCs w:val="24"/>
          <w:lang w:val="ka-GE"/>
        </w:rPr>
        <w:t xml:space="preserve">სამოქალაქო </w:t>
      </w:r>
      <w:r w:rsidR="00CB7773" w:rsidRPr="00254DCC">
        <w:rPr>
          <w:rFonts w:ascii="Sylfaen" w:hAnsi="Sylfaen" w:cs="Sylfaen"/>
          <w:sz w:val="24"/>
          <w:szCs w:val="24"/>
          <w:lang w:val="ka-GE"/>
        </w:rPr>
        <w:t>უფლებ</w:t>
      </w:r>
      <w:r w:rsidR="00FD1213" w:rsidRPr="00254DCC">
        <w:rPr>
          <w:rFonts w:ascii="Sylfaen" w:hAnsi="Sylfaen" w:cs="Sylfaen"/>
          <w:sz w:val="24"/>
          <w:szCs w:val="24"/>
          <w:lang w:val="ka-GE"/>
        </w:rPr>
        <w:t>ებ</w:t>
      </w:r>
      <w:r w:rsidR="00CB7773" w:rsidRPr="00254DCC">
        <w:rPr>
          <w:rFonts w:ascii="Sylfaen" w:hAnsi="Sylfaen" w:cs="Sylfaen"/>
          <w:sz w:val="24"/>
          <w:szCs w:val="24"/>
          <w:lang w:val="ka-GE"/>
        </w:rPr>
        <w:t xml:space="preserve">ით სრულყოფილი სარგებლობისთვის. </w:t>
      </w:r>
      <w:r w:rsidR="00D54488" w:rsidRPr="00254DCC">
        <w:rPr>
          <w:rFonts w:ascii="Sylfaen" w:hAnsi="Sylfaen" w:cs="Sylfaen"/>
          <w:sz w:val="24"/>
          <w:szCs w:val="24"/>
          <w:lang w:val="ka-GE"/>
        </w:rPr>
        <w:t xml:space="preserve">სამოქალაქო ბრუნვის სტაბილურობაზე </w:t>
      </w:r>
      <w:r w:rsidR="00B70E08" w:rsidRPr="00254DCC">
        <w:rPr>
          <w:rFonts w:ascii="Sylfaen" w:hAnsi="Sylfaen" w:cs="Sylfaen"/>
          <w:sz w:val="24"/>
          <w:szCs w:val="24"/>
          <w:lang w:val="ka-GE"/>
        </w:rPr>
        <w:t>ადამიანის ძირითად</w:t>
      </w:r>
      <w:r w:rsidR="00DA2941" w:rsidRPr="00254DCC">
        <w:rPr>
          <w:rFonts w:ascii="Sylfaen" w:hAnsi="Sylfaen" w:cs="Sylfaen"/>
          <w:sz w:val="24"/>
          <w:szCs w:val="24"/>
          <w:lang w:val="ka-GE"/>
        </w:rPr>
        <w:t>ი</w:t>
      </w:r>
      <w:r w:rsidR="00B70E08" w:rsidRPr="00254DCC">
        <w:rPr>
          <w:rFonts w:ascii="Sylfaen" w:hAnsi="Sylfaen" w:cs="Sylfaen"/>
          <w:sz w:val="24"/>
          <w:szCs w:val="24"/>
          <w:lang w:val="ka-GE"/>
        </w:rPr>
        <w:t xml:space="preserve"> უფლებების შემზღუდავი არაერთი გარემოება</w:t>
      </w:r>
      <w:r w:rsidR="00D54488" w:rsidRPr="00254DCC">
        <w:rPr>
          <w:rFonts w:ascii="Sylfaen" w:hAnsi="Sylfaen" w:cs="Sylfaen"/>
          <w:sz w:val="24"/>
          <w:szCs w:val="24"/>
          <w:lang w:val="ka-GE"/>
        </w:rPr>
        <w:t xml:space="preserve"> შეიძლება ახდენდეს</w:t>
      </w:r>
      <w:r w:rsidR="00B70E08" w:rsidRPr="00254DCC">
        <w:rPr>
          <w:rFonts w:ascii="Sylfaen" w:hAnsi="Sylfaen" w:cs="Sylfaen"/>
          <w:sz w:val="24"/>
          <w:szCs w:val="24"/>
          <w:lang w:val="ka-GE"/>
        </w:rPr>
        <w:t xml:space="preserve"> </w:t>
      </w:r>
      <w:r w:rsidR="00D54488" w:rsidRPr="00254DCC">
        <w:rPr>
          <w:rFonts w:ascii="Sylfaen" w:hAnsi="Sylfaen" w:cs="Sylfaen"/>
          <w:sz w:val="24"/>
          <w:szCs w:val="24"/>
          <w:lang w:val="ka-GE"/>
        </w:rPr>
        <w:t>გავლენას</w:t>
      </w:r>
      <w:r w:rsidR="000C0260" w:rsidRPr="00254DCC">
        <w:rPr>
          <w:rFonts w:ascii="Sylfaen" w:hAnsi="Sylfaen" w:cs="Sylfaen"/>
          <w:sz w:val="24"/>
          <w:szCs w:val="24"/>
          <w:lang w:val="ka-GE"/>
        </w:rPr>
        <w:t>, თუმცა ეს არ გულისხმობს</w:t>
      </w:r>
      <w:r w:rsidR="00DA2941" w:rsidRPr="00254DCC">
        <w:rPr>
          <w:rFonts w:ascii="Sylfaen" w:hAnsi="Sylfaen" w:cs="Sylfaen"/>
          <w:sz w:val="24"/>
          <w:szCs w:val="24"/>
          <w:lang w:val="ka-GE"/>
        </w:rPr>
        <w:t>, რომ</w:t>
      </w:r>
      <w:r w:rsidR="000C0260" w:rsidRPr="00254DCC">
        <w:rPr>
          <w:rFonts w:ascii="Sylfaen" w:hAnsi="Sylfaen" w:cs="Sylfaen"/>
          <w:sz w:val="24"/>
          <w:szCs w:val="24"/>
          <w:lang w:val="ka-GE"/>
        </w:rPr>
        <w:t xml:space="preserve"> ნებისმიერ ამგვარ</w:t>
      </w:r>
      <w:r w:rsidR="00B70E08" w:rsidRPr="00254DCC">
        <w:rPr>
          <w:rFonts w:ascii="Sylfaen" w:hAnsi="Sylfaen" w:cs="Sylfaen"/>
          <w:sz w:val="24"/>
          <w:szCs w:val="24"/>
          <w:lang w:val="ka-GE"/>
        </w:rPr>
        <w:t xml:space="preserve"> რეგულირება</w:t>
      </w:r>
      <w:r w:rsidR="00DF07F0" w:rsidRPr="00254DCC">
        <w:rPr>
          <w:rFonts w:ascii="Sylfaen" w:hAnsi="Sylfaen" w:cs="Sylfaen"/>
          <w:sz w:val="24"/>
          <w:szCs w:val="24"/>
          <w:lang w:val="ka-GE"/>
        </w:rPr>
        <w:t>ს გააჩნია რაციონალური კავშირი სამოქალაქო სტაბილურობის</w:t>
      </w:r>
      <w:r w:rsidR="00615AAA" w:rsidRPr="00254DCC">
        <w:rPr>
          <w:rFonts w:ascii="Sylfaen" w:hAnsi="Sylfaen" w:cs="Sylfaen"/>
          <w:sz w:val="24"/>
          <w:szCs w:val="24"/>
          <w:lang w:val="ka-GE"/>
        </w:rPr>
        <w:t xml:space="preserve"> ლეგიტიმურ მიზანთან</w:t>
      </w:r>
      <w:r w:rsidR="00C22884" w:rsidRPr="00254DCC">
        <w:rPr>
          <w:rFonts w:ascii="Sylfaen" w:hAnsi="Sylfaen" w:cs="Sylfaen"/>
          <w:sz w:val="24"/>
          <w:szCs w:val="24"/>
          <w:lang w:val="ka-GE"/>
        </w:rPr>
        <w:t xml:space="preserve">. </w:t>
      </w:r>
    </w:p>
    <w:p w14:paraId="422D09C4" w14:textId="1DB69512" w:rsidR="003A6367" w:rsidRPr="00254DCC" w:rsidRDefault="00615AAA"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cs="Sylfaen"/>
          <w:sz w:val="24"/>
          <w:szCs w:val="24"/>
          <w:lang w:val="ka-GE"/>
        </w:rPr>
        <w:t>განსახილველ</w:t>
      </w:r>
      <w:r w:rsidR="00A75623" w:rsidRPr="00254DCC">
        <w:rPr>
          <w:rFonts w:ascii="Sylfaen" w:hAnsi="Sylfaen" w:cs="Sylfaen"/>
          <w:sz w:val="24"/>
          <w:szCs w:val="24"/>
          <w:lang w:val="ka-GE"/>
        </w:rPr>
        <w:t xml:space="preserve"> შემთხვევაში,</w:t>
      </w:r>
      <w:r w:rsidRPr="00254DCC">
        <w:rPr>
          <w:rFonts w:ascii="Sylfaen" w:hAnsi="Sylfaen" w:cs="Sylfaen"/>
          <w:sz w:val="24"/>
          <w:szCs w:val="24"/>
          <w:lang w:val="ka-GE"/>
        </w:rPr>
        <w:t xml:space="preserve"> საკითხი შეეხება</w:t>
      </w:r>
      <w:r w:rsidR="00DF07F0" w:rsidRPr="00254DCC">
        <w:rPr>
          <w:rFonts w:ascii="Sylfaen" w:hAnsi="Sylfaen" w:cs="Sylfaen"/>
          <w:sz w:val="24"/>
          <w:szCs w:val="24"/>
          <w:lang w:val="ka-GE"/>
        </w:rPr>
        <w:t xml:space="preserve"> </w:t>
      </w:r>
      <w:r w:rsidR="00BF0177" w:rsidRPr="00254DCC">
        <w:rPr>
          <w:rFonts w:ascii="Sylfaen" w:hAnsi="Sylfaen" w:cs="Sylfaen"/>
          <w:sz w:val="24"/>
          <w:szCs w:val="24"/>
          <w:lang w:val="ka-GE"/>
        </w:rPr>
        <w:t>მოსალოდნ</w:t>
      </w:r>
      <w:r w:rsidR="001473A4" w:rsidRPr="00254DCC">
        <w:rPr>
          <w:rFonts w:ascii="Sylfaen" w:hAnsi="Sylfaen" w:cs="Sylfaen"/>
          <w:sz w:val="24"/>
          <w:szCs w:val="24"/>
          <w:lang w:val="ka-GE"/>
        </w:rPr>
        <w:t>ე</w:t>
      </w:r>
      <w:r w:rsidR="00BF0177" w:rsidRPr="00254DCC">
        <w:rPr>
          <w:rFonts w:ascii="Sylfaen" w:hAnsi="Sylfaen" w:cs="Sylfaen"/>
          <w:sz w:val="24"/>
          <w:szCs w:val="24"/>
          <w:lang w:val="ka-GE"/>
        </w:rPr>
        <w:t xml:space="preserve">ლი ზარალის უზრუნველსაყოფად განსახორციელებელი ქმედების შესრულების ვადას. </w:t>
      </w:r>
      <w:r w:rsidR="001912D8">
        <w:rPr>
          <w:rFonts w:ascii="Sylfaen" w:hAnsi="Sylfaen" w:cs="Sylfaen"/>
          <w:sz w:val="24"/>
          <w:szCs w:val="24"/>
          <w:lang w:val="ka-GE"/>
        </w:rPr>
        <w:t xml:space="preserve">ხშირ შემთხვევებში </w:t>
      </w:r>
      <w:r w:rsidR="00890DEB">
        <w:rPr>
          <w:rFonts w:ascii="Sylfaen" w:hAnsi="Sylfaen" w:cs="Sylfaen"/>
          <w:sz w:val="24"/>
          <w:szCs w:val="24"/>
          <w:lang w:val="ka-GE"/>
        </w:rPr>
        <w:t>ამათუ იმ საპროცესო ან სხვაგვარი ქმედების განხორციელების ვადების განსაზღვრა</w:t>
      </w:r>
      <w:r w:rsidR="00BF0177" w:rsidRPr="00254DCC">
        <w:rPr>
          <w:rFonts w:ascii="Sylfaen" w:hAnsi="Sylfaen" w:cs="Sylfaen"/>
          <w:sz w:val="24"/>
          <w:szCs w:val="24"/>
          <w:lang w:val="ka-GE"/>
        </w:rPr>
        <w:t xml:space="preserve"> </w:t>
      </w:r>
      <w:r w:rsidR="003A6367" w:rsidRPr="00254DCC">
        <w:rPr>
          <w:rFonts w:ascii="Sylfaen" w:hAnsi="Sylfaen" w:cs="Sylfaen"/>
          <w:sz w:val="24"/>
          <w:szCs w:val="24"/>
          <w:lang w:val="ka-GE"/>
        </w:rPr>
        <w:t xml:space="preserve">შესაძლოა დაკავშირებული </w:t>
      </w:r>
      <w:r w:rsidR="00890DEB">
        <w:rPr>
          <w:rFonts w:ascii="Sylfaen" w:hAnsi="Sylfaen" w:cs="Sylfaen"/>
          <w:sz w:val="24"/>
          <w:szCs w:val="24"/>
          <w:lang w:val="ka-GE"/>
        </w:rPr>
        <w:t xml:space="preserve">იყოს </w:t>
      </w:r>
      <w:r w:rsidR="003A6367" w:rsidRPr="00254DCC">
        <w:rPr>
          <w:rFonts w:ascii="Sylfaen" w:hAnsi="Sylfaen" w:cs="Sylfaen"/>
          <w:sz w:val="24"/>
          <w:szCs w:val="24"/>
          <w:lang w:val="ka-GE"/>
        </w:rPr>
        <w:t>სამოქალაქო ბრუნვის სტაბილურობ</w:t>
      </w:r>
      <w:r w:rsidR="001912D8">
        <w:rPr>
          <w:rFonts w:ascii="Sylfaen" w:hAnsi="Sylfaen" w:cs="Sylfaen"/>
          <w:sz w:val="24"/>
          <w:szCs w:val="24"/>
          <w:lang w:val="ka-GE"/>
        </w:rPr>
        <w:t xml:space="preserve">ასთან. </w:t>
      </w:r>
      <w:r w:rsidR="003A6367" w:rsidRPr="00254DCC">
        <w:rPr>
          <w:rFonts w:ascii="Sylfaen" w:hAnsi="Sylfaen" w:cs="Sylfaen"/>
          <w:sz w:val="24"/>
          <w:szCs w:val="24"/>
          <w:lang w:val="ka-GE"/>
        </w:rPr>
        <w:t>თუმცა</w:t>
      </w:r>
      <w:r w:rsidR="00FD1213" w:rsidRPr="00254DCC">
        <w:rPr>
          <w:rFonts w:ascii="Sylfaen" w:hAnsi="Sylfaen" w:cs="Sylfaen"/>
          <w:sz w:val="24"/>
          <w:szCs w:val="24"/>
          <w:lang w:val="ka-GE"/>
        </w:rPr>
        <w:t>,</w:t>
      </w:r>
      <w:r w:rsidR="001912D8">
        <w:rPr>
          <w:rFonts w:ascii="Sylfaen" w:hAnsi="Sylfaen" w:cs="Sylfaen"/>
          <w:sz w:val="24"/>
          <w:szCs w:val="24"/>
          <w:lang w:val="ka-GE"/>
        </w:rPr>
        <w:t xml:space="preserve"> ამ კავშირს განაპირობებს </w:t>
      </w:r>
      <w:r w:rsidR="00890DEB">
        <w:rPr>
          <w:rFonts w:ascii="Sylfaen" w:hAnsi="Sylfaen" w:cs="Sylfaen"/>
          <w:sz w:val="24"/>
          <w:szCs w:val="24"/>
          <w:lang w:val="ka-GE"/>
        </w:rPr>
        <w:t>ა</w:t>
      </w:r>
      <w:r w:rsidR="001912D8">
        <w:rPr>
          <w:rFonts w:ascii="Sylfaen" w:hAnsi="Sylfaen" w:cs="Sylfaen"/>
          <w:sz w:val="24"/>
          <w:szCs w:val="24"/>
          <w:lang w:val="ka-GE"/>
        </w:rPr>
        <w:t xml:space="preserve">რა თავისთავად </w:t>
      </w:r>
      <w:r w:rsidR="00890DEB">
        <w:rPr>
          <w:rFonts w:ascii="Sylfaen" w:hAnsi="Sylfaen" w:cs="Sylfaen"/>
          <w:sz w:val="24"/>
          <w:szCs w:val="24"/>
          <w:lang w:val="ka-GE"/>
        </w:rPr>
        <w:t>ვადის</w:t>
      </w:r>
      <w:r w:rsidR="001912D8">
        <w:rPr>
          <w:rFonts w:ascii="Sylfaen" w:hAnsi="Sylfaen" w:cs="Sylfaen"/>
          <w:sz w:val="24"/>
          <w:szCs w:val="24"/>
          <w:lang w:val="ka-GE"/>
        </w:rPr>
        <w:t xml:space="preserve"> </w:t>
      </w:r>
      <w:r w:rsidR="00890DEB">
        <w:rPr>
          <w:rFonts w:ascii="Sylfaen" w:hAnsi="Sylfaen" w:cs="Sylfaen"/>
          <w:sz w:val="24"/>
          <w:szCs w:val="24"/>
          <w:lang w:val="ka-GE"/>
        </w:rPr>
        <w:t xml:space="preserve">არსებობის </w:t>
      </w:r>
      <w:r w:rsidR="001912D8">
        <w:rPr>
          <w:rFonts w:ascii="Sylfaen" w:hAnsi="Sylfaen" w:cs="Sylfaen"/>
          <w:sz w:val="24"/>
          <w:szCs w:val="24"/>
          <w:lang w:val="ka-GE"/>
        </w:rPr>
        <w:t xml:space="preserve">ელემენტი, არამედ </w:t>
      </w:r>
      <w:r w:rsidR="00890DEB">
        <w:rPr>
          <w:rFonts w:ascii="Sylfaen" w:hAnsi="Sylfaen" w:cs="Sylfaen"/>
          <w:sz w:val="24"/>
          <w:szCs w:val="24"/>
          <w:lang w:val="ka-GE"/>
        </w:rPr>
        <w:t xml:space="preserve">თავად ის იმ მოქმედებების სამართლებრივი ბუნება, </w:t>
      </w:r>
      <w:r w:rsidR="00890DEB">
        <w:rPr>
          <w:rFonts w:ascii="Sylfaen" w:hAnsi="Sylfaen" w:cs="Sylfaen"/>
          <w:sz w:val="24"/>
          <w:szCs w:val="24"/>
          <w:lang w:val="ka-GE"/>
        </w:rPr>
        <w:lastRenderedPageBreak/>
        <w:t xml:space="preserve">რომელთა განხორციელებაც დაკავშირებულია ამა თუ იმ ვადასთან. </w:t>
      </w:r>
      <w:r w:rsidR="001912D8">
        <w:rPr>
          <w:rFonts w:ascii="Sylfaen" w:hAnsi="Sylfaen" w:cs="Sylfaen"/>
          <w:sz w:val="24"/>
          <w:szCs w:val="24"/>
          <w:lang w:val="ka-GE"/>
        </w:rPr>
        <w:t>მაგალითად</w:t>
      </w:r>
      <w:r w:rsidR="00595518">
        <w:rPr>
          <w:rFonts w:ascii="Sylfaen" w:hAnsi="Sylfaen" w:cs="Sylfaen"/>
          <w:sz w:val="24"/>
          <w:szCs w:val="24"/>
          <w:lang w:val="ka-GE"/>
        </w:rPr>
        <w:t>,</w:t>
      </w:r>
      <w:r w:rsidR="001912D8">
        <w:rPr>
          <w:rFonts w:ascii="Sylfaen" w:hAnsi="Sylfaen" w:cs="Sylfaen"/>
          <w:sz w:val="24"/>
          <w:szCs w:val="24"/>
          <w:lang w:val="ka-GE"/>
        </w:rPr>
        <w:t xml:space="preserve">  </w:t>
      </w:r>
      <w:r w:rsidR="00595518">
        <w:rPr>
          <w:rFonts w:ascii="Sylfaen" w:hAnsi="Sylfaen" w:cs="Sylfaen"/>
          <w:sz w:val="24"/>
          <w:szCs w:val="24"/>
          <w:lang w:val="ka-GE"/>
        </w:rPr>
        <w:t xml:space="preserve">სამოქალაქო ბრუნვის </w:t>
      </w:r>
      <w:r w:rsidR="00CE697F" w:rsidRPr="00254DCC">
        <w:rPr>
          <w:rFonts w:ascii="Sylfaen" w:hAnsi="Sylfaen" w:cs="Sylfaen"/>
          <w:sz w:val="24"/>
          <w:szCs w:val="24"/>
          <w:lang w:val="ka-GE"/>
        </w:rPr>
        <w:t xml:space="preserve">სტაბილურობას </w:t>
      </w:r>
      <w:r w:rsidR="001473A4" w:rsidRPr="00254DCC">
        <w:rPr>
          <w:rFonts w:ascii="Sylfaen" w:hAnsi="Sylfaen" w:cs="Sylfaen"/>
          <w:sz w:val="24"/>
          <w:szCs w:val="24"/>
          <w:lang w:val="ka-GE"/>
        </w:rPr>
        <w:t>საფრთხე ექმნება მაშინ</w:t>
      </w:r>
      <w:r w:rsidR="00CE697F" w:rsidRPr="00254DCC">
        <w:rPr>
          <w:rFonts w:ascii="Sylfaen" w:hAnsi="Sylfaen" w:cs="Sylfaen"/>
          <w:sz w:val="24"/>
          <w:szCs w:val="24"/>
          <w:lang w:val="ka-GE"/>
        </w:rPr>
        <w:t xml:space="preserve">, როდესაც </w:t>
      </w:r>
      <w:r w:rsidR="001473A4" w:rsidRPr="00254DCC">
        <w:rPr>
          <w:rFonts w:ascii="Sylfaen" w:hAnsi="Sylfaen" w:cs="Sylfaen"/>
          <w:sz w:val="24"/>
          <w:szCs w:val="24"/>
          <w:lang w:val="ka-GE"/>
        </w:rPr>
        <w:t>კითხვის ნიშნის ქვეშ დგება</w:t>
      </w:r>
      <w:r w:rsidR="004C73D0" w:rsidRPr="00254DCC">
        <w:rPr>
          <w:rFonts w:ascii="Sylfaen" w:hAnsi="Sylfaen" w:cs="Sylfaen"/>
          <w:sz w:val="24"/>
          <w:szCs w:val="24"/>
          <w:lang w:val="ka-GE"/>
        </w:rPr>
        <w:t xml:space="preserve"> </w:t>
      </w:r>
      <w:r w:rsidR="005A33B0" w:rsidRPr="00254DCC">
        <w:rPr>
          <w:rFonts w:ascii="Sylfaen" w:hAnsi="Sylfaen" w:cs="Sylfaen"/>
          <w:sz w:val="24"/>
          <w:szCs w:val="24"/>
          <w:lang w:val="ka-GE"/>
        </w:rPr>
        <w:t xml:space="preserve">სამოქალაქო ბრუნვის ფარგლებში </w:t>
      </w:r>
      <w:r w:rsidR="001473A4" w:rsidRPr="00254DCC">
        <w:rPr>
          <w:rFonts w:ascii="Sylfaen" w:hAnsi="Sylfaen" w:cs="Sylfaen"/>
          <w:sz w:val="24"/>
          <w:szCs w:val="24"/>
          <w:lang w:val="ka-GE"/>
        </w:rPr>
        <w:t xml:space="preserve">წარმოშობილი იმგვარი </w:t>
      </w:r>
      <w:r w:rsidR="005A33B0" w:rsidRPr="00254DCC">
        <w:rPr>
          <w:rFonts w:ascii="Sylfaen" w:hAnsi="Sylfaen" w:cs="Sylfaen"/>
          <w:sz w:val="24"/>
          <w:szCs w:val="24"/>
          <w:lang w:val="ka-GE"/>
        </w:rPr>
        <w:t>სამართლებრივ</w:t>
      </w:r>
      <w:r w:rsidR="001912D8">
        <w:rPr>
          <w:rFonts w:ascii="Sylfaen" w:hAnsi="Sylfaen" w:cs="Sylfaen"/>
          <w:sz w:val="24"/>
          <w:szCs w:val="24"/>
          <w:lang w:val="ka-GE"/>
        </w:rPr>
        <w:t>ი</w:t>
      </w:r>
      <w:r w:rsidR="005A33B0" w:rsidRPr="00254DCC">
        <w:rPr>
          <w:rFonts w:ascii="Sylfaen" w:hAnsi="Sylfaen" w:cs="Sylfaen"/>
          <w:sz w:val="24"/>
          <w:szCs w:val="24"/>
          <w:lang w:val="ka-GE"/>
        </w:rPr>
        <w:t xml:space="preserve"> შედეგებ</w:t>
      </w:r>
      <w:r w:rsidR="001473A4" w:rsidRPr="00254DCC">
        <w:rPr>
          <w:rFonts w:ascii="Sylfaen" w:hAnsi="Sylfaen" w:cs="Sylfaen"/>
          <w:sz w:val="24"/>
          <w:szCs w:val="24"/>
          <w:lang w:val="ka-GE"/>
        </w:rPr>
        <w:t>ი</w:t>
      </w:r>
      <w:r w:rsidR="005A33B0" w:rsidRPr="00254DCC">
        <w:rPr>
          <w:rFonts w:ascii="Sylfaen" w:hAnsi="Sylfaen" w:cs="Sylfaen"/>
          <w:sz w:val="24"/>
          <w:szCs w:val="24"/>
          <w:lang w:val="ka-GE"/>
        </w:rPr>
        <w:t>, რომელთა მიმართაც არსებობს</w:t>
      </w:r>
      <w:r w:rsidR="00F24DE3" w:rsidRPr="00254DCC">
        <w:rPr>
          <w:rFonts w:ascii="Sylfaen" w:hAnsi="Sylfaen" w:cs="Sylfaen"/>
          <w:sz w:val="24"/>
          <w:szCs w:val="24"/>
          <w:lang w:val="ka-GE"/>
        </w:rPr>
        <w:t xml:space="preserve"> გარკვეული </w:t>
      </w:r>
      <w:r w:rsidR="005A33B0" w:rsidRPr="00254DCC">
        <w:rPr>
          <w:rFonts w:ascii="Sylfaen" w:hAnsi="Sylfaen" w:cs="Sylfaen"/>
          <w:sz w:val="24"/>
          <w:szCs w:val="24"/>
          <w:lang w:val="ka-GE"/>
        </w:rPr>
        <w:t>ლეგიტიმური მოლოდინი</w:t>
      </w:r>
      <w:r w:rsidR="00F24DE3" w:rsidRPr="00254DCC">
        <w:rPr>
          <w:rFonts w:ascii="Sylfaen" w:hAnsi="Sylfaen" w:cs="Sylfaen"/>
          <w:sz w:val="24"/>
          <w:szCs w:val="24"/>
          <w:lang w:val="ka-GE"/>
        </w:rPr>
        <w:t>.</w:t>
      </w:r>
    </w:p>
    <w:p w14:paraId="62A2557A" w14:textId="317BF060" w:rsidR="00B64CDB" w:rsidRPr="00254DCC" w:rsidRDefault="006D51A4" w:rsidP="006A1FB2">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cs="Sylfaen"/>
          <w:sz w:val="24"/>
          <w:szCs w:val="24"/>
          <w:lang w:val="ka-GE"/>
        </w:rPr>
        <w:t>როგორც უკვე აღინიშნა</w:t>
      </w:r>
      <w:r w:rsidR="009A01EA" w:rsidRPr="00254DCC">
        <w:rPr>
          <w:rFonts w:ascii="Sylfaen" w:hAnsi="Sylfaen" w:cs="Sylfaen"/>
          <w:sz w:val="24"/>
          <w:szCs w:val="24"/>
          <w:lang w:val="ka-GE"/>
        </w:rPr>
        <w:t>,</w:t>
      </w:r>
      <w:r w:rsidRPr="00254DCC">
        <w:rPr>
          <w:rFonts w:ascii="Sylfaen" w:hAnsi="Sylfaen" w:cs="Sylfaen"/>
          <w:sz w:val="24"/>
          <w:szCs w:val="24"/>
          <w:lang w:val="ka-GE"/>
        </w:rPr>
        <w:t xml:space="preserve"> უდავოა, რომ სამოქალაქო ბრუნვის სტაბილურობა მნიშვნელოვან ლეგიტიმურ მიზანს წარმოადგენს, თუმცა მოპასუხე მხარე უბრალოდ მიუთითებს ხსენებულ მიზანზე ყოველგვარი დამატებითი არგუმენტაციის წარმოდგენის გარეშე. </w:t>
      </w:r>
      <w:r w:rsidR="00300847" w:rsidRPr="00254DCC">
        <w:rPr>
          <w:rFonts w:ascii="Sylfaen" w:hAnsi="Sylfaen" w:cs="Sylfaen"/>
          <w:sz w:val="24"/>
          <w:szCs w:val="24"/>
          <w:lang w:val="ka-GE"/>
        </w:rPr>
        <w:t>სამოქალაქო საპროცესო კოდექსის 199-ე მუხლის მე-2 ნაწილი</w:t>
      </w:r>
      <w:r w:rsidR="00B64CDB" w:rsidRPr="00254DCC">
        <w:rPr>
          <w:rFonts w:ascii="Sylfaen" w:hAnsi="Sylfaen" w:cs="Sylfaen"/>
          <w:sz w:val="24"/>
          <w:szCs w:val="24"/>
          <w:lang w:val="ka-GE"/>
        </w:rPr>
        <w:t xml:space="preserve"> შეეხება</w:t>
      </w:r>
      <w:r w:rsidR="00357122" w:rsidRPr="00254DCC">
        <w:rPr>
          <w:rFonts w:ascii="Sylfaen" w:hAnsi="Sylfaen" w:cs="Sylfaen"/>
          <w:sz w:val="24"/>
          <w:szCs w:val="24"/>
          <w:lang w:val="ka-GE"/>
        </w:rPr>
        <w:t xml:space="preserve"> სამოქალაქო სამართალწარმოების </w:t>
      </w:r>
      <w:r w:rsidRPr="00254DCC">
        <w:rPr>
          <w:rFonts w:ascii="Sylfaen" w:hAnsi="Sylfaen" w:cs="Sylfaen"/>
          <w:sz w:val="24"/>
          <w:szCs w:val="24"/>
          <w:lang w:val="ka-GE"/>
        </w:rPr>
        <w:t xml:space="preserve">ფარგლებში </w:t>
      </w:r>
      <w:r w:rsidR="00357122" w:rsidRPr="00254DCC">
        <w:rPr>
          <w:rFonts w:ascii="Sylfaen" w:hAnsi="Sylfaen" w:cs="Sylfaen"/>
          <w:sz w:val="24"/>
          <w:szCs w:val="24"/>
          <w:lang w:val="ka-GE"/>
        </w:rPr>
        <w:t>გამოყენებულ საპროცესო მოქმედებებს.</w:t>
      </w:r>
      <w:r w:rsidR="007C042C" w:rsidRPr="00254DCC">
        <w:rPr>
          <w:rFonts w:ascii="Sylfaen" w:hAnsi="Sylfaen" w:cs="Sylfaen"/>
          <w:sz w:val="24"/>
          <w:szCs w:val="24"/>
          <w:lang w:val="ka-GE"/>
        </w:rPr>
        <w:t xml:space="preserve"> კერძოდ, სარჩელის უზრუნველყოფის ღონისძიები</w:t>
      </w:r>
      <w:r w:rsidRPr="00254DCC">
        <w:rPr>
          <w:rFonts w:ascii="Sylfaen" w:hAnsi="Sylfaen" w:cs="Sylfaen"/>
          <w:sz w:val="24"/>
          <w:szCs w:val="24"/>
          <w:lang w:val="ka-GE"/>
        </w:rPr>
        <w:t xml:space="preserve">ს შედეგად </w:t>
      </w:r>
      <w:r w:rsidR="007C042C" w:rsidRPr="00254DCC">
        <w:rPr>
          <w:rFonts w:ascii="Sylfaen" w:hAnsi="Sylfaen" w:cs="Sylfaen"/>
          <w:sz w:val="24"/>
          <w:szCs w:val="24"/>
          <w:lang w:val="ka-GE"/>
        </w:rPr>
        <w:t xml:space="preserve">მოსალოდნელის ზარალის </w:t>
      </w:r>
      <w:r w:rsidR="00953D28" w:rsidRPr="00254DCC">
        <w:rPr>
          <w:rFonts w:ascii="Sylfaen" w:hAnsi="Sylfaen" w:cs="Sylfaen"/>
          <w:sz w:val="24"/>
          <w:szCs w:val="24"/>
          <w:lang w:val="ka-GE"/>
        </w:rPr>
        <w:t xml:space="preserve">უზრუნველყოფის </w:t>
      </w:r>
      <w:r w:rsidRPr="00254DCC">
        <w:rPr>
          <w:rFonts w:ascii="Sylfaen" w:hAnsi="Sylfaen" w:cs="Sylfaen"/>
          <w:sz w:val="24"/>
          <w:szCs w:val="24"/>
          <w:lang w:val="ka-GE"/>
        </w:rPr>
        <w:t>ვადებს</w:t>
      </w:r>
      <w:r w:rsidR="00953D28" w:rsidRPr="00254DCC">
        <w:rPr>
          <w:rFonts w:ascii="Sylfaen" w:hAnsi="Sylfaen" w:cs="Sylfaen"/>
          <w:sz w:val="24"/>
          <w:szCs w:val="24"/>
          <w:lang w:val="ka-GE"/>
        </w:rPr>
        <w:t xml:space="preserve">. </w:t>
      </w:r>
      <w:r w:rsidRPr="00254DCC">
        <w:rPr>
          <w:rFonts w:ascii="Sylfaen" w:hAnsi="Sylfaen" w:cs="Sylfaen"/>
          <w:sz w:val="24"/>
          <w:szCs w:val="24"/>
          <w:lang w:val="ka-GE"/>
        </w:rPr>
        <w:t>არც მოპასუხის მიერ წარმოდგენილი არგუმენტაციიდან და არც</w:t>
      </w:r>
      <w:r w:rsidR="00595518">
        <w:rPr>
          <w:rFonts w:ascii="Sylfaen" w:hAnsi="Sylfaen" w:cs="Sylfaen"/>
          <w:sz w:val="24"/>
          <w:szCs w:val="24"/>
          <w:lang w:val="ka-GE"/>
        </w:rPr>
        <w:t xml:space="preserve"> სადავო ნორმის შინაარსიდან</w:t>
      </w:r>
      <w:r w:rsidRPr="00254DCC">
        <w:rPr>
          <w:rFonts w:ascii="Sylfaen" w:hAnsi="Sylfaen" w:cs="Sylfaen"/>
          <w:sz w:val="24"/>
          <w:szCs w:val="24"/>
          <w:lang w:val="ka-GE"/>
        </w:rPr>
        <w:t xml:space="preserve"> </w:t>
      </w:r>
      <w:r w:rsidR="00595518">
        <w:rPr>
          <w:rFonts w:ascii="Sylfaen" w:hAnsi="Sylfaen" w:cs="Sylfaen"/>
          <w:sz w:val="24"/>
          <w:szCs w:val="24"/>
          <w:lang w:val="ka-GE"/>
        </w:rPr>
        <w:t>არ იკვეთება</w:t>
      </w:r>
      <w:r w:rsidRPr="00254DCC">
        <w:rPr>
          <w:rFonts w:ascii="Sylfaen" w:hAnsi="Sylfaen" w:cs="Sylfaen"/>
          <w:sz w:val="24"/>
          <w:szCs w:val="24"/>
          <w:lang w:val="ka-GE"/>
        </w:rPr>
        <w:t xml:space="preserve"> </w:t>
      </w:r>
      <w:r w:rsidR="00595518" w:rsidRPr="00254DCC">
        <w:rPr>
          <w:rFonts w:ascii="Sylfaen" w:hAnsi="Sylfaen" w:cs="Sylfaen"/>
          <w:sz w:val="24"/>
          <w:szCs w:val="24"/>
          <w:lang w:val="ka-GE"/>
        </w:rPr>
        <w:t xml:space="preserve">სადავო </w:t>
      </w:r>
      <w:r w:rsidR="00595518">
        <w:rPr>
          <w:rFonts w:ascii="Sylfaen" w:hAnsi="Sylfaen" w:cs="Sylfaen"/>
          <w:sz w:val="24"/>
          <w:szCs w:val="24"/>
          <w:lang w:val="ka-GE"/>
        </w:rPr>
        <w:t xml:space="preserve">ნორმის კავშირი </w:t>
      </w:r>
      <w:r w:rsidRPr="00254DCC">
        <w:rPr>
          <w:rFonts w:ascii="Sylfaen" w:hAnsi="Sylfaen" w:cs="Sylfaen"/>
          <w:sz w:val="24"/>
          <w:szCs w:val="24"/>
          <w:lang w:val="ka-GE"/>
        </w:rPr>
        <w:t>სამოქალაქო ბრუნვის სტაბილურობის უზრუნველყოფის ლეგიტიმურ მიზანთან</w:t>
      </w:r>
      <w:r w:rsidR="006A1FB2" w:rsidRPr="00254DCC">
        <w:rPr>
          <w:rFonts w:ascii="Sylfaen" w:hAnsi="Sylfaen" w:cs="Sylfaen"/>
          <w:sz w:val="24"/>
          <w:szCs w:val="24"/>
          <w:lang w:val="ka-GE"/>
        </w:rPr>
        <w:t xml:space="preserve">. </w:t>
      </w:r>
      <w:r w:rsidR="009A01EA" w:rsidRPr="00254DCC">
        <w:rPr>
          <w:rFonts w:ascii="Sylfaen" w:hAnsi="Sylfaen" w:cs="Sylfaen"/>
          <w:sz w:val="24"/>
          <w:szCs w:val="24"/>
          <w:lang w:val="ka-GE"/>
        </w:rPr>
        <w:t xml:space="preserve">რამდენადაც, </w:t>
      </w:r>
      <w:r w:rsidR="006A1FB2" w:rsidRPr="00254DCC">
        <w:rPr>
          <w:rFonts w:ascii="Sylfaen" w:hAnsi="Sylfaen" w:cs="Sylfaen"/>
          <w:sz w:val="24"/>
          <w:szCs w:val="24"/>
          <w:lang w:val="ka-GE"/>
        </w:rPr>
        <w:t xml:space="preserve">არ დგინდება </w:t>
      </w:r>
      <w:r w:rsidR="00EA3B78" w:rsidRPr="00254DCC">
        <w:rPr>
          <w:rFonts w:ascii="Sylfaen" w:hAnsi="Sylfaen" w:cs="Sylfaen"/>
          <w:sz w:val="24"/>
          <w:szCs w:val="24"/>
          <w:lang w:val="ka-GE"/>
        </w:rPr>
        <w:t xml:space="preserve"> </w:t>
      </w:r>
      <w:r w:rsidR="006A1FB2" w:rsidRPr="00254DCC">
        <w:rPr>
          <w:rFonts w:ascii="Sylfaen" w:hAnsi="Sylfaen" w:cs="Sylfaen"/>
          <w:sz w:val="24"/>
          <w:szCs w:val="24"/>
          <w:lang w:val="ka-GE"/>
        </w:rPr>
        <w:t>მოსალოდნელი ზარალის</w:t>
      </w:r>
      <w:r w:rsidR="00576DC6">
        <w:rPr>
          <w:rFonts w:ascii="Sylfaen" w:hAnsi="Sylfaen" w:cs="Sylfaen"/>
          <w:sz w:val="24"/>
          <w:szCs w:val="24"/>
          <w:lang w:val="ka-GE"/>
        </w:rPr>
        <w:t xml:space="preserve"> ანაზღაურების</w:t>
      </w:r>
      <w:r w:rsidR="006A1FB2" w:rsidRPr="00254DCC">
        <w:rPr>
          <w:rFonts w:ascii="Sylfaen" w:hAnsi="Sylfaen" w:cs="Sylfaen"/>
          <w:sz w:val="24"/>
          <w:szCs w:val="24"/>
          <w:lang w:val="ka-GE"/>
        </w:rPr>
        <w:t xml:space="preserve"> უზრუნველყოფის</w:t>
      </w:r>
      <w:r w:rsidR="009A01EA" w:rsidRPr="00254DCC">
        <w:rPr>
          <w:rFonts w:ascii="Sylfaen" w:hAnsi="Sylfaen" w:cs="Sylfaen"/>
          <w:sz w:val="24"/>
          <w:szCs w:val="24"/>
          <w:lang w:val="ka-GE"/>
        </w:rPr>
        <w:t>ათვის დაწესებული</w:t>
      </w:r>
      <w:r w:rsidR="00D92957" w:rsidRPr="00254DCC">
        <w:rPr>
          <w:rFonts w:ascii="Sylfaen" w:hAnsi="Sylfaen" w:cs="Sylfaen"/>
          <w:sz w:val="24"/>
          <w:szCs w:val="24"/>
          <w:lang w:val="ka-GE"/>
        </w:rPr>
        <w:t xml:space="preserve"> </w:t>
      </w:r>
      <w:r w:rsidR="006A1FB2" w:rsidRPr="00254DCC">
        <w:rPr>
          <w:rFonts w:ascii="Sylfaen" w:hAnsi="Sylfaen" w:cs="Sylfaen"/>
          <w:sz w:val="24"/>
          <w:szCs w:val="24"/>
          <w:lang w:val="ka-GE"/>
        </w:rPr>
        <w:t>ვადის გავლენა</w:t>
      </w:r>
      <w:r w:rsidR="00D92957" w:rsidRPr="00254DCC">
        <w:rPr>
          <w:rFonts w:ascii="Sylfaen" w:hAnsi="Sylfaen" w:cs="Sylfaen"/>
          <w:sz w:val="24"/>
          <w:szCs w:val="24"/>
          <w:lang w:val="ka-GE"/>
        </w:rPr>
        <w:t xml:space="preserve"> </w:t>
      </w:r>
      <w:r w:rsidR="00F70702" w:rsidRPr="00254DCC">
        <w:rPr>
          <w:rFonts w:ascii="Sylfaen" w:hAnsi="Sylfaen" w:cs="Sylfaen"/>
          <w:sz w:val="24"/>
          <w:szCs w:val="24"/>
          <w:lang w:val="ka-GE"/>
        </w:rPr>
        <w:t>სამოქალაქო ბრუნვის სტაბილურობაზე</w:t>
      </w:r>
      <w:r w:rsidR="009A01EA" w:rsidRPr="00254DCC">
        <w:rPr>
          <w:rFonts w:ascii="Sylfaen" w:hAnsi="Sylfaen" w:cs="Sylfaen"/>
          <w:sz w:val="24"/>
          <w:szCs w:val="24"/>
          <w:lang w:val="ka-GE"/>
        </w:rPr>
        <w:t xml:space="preserve">, </w:t>
      </w:r>
      <w:r w:rsidR="0017663A" w:rsidRPr="00254DCC">
        <w:rPr>
          <w:rFonts w:ascii="Sylfaen" w:hAnsi="Sylfaen" w:cs="Sylfaen"/>
          <w:sz w:val="24"/>
          <w:szCs w:val="24"/>
          <w:lang w:val="ka-GE"/>
        </w:rPr>
        <w:t>სადავო ნორმით დადგენილ</w:t>
      </w:r>
      <w:r w:rsidR="00F70702" w:rsidRPr="00254DCC">
        <w:rPr>
          <w:rFonts w:ascii="Sylfaen" w:hAnsi="Sylfaen" w:cs="Sylfaen"/>
          <w:sz w:val="24"/>
          <w:szCs w:val="24"/>
          <w:lang w:val="ka-GE"/>
        </w:rPr>
        <w:t>ი</w:t>
      </w:r>
      <w:r w:rsidR="0017663A" w:rsidRPr="00254DCC">
        <w:rPr>
          <w:rFonts w:ascii="Sylfaen" w:hAnsi="Sylfaen" w:cs="Sylfaen"/>
          <w:sz w:val="24"/>
          <w:szCs w:val="24"/>
          <w:lang w:val="ka-GE"/>
        </w:rPr>
        <w:t xml:space="preserve"> შეზღუდვა </w:t>
      </w:r>
      <w:r w:rsidR="006A1FB2" w:rsidRPr="00254DCC">
        <w:rPr>
          <w:rFonts w:ascii="Sylfaen" w:hAnsi="Sylfaen" w:cs="Sylfaen"/>
          <w:sz w:val="24"/>
          <w:szCs w:val="24"/>
          <w:lang w:val="ka-GE"/>
        </w:rPr>
        <w:t>ვერ იქნება მიჩნეული ხსენებული მიზნის მიღწევის ვარგის საშუალებად</w:t>
      </w:r>
      <w:r w:rsidR="00C37462" w:rsidRPr="00254DCC">
        <w:rPr>
          <w:rFonts w:ascii="Sylfaen" w:hAnsi="Sylfaen" w:cs="Sylfaen"/>
          <w:sz w:val="24"/>
          <w:szCs w:val="24"/>
          <w:lang w:val="ka-GE"/>
        </w:rPr>
        <w:t xml:space="preserve">. </w:t>
      </w:r>
    </w:p>
    <w:p w14:paraId="6F709786" w14:textId="77777777" w:rsidR="00FA6246" w:rsidRPr="00254DCC" w:rsidRDefault="00FA6246" w:rsidP="00FA6246">
      <w:pPr>
        <w:pStyle w:val="ListParagraph1"/>
        <w:tabs>
          <w:tab w:val="left" w:pos="900"/>
        </w:tabs>
        <w:spacing w:after="0"/>
        <w:jc w:val="both"/>
        <w:rPr>
          <w:rFonts w:ascii="Sylfaen" w:hAnsi="Sylfaen" w:cs="Sylfaen"/>
          <w:sz w:val="24"/>
          <w:szCs w:val="24"/>
          <w:highlight w:val="green"/>
          <w:lang w:val="ka-GE"/>
        </w:rPr>
      </w:pPr>
    </w:p>
    <w:p w14:paraId="4D71EF35" w14:textId="7AC16F42" w:rsidR="00FA6246" w:rsidRPr="00254DCC" w:rsidRDefault="00FA6246" w:rsidP="00C97694">
      <w:pPr>
        <w:pStyle w:val="Heading4"/>
        <w:rPr>
          <w:i/>
          <w:color w:val="auto"/>
        </w:rPr>
      </w:pPr>
      <w:r w:rsidRPr="009D1AC9">
        <w:rPr>
          <w:color w:val="auto"/>
        </w:rPr>
        <w:t>1.2.3.</w:t>
      </w:r>
      <w:r w:rsidRPr="00254DCC">
        <w:rPr>
          <w:i/>
          <w:color w:val="auto"/>
        </w:rPr>
        <w:t xml:space="preserve"> </w:t>
      </w:r>
      <w:r w:rsidRPr="00254DCC">
        <w:t xml:space="preserve">მოპასუხის დაცვა სარჩელის უზრუნველყოფის ღონისძიების </w:t>
      </w:r>
      <w:r w:rsidR="00595518">
        <w:t xml:space="preserve">გამოყენების </w:t>
      </w:r>
      <w:r w:rsidRPr="00254DCC">
        <w:t>შედეგად მიყენებული ზიანისაგან</w:t>
      </w:r>
    </w:p>
    <w:p w14:paraId="52EC04F2" w14:textId="77777777" w:rsidR="00FA6246" w:rsidRPr="00254DCC" w:rsidRDefault="00FA6246" w:rsidP="00FA6246">
      <w:pPr>
        <w:pStyle w:val="ListParagraph1"/>
        <w:tabs>
          <w:tab w:val="left" w:pos="900"/>
        </w:tabs>
        <w:spacing w:after="0"/>
        <w:jc w:val="both"/>
        <w:rPr>
          <w:rFonts w:ascii="Sylfaen" w:hAnsi="Sylfaen" w:cs="Sylfaen"/>
          <w:sz w:val="24"/>
          <w:szCs w:val="24"/>
          <w:highlight w:val="green"/>
          <w:lang w:val="ka-GE"/>
        </w:rPr>
      </w:pPr>
    </w:p>
    <w:p w14:paraId="5C4C5E1F" w14:textId="183B8D79" w:rsidR="002A3AE8" w:rsidRPr="00254DCC" w:rsidRDefault="007C6596" w:rsidP="00B12AE5">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განსახილველ საქმეში შესაფასებელი სადავო რეგულ</w:t>
      </w:r>
      <w:r w:rsidR="006430A2" w:rsidRPr="00254DCC">
        <w:rPr>
          <w:rFonts w:ascii="Sylfaen" w:hAnsi="Sylfaen"/>
          <w:sz w:val="24"/>
          <w:szCs w:val="24"/>
          <w:lang w:val="ka-GE"/>
        </w:rPr>
        <w:t>ირების</w:t>
      </w:r>
      <w:r w:rsidRPr="00254DCC">
        <w:rPr>
          <w:rFonts w:ascii="Sylfaen" w:hAnsi="Sylfaen"/>
          <w:sz w:val="24"/>
          <w:szCs w:val="24"/>
          <w:lang w:val="ka-GE"/>
        </w:rPr>
        <w:t xml:space="preserve"> კიდევ ერთ ლეგიტიმურ მიზნად </w:t>
      </w:r>
      <w:r w:rsidR="00E93E48" w:rsidRPr="00254DCC">
        <w:rPr>
          <w:rFonts w:ascii="Sylfaen" w:hAnsi="Sylfaen"/>
          <w:sz w:val="24"/>
          <w:szCs w:val="24"/>
          <w:lang w:val="ka-GE"/>
        </w:rPr>
        <w:t>საქართველოს პარლამენტის წარმომადგენელმა</w:t>
      </w:r>
      <w:r w:rsidRPr="00254DCC">
        <w:rPr>
          <w:rFonts w:ascii="Sylfaen" w:hAnsi="Sylfaen"/>
          <w:sz w:val="24"/>
          <w:szCs w:val="24"/>
          <w:lang w:val="ka-GE"/>
        </w:rPr>
        <w:t xml:space="preserve"> დაასახელა მოპასუხის დაცვა და მისი ინტერესების დაზღვევა სარჩელის უზრუნველყოფის ღონისძიების გამოყენებიდან მომდინარე შესაძლო ზიანისაგან.</w:t>
      </w:r>
      <w:r w:rsidR="004213EF" w:rsidRPr="00254DCC">
        <w:rPr>
          <w:rFonts w:ascii="Sylfaen" w:hAnsi="Sylfaen"/>
          <w:sz w:val="24"/>
          <w:szCs w:val="24"/>
          <w:lang w:val="ka-GE"/>
        </w:rPr>
        <w:t xml:space="preserve"> </w:t>
      </w:r>
      <w:r w:rsidR="00595518">
        <w:rPr>
          <w:rFonts w:ascii="Sylfaen" w:hAnsi="Sylfaen"/>
          <w:sz w:val="24"/>
          <w:szCs w:val="24"/>
          <w:lang w:val="ka-GE"/>
        </w:rPr>
        <w:t xml:space="preserve">საქართველოს </w:t>
      </w:r>
      <w:r w:rsidR="00734EE4" w:rsidRPr="00254DCC">
        <w:rPr>
          <w:rFonts w:ascii="Sylfaen" w:hAnsi="Sylfaen" w:cs="Sylfaen"/>
          <w:sz w:val="24"/>
          <w:szCs w:val="24"/>
          <w:lang w:val="ka-GE"/>
        </w:rPr>
        <w:t xml:space="preserve">სამოქალაქო საპროცესო კოდექსის 198-ე მუხლი ითვალისწინებს სხვადასხვა სახის სარჩელის უზრუნველყოფის ღონისძიების გამოყენების შესაძლებლობას, მათ შორის </w:t>
      </w:r>
      <w:r w:rsidR="00595518" w:rsidRPr="00254DCC">
        <w:rPr>
          <w:rFonts w:ascii="Sylfaen" w:hAnsi="Sylfaen" w:cs="Sylfaen"/>
          <w:sz w:val="24"/>
          <w:szCs w:val="24"/>
          <w:lang w:val="ka-GE"/>
        </w:rPr>
        <w:t>ქონებაზე</w:t>
      </w:r>
      <w:r w:rsidR="00595518">
        <w:rPr>
          <w:rFonts w:ascii="Sylfaen" w:hAnsi="Sylfaen" w:cs="Sylfaen"/>
          <w:sz w:val="24"/>
          <w:szCs w:val="24"/>
          <w:lang w:val="ka-GE"/>
        </w:rPr>
        <w:t xml:space="preserve"> </w:t>
      </w:r>
      <w:r w:rsidR="00734EE4" w:rsidRPr="00254DCC">
        <w:rPr>
          <w:rFonts w:ascii="Sylfaen" w:hAnsi="Sylfaen" w:cs="Sylfaen"/>
          <w:sz w:val="24"/>
          <w:szCs w:val="24"/>
          <w:lang w:val="ka-GE"/>
        </w:rPr>
        <w:t>ყადაღის დადებას, მოპასუხისათვის გარკვეული მოქმედების შესრულების აკრძალვა</w:t>
      </w:r>
      <w:r w:rsidR="00B447A6" w:rsidRPr="00254DCC">
        <w:rPr>
          <w:rFonts w:ascii="Sylfaen" w:hAnsi="Sylfaen" w:cs="Sylfaen"/>
          <w:sz w:val="24"/>
          <w:szCs w:val="24"/>
          <w:lang w:val="ka-GE"/>
        </w:rPr>
        <w:t>ს</w:t>
      </w:r>
      <w:r w:rsidR="00734EE4" w:rsidRPr="00254DCC">
        <w:rPr>
          <w:rFonts w:ascii="Sylfaen" w:hAnsi="Sylfaen" w:cs="Sylfaen"/>
          <w:sz w:val="24"/>
          <w:szCs w:val="24"/>
          <w:lang w:val="ka-GE"/>
        </w:rPr>
        <w:t xml:space="preserve"> და სხვა. </w:t>
      </w:r>
      <w:r w:rsidR="00AD7936" w:rsidRPr="00254DCC">
        <w:rPr>
          <w:rFonts w:ascii="Sylfaen" w:hAnsi="Sylfaen" w:cs="Sylfaen"/>
          <w:sz w:val="24"/>
          <w:szCs w:val="24"/>
          <w:lang w:val="ka-GE"/>
        </w:rPr>
        <w:t xml:space="preserve">სარჩელის უზრუნველყოფის ღონისძიება წარმოადგენს, ერთი მხრივ, მოსარჩელის უფლებების დაცვის გარანტს, ხოლო, მეორე მხრივ, </w:t>
      </w:r>
      <w:r w:rsidR="00B82C04" w:rsidRPr="00254DCC">
        <w:rPr>
          <w:rFonts w:ascii="Sylfaen" w:hAnsi="Sylfaen" w:cs="Sylfaen"/>
          <w:sz w:val="24"/>
          <w:szCs w:val="24"/>
          <w:lang w:val="ka-GE"/>
        </w:rPr>
        <w:t>მოპასუხის  უფლების მზღუდავ საშუალებას.</w:t>
      </w:r>
      <w:r w:rsidR="00DA0A01" w:rsidRPr="00254DCC">
        <w:rPr>
          <w:rFonts w:ascii="Sylfaen" w:hAnsi="Sylfaen" w:cs="Sylfaen"/>
          <w:sz w:val="24"/>
          <w:szCs w:val="24"/>
          <w:lang w:val="ka-GE"/>
        </w:rPr>
        <w:t xml:space="preserve"> </w:t>
      </w:r>
      <w:r w:rsidR="00595518">
        <w:rPr>
          <w:rFonts w:ascii="Sylfaen" w:hAnsi="Sylfaen" w:cs="Sylfaen"/>
          <w:sz w:val="24"/>
          <w:szCs w:val="24"/>
          <w:lang w:val="ka-GE"/>
        </w:rPr>
        <w:t xml:space="preserve">ზემოაღნიშნული ღონისძიების გამოყენებით </w:t>
      </w:r>
      <w:r w:rsidR="00B447A6" w:rsidRPr="00254DCC">
        <w:rPr>
          <w:rFonts w:ascii="Sylfaen" w:hAnsi="Sylfaen" w:cs="Sylfaen"/>
          <w:sz w:val="24"/>
          <w:szCs w:val="24"/>
          <w:lang w:val="ka-GE"/>
        </w:rPr>
        <w:t>მოსარჩელის ინტერესების დაცვამ შეიძლება გამოიწვიოს მოპასუხისათვის ქონებრივი ზარალის მიყენება</w:t>
      </w:r>
      <w:r w:rsidR="006C75F6" w:rsidRPr="00254DCC">
        <w:rPr>
          <w:rFonts w:ascii="Sylfaen" w:hAnsi="Sylfaen" w:cs="Sylfaen"/>
          <w:sz w:val="24"/>
          <w:szCs w:val="24"/>
          <w:lang w:val="ka-GE"/>
        </w:rPr>
        <w:t xml:space="preserve">, </w:t>
      </w:r>
      <w:r w:rsidR="004213EF" w:rsidRPr="00254DCC">
        <w:rPr>
          <w:rFonts w:ascii="Sylfaen" w:hAnsi="Sylfaen" w:cs="Sylfaen"/>
          <w:sz w:val="24"/>
          <w:szCs w:val="24"/>
          <w:lang w:val="ka-GE"/>
        </w:rPr>
        <w:t>შესაბამისად</w:t>
      </w:r>
      <w:r w:rsidR="00B535DC">
        <w:rPr>
          <w:rFonts w:ascii="Sylfaen" w:hAnsi="Sylfaen" w:cs="Sylfaen"/>
          <w:sz w:val="24"/>
          <w:szCs w:val="24"/>
          <w:lang w:val="ka-GE"/>
        </w:rPr>
        <w:t>,</w:t>
      </w:r>
      <w:r w:rsidR="004213EF" w:rsidRPr="00254DCC">
        <w:rPr>
          <w:rFonts w:ascii="Sylfaen" w:hAnsi="Sylfaen" w:cs="Sylfaen"/>
          <w:sz w:val="24"/>
          <w:szCs w:val="24"/>
          <w:lang w:val="ka-GE"/>
        </w:rPr>
        <w:t xml:space="preserve"> </w:t>
      </w:r>
      <w:r w:rsidR="002A3AE8" w:rsidRPr="00254DCC">
        <w:rPr>
          <w:rFonts w:ascii="Sylfaen" w:hAnsi="Sylfaen" w:cs="Sylfaen"/>
          <w:sz w:val="24"/>
          <w:szCs w:val="24"/>
          <w:lang w:val="ka-GE"/>
        </w:rPr>
        <w:t>გარკვეულ შემთხვევებში</w:t>
      </w:r>
      <w:r w:rsidR="00B535DC">
        <w:rPr>
          <w:rFonts w:ascii="Sylfaen" w:hAnsi="Sylfaen" w:cs="Sylfaen"/>
          <w:sz w:val="24"/>
          <w:szCs w:val="24"/>
          <w:lang w:val="ka-GE"/>
        </w:rPr>
        <w:t xml:space="preserve"> შეიძლება წარმოიშვას</w:t>
      </w:r>
      <w:r w:rsidR="004213EF" w:rsidRPr="00254DCC">
        <w:rPr>
          <w:rFonts w:ascii="Sylfaen" w:hAnsi="Sylfaen" w:cs="Sylfaen"/>
          <w:sz w:val="24"/>
          <w:szCs w:val="24"/>
          <w:lang w:val="ka-GE"/>
        </w:rPr>
        <w:t xml:space="preserve"> მოპასუხის ინტერესების </w:t>
      </w:r>
      <w:r w:rsidR="002A3AE8" w:rsidRPr="00254DCC">
        <w:rPr>
          <w:rFonts w:ascii="Sylfaen" w:hAnsi="Sylfaen" w:cs="Sylfaen"/>
          <w:sz w:val="24"/>
          <w:szCs w:val="24"/>
          <w:lang w:val="ka-GE"/>
        </w:rPr>
        <w:t>დაცვისათვის საჭირო მექანიზმების შექმნის აუცილებლობა.</w:t>
      </w:r>
      <w:r w:rsidR="00B447A6" w:rsidRPr="00254DCC">
        <w:rPr>
          <w:rFonts w:ascii="Sylfaen" w:hAnsi="Sylfaen" w:cs="Sylfaen"/>
          <w:sz w:val="24"/>
          <w:szCs w:val="24"/>
          <w:lang w:val="ka-GE"/>
        </w:rPr>
        <w:t xml:space="preserve"> </w:t>
      </w:r>
      <w:r w:rsidR="006430A2" w:rsidRPr="00254DCC">
        <w:rPr>
          <w:rFonts w:ascii="Sylfaen" w:hAnsi="Sylfaen" w:cs="Sylfaen"/>
          <w:sz w:val="24"/>
          <w:szCs w:val="24"/>
          <w:lang w:val="ka-GE"/>
        </w:rPr>
        <w:lastRenderedPageBreak/>
        <w:t>მოსალოდნელი ზარალის ანაზღაურების უზრუნველყოფის ღონისძიების გამოყენება წარმოადგენს ხსენებული</w:t>
      </w:r>
      <w:r w:rsidR="00B447A6" w:rsidRPr="00254DCC">
        <w:rPr>
          <w:rFonts w:ascii="Sylfaen" w:hAnsi="Sylfaen" w:cs="Sylfaen"/>
          <w:sz w:val="24"/>
          <w:szCs w:val="24"/>
          <w:lang w:val="ka-GE"/>
        </w:rPr>
        <w:t xml:space="preserve"> ინტერესების </w:t>
      </w:r>
      <w:r w:rsidR="00DF6E27" w:rsidRPr="00254DCC">
        <w:rPr>
          <w:rFonts w:ascii="Sylfaen" w:hAnsi="Sylfaen" w:cs="Sylfaen"/>
          <w:sz w:val="24"/>
          <w:szCs w:val="24"/>
          <w:lang w:val="ka-GE"/>
        </w:rPr>
        <w:t>გონივრულად დაბალანსების მექანიზმს და ემსახურება მოპასუხის უფლებების დაცვას.</w:t>
      </w:r>
    </w:p>
    <w:p w14:paraId="391BA4FA" w14:textId="546BE1B6" w:rsidR="00734EE4" w:rsidRPr="00254DCC" w:rsidRDefault="00B535DC" w:rsidP="00B12AE5">
      <w:pPr>
        <w:pStyle w:val="ListParagraph1"/>
        <w:numPr>
          <w:ilvl w:val="0"/>
          <w:numId w:val="4"/>
        </w:numPr>
        <w:tabs>
          <w:tab w:val="left" w:pos="900"/>
        </w:tabs>
        <w:spacing w:after="0"/>
        <w:ind w:left="0" w:firstLine="360"/>
        <w:jc w:val="both"/>
        <w:rPr>
          <w:rFonts w:ascii="Sylfaen" w:hAnsi="Sylfaen"/>
          <w:sz w:val="24"/>
          <w:szCs w:val="24"/>
          <w:lang w:val="ka-GE"/>
        </w:rPr>
      </w:pPr>
      <w:r>
        <w:rPr>
          <w:rFonts w:ascii="Sylfaen" w:hAnsi="Sylfaen" w:cs="Sylfaen"/>
          <w:sz w:val="24"/>
          <w:szCs w:val="24"/>
          <w:lang w:val="ka-GE"/>
        </w:rPr>
        <w:t xml:space="preserve">როგორც ზემოთ აღინიშნა, </w:t>
      </w:r>
      <w:r w:rsidR="002A3AE8" w:rsidRPr="00254DCC">
        <w:rPr>
          <w:rFonts w:ascii="Sylfaen" w:hAnsi="Sylfaen" w:cs="Sylfaen"/>
          <w:sz w:val="24"/>
          <w:szCs w:val="24"/>
          <w:lang w:val="ka-GE"/>
        </w:rPr>
        <w:t>ხშირ შემთხვევაში სარჩ</w:t>
      </w:r>
      <w:r w:rsidR="004A2ECD" w:rsidRPr="00254DCC">
        <w:rPr>
          <w:rFonts w:ascii="Sylfaen" w:hAnsi="Sylfaen" w:cs="Sylfaen"/>
          <w:sz w:val="24"/>
          <w:szCs w:val="24"/>
          <w:lang w:val="ka-GE"/>
        </w:rPr>
        <w:t>ე</w:t>
      </w:r>
      <w:r w:rsidR="002A3AE8" w:rsidRPr="00254DCC">
        <w:rPr>
          <w:rFonts w:ascii="Sylfaen" w:hAnsi="Sylfaen" w:cs="Sylfaen"/>
          <w:sz w:val="24"/>
          <w:szCs w:val="24"/>
          <w:lang w:val="ka-GE"/>
        </w:rPr>
        <w:t>ლის უზრუნველყოფის ღონისძიებ</w:t>
      </w:r>
      <w:r>
        <w:rPr>
          <w:rFonts w:ascii="Sylfaen" w:hAnsi="Sylfaen" w:cs="Sylfaen"/>
          <w:sz w:val="24"/>
          <w:szCs w:val="24"/>
          <w:lang w:val="ka-GE"/>
        </w:rPr>
        <w:t>ის გამოყენება</w:t>
      </w:r>
      <w:r w:rsidR="002A3AE8" w:rsidRPr="00254DCC">
        <w:rPr>
          <w:rFonts w:ascii="Sylfaen" w:hAnsi="Sylfaen" w:cs="Sylfaen"/>
          <w:sz w:val="24"/>
          <w:szCs w:val="24"/>
          <w:lang w:val="ka-GE"/>
        </w:rPr>
        <w:t xml:space="preserve"> პროცესის მონაწილის საკუთრების ან სხვა უფლების შეზღუდვას იწვევს. </w:t>
      </w:r>
      <w:r w:rsidR="00792F12" w:rsidRPr="00254DCC">
        <w:rPr>
          <w:rFonts w:ascii="Sylfaen" w:hAnsi="Sylfaen" w:cs="Sylfaen"/>
          <w:sz w:val="24"/>
          <w:szCs w:val="24"/>
          <w:lang w:val="ka-GE"/>
        </w:rPr>
        <w:t>ამდენად,</w:t>
      </w:r>
      <w:r w:rsidR="00A228C9" w:rsidRPr="00254DCC">
        <w:rPr>
          <w:rFonts w:ascii="Sylfaen" w:hAnsi="Sylfaen" w:cs="Sylfaen"/>
          <w:sz w:val="24"/>
          <w:szCs w:val="24"/>
          <w:lang w:val="ka-GE"/>
        </w:rPr>
        <w:t xml:space="preserve"> საკონსტიტუციო</w:t>
      </w:r>
      <w:r w:rsidR="00792F12" w:rsidRPr="00254DCC">
        <w:rPr>
          <w:rFonts w:ascii="Sylfaen" w:hAnsi="Sylfaen" w:cs="Sylfaen"/>
          <w:sz w:val="24"/>
          <w:szCs w:val="24"/>
          <w:lang w:val="ka-GE"/>
        </w:rPr>
        <w:t xml:space="preserve"> სასამარ</w:t>
      </w:r>
      <w:r w:rsidR="008C3498">
        <w:rPr>
          <w:rFonts w:ascii="Sylfaen" w:hAnsi="Sylfaen" w:cs="Sylfaen"/>
          <w:sz w:val="24"/>
          <w:szCs w:val="24"/>
          <w:lang w:val="ka-GE"/>
        </w:rPr>
        <w:t>თ</w:t>
      </w:r>
      <w:r w:rsidR="00792F12" w:rsidRPr="00254DCC">
        <w:rPr>
          <w:rFonts w:ascii="Sylfaen" w:hAnsi="Sylfaen" w:cs="Sylfaen"/>
          <w:sz w:val="24"/>
          <w:szCs w:val="24"/>
          <w:lang w:val="ka-GE"/>
        </w:rPr>
        <w:t>ლო იზიარებს მოპასუხის პოზიციას, რომლის თანახმადაც</w:t>
      </w:r>
      <w:r>
        <w:rPr>
          <w:rFonts w:ascii="Sylfaen" w:hAnsi="Sylfaen" w:cs="Sylfaen"/>
          <w:sz w:val="24"/>
          <w:szCs w:val="24"/>
          <w:lang w:val="ka-GE"/>
        </w:rPr>
        <w:t>,</w:t>
      </w:r>
      <w:r w:rsidR="00792F12" w:rsidRPr="00254DCC">
        <w:rPr>
          <w:rFonts w:ascii="Sylfaen" w:hAnsi="Sylfaen" w:cs="Sylfaen"/>
          <w:sz w:val="24"/>
          <w:szCs w:val="24"/>
          <w:lang w:val="ka-GE"/>
        </w:rPr>
        <w:t xml:space="preserve"> სადავო ნორმა ემსახურება პროცესის მონაწილის ინტერესების დაცვას. პროცესის მონაწილის ქონებრივი თუ სხვა უფლებრივი ინტერესების დაცვა მნიშვნელოვან ლეგიტიმურ </w:t>
      </w:r>
      <w:r w:rsidR="006C75F6" w:rsidRPr="00254DCC">
        <w:rPr>
          <w:rFonts w:ascii="Sylfaen" w:hAnsi="Sylfaen" w:cs="Sylfaen"/>
          <w:sz w:val="24"/>
          <w:szCs w:val="24"/>
          <w:lang w:val="ka-GE"/>
        </w:rPr>
        <w:t xml:space="preserve">მიზანს </w:t>
      </w:r>
      <w:r w:rsidR="00792F12" w:rsidRPr="00254DCC">
        <w:rPr>
          <w:rFonts w:ascii="Sylfaen" w:hAnsi="Sylfaen" w:cs="Sylfaen"/>
          <w:sz w:val="24"/>
          <w:szCs w:val="24"/>
          <w:lang w:val="ka-GE"/>
        </w:rPr>
        <w:t>წარმოადგენს, რომლის დასაცავადაც შესაძლოა სამართლიანი სას</w:t>
      </w:r>
      <w:r w:rsidR="00C966E8">
        <w:rPr>
          <w:rFonts w:ascii="Sylfaen" w:hAnsi="Sylfaen" w:cs="Sylfaen"/>
          <w:sz w:val="24"/>
          <w:szCs w:val="24"/>
          <w:lang w:val="ka-GE"/>
        </w:rPr>
        <w:t>ა</w:t>
      </w:r>
      <w:r w:rsidR="00792F12" w:rsidRPr="00254DCC">
        <w:rPr>
          <w:rFonts w:ascii="Sylfaen" w:hAnsi="Sylfaen" w:cs="Sylfaen"/>
          <w:sz w:val="24"/>
          <w:szCs w:val="24"/>
          <w:lang w:val="ka-GE"/>
        </w:rPr>
        <w:t>მართლოს უფლება შეიზღუდოს. შესაბამისად, სადავო ნორმა წარმოადგენს ლეგიტიმური მიზნის მიღწევის ვარგის საშუალებას.</w:t>
      </w:r>
    </w:p>
    <w:p w14:paraId="4358703A" w14:textId="77777777" w:rsidR="00792F12" w:rsidRPr="00254DCC" w:rsidRDefault="00792F12" w:rsidP="00792F12">
      <w:pPr>
        <w:pStyle w:val="ListParagraph1"/>
        <w:tabs>
          <w:tab w:val="left" w:pos="900"/>
        </w:tabs>
        <w:spacing w:after="0"/>
        <w:jc w:val="both"/>
        <w:rPr>
          <w:rFonts w:ascii="Sylfaen" w:hAnsi="Sylfaen" w:cs="Sylfaen"/>
          <w:sz w:val="24"/>
          <w:szCs w:val="24"/>
          <w:lang w:val="ka-GE"/>
        </w:rPr>
      </w:pPr>
    </w:p>
    <w:p w14:paraId="32D62EC6" w14:textId="239B43DF" w:rsidR="00792F12" w:rsidRPr="00254DCC" w:rsidRDefault="00792F12" w:rsidP="00C97694">
      <w:pPr>
        <w:pStyle w:val="Heading5"/>
      </w:pPr>
      <w:r w:rsidRPr="00254DCC">
        <w:t xml:space="preserve">1.2.3.1. აუცილებლობა </w:t>
      </w:r>
    </w:p>
    <w:p w14:paraId="5DCD2344" w14:textId="77777777" w:rsidR="00792F12" w:rsidRPr="00254DCC" w:rsidRDefault="00792F12" w:rsidP="00792F12">
      <w:pPr>
        <w:pStyle w:val="ListParagraph1"/>
        <w:tabs>
          <w:tab w:val="left" w:pos="900"/>
        </w:tabs>
        <w:spacing w:after="0"/>
        <w:jc w:val="both"/>
        <w:rPr>
          <w:rFonts w:ascii="Sylfaen" w:hAnsi="Sylfaen"/>
          <w:sz w:val="24"/>
          <w:szCs w:val="24"/>
          <w:lang w:val="ka-GE"/>
        </w:rPr>
      </w:pPr>
    </w:p>
    <w:p w14:paraId="757D4064" w14:textId="5B174622" w:rsidR="00792F12" w:rsidRPr="00254DCC" w:rsidRDefault="00792F12" w:rsidP="000B4B64">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სადავო ნორმის კონსტიტუციურად მიჩნევისათვის იგი ასევე უ</w:t>
      </w:r>
      <w:r w:rsidR="004A03A7" w:rsidRPr="00254DCC">
        <w:rPr>
          <w:rFonts w:ascii="Sylfaen" w:hAnsi="Sylfaen"/>
          <w:sz w:val="24"/>
          <w:szCs w:val="24"/>
          <w:lang w:val="ka-GE"/>
        </w:rPr>
        <w:t>ნდ</w:t>
      </w:r>
      <w:r w:rsidRPr="00254DCC">
        <w:rPr>
          <w:rFonts w:ascii="Sylfaen" w:hAnsi="Sylfaen"/>
          <w:sz w:val="24"/>
          <w:szCs w:val="24"/>
          <w:lang w:val="ka-GE"/>
        </w:rPr>
        <w:t xml:space="preserve">ა წარმოადგენდეს ლეგიტიმური მიზნის </w:t>
      </w:r>
      <w:r w:rsidR="006430A2" w:rsidRPr="00254DCC">
        <w:rPr>
          <w:rFonts w:ascii="Sylfaen" w:hAnsi="Sylfaen"/>
          <w:sz w:val="24"/>
          <w:szCs w:val="24"/>
          <w:lang w:val="ka-GE"/>
        </w:rPr>
        <w:t xml:space="preserve">მიღწევის </w:t>
      </w:r>
      <w:r w:rsidRPr="00254DCC">
        <w:rPr>
          <w:rFonts w:ascii="Sylfaen" w:hAnsi="Sylfaen"/>
          <w:sz w:val="24"/>
          <w:szCs w:val="24"/>
          <w:lang w:val="ka-GE" w:eastAsia="ka-GE"/>
        </w:rPr>
        <w:t>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აღნიშნულიდან გამომდინარე</w:t>
      </w:r>
      <w:r w:rsidR="0098297E" w:rsidRPr="00254DCC">
        <w:rPr>
          <w:rFonts w:ascii="Sylfaen" w:hAnsi="Sylfaen"/>
          <w:sz w:val="24"/>
          <w:szCs w:val="24"/>
          <w:lang w:val="ka-GE" w:eastAsia="ka-GE"/>
        </w:rPr>
        <w:t>,</w:t>
      </w:r>
      <w:r w:rsidRPr="00254DCC">
        <w:rPr>
          <w:rFonts w:ascii="Sylfaen" w:hAnsi="Sylfaen"/>
          <w:sz w:val="24"/>
          <w:szCs w:val="24"/>
          <w:lang w:val="ka-GE" w:eastAsia="ka-GE"/>
        </w:rPr>
        <w:t xml:space="preserve"> საკონსტიტუციო სასამართლომ უნდა შეაფასოს წარმოადგენს თუ არა სადავო ნორმა </w:t>
      </w:r>
      <w:r w:rsidR="006430A2" w:rsidRPr="00254DCC">
        <w:rPr>
          <w:rFonts w:ascii="Sylfaen" w:hAnsi="Sylfaen"/>
          <w:sz w:val="24"/>
          <w:szCs w:val="24"/>
          <w:lang w:val="ka-GE" w:eastAsia="ka-GE"/>
        </w:rPr>
        <w:t xml:space="preserve">სამოქალაქო სამართალწარმოების </w:t>
      </w:r>
      <w:r w:rsidRPr="00254DCC">
        <w:rPr>
          <w:rFonts w:ascii="Sylfaen" w:hAnsi="Sylfaen"/>
          <w:sz w:val="24"/>
          <w:szCs w:val="24"/>
          <w:lang w:val="ka-GE" w:eastAsia="ka-GE"/>
        </w:rPr>
        <w:t xml:space="preserve">მეორე მხარის ინტერესების დაცვის </w:t>
      </w:r>
      <w:r w:rsidR="00B535DC">
        <w:rPr>
          <w:rFonts w:ascii="Sylfaen" w:hAnsi="Sylfaen"/>
          <w:sz w:val="24"/>
          <w:szCs w:val="24"/>
          <w:lang w:val="ka-GE" w:eastAsia="ka-GE"/>
        </w:rPr>
        <w:t>აუცილებელ</w:t>
      </w:r>
      <w:r w:rsidRPr="00254DCC">
        <w:rPr>
          <w:rFonts w:ascii="Sylfaen" w:hAnsi="Sylfaen"/>
          <w:sz w:val="24"/>
          <w:szCs w:val="24"/>
          <w:lang w:val="ka-GE" w:eastAsia="ka-GE"/>
        </w:rPr>
        <w:t xml:space="preserve"> საშუალებას. </w:t>
      </w:r>
    </w:p>
    <w:p w14:paraId="0FA13102" w14:textId="26EA5E8B" w:rsidR="00FA467D" w:rsidRPr="00254DCC" w:rsidRDefault="009331A9" w:rsidP="000B4B64">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მოსარჩელე მხარის არგუმენტაციით, მოსალოდნელი ზარალის უზრუნველსაყოფად მხარისათვის დადგენილი 7 დღიანი ვადა</w:t>
      </w:r>
      <w:r w:rsidR="00792F12" w:rsidRPr="00254DCC">
        <w:rPr>
          <w:rFonts w:ascii="Sylfaen" w:hAnsi="Sylfaen"/>
          <w:sz w:val="24"/>
          <w:szCs w:val="24"/>
          <w:lang w:val="ka-GE"/>
        </w:rPr>
        <w:t xml:space="preserve"> </w:t>
      </w:r>
      <w:r w:rsidRPr="00254DCC">
        <w:rPr>
          <w:rFonts w:ascii="Sylfaen" w:hAnsi="Sylfaen"/>
          <w:sz w:val="24"/>
          <w:szCs w:val="24"/>
          <w:lang w:val="ka-GE"/>
        </w:rPr>
        <w:t>რიგ შემთხვევებში შეიძლება არ იყოს გონივრული დრო კონკრეტული ოდენობის თანხის მობილიზებისათვის</w:t>
      </w:r>
      <w:r w:rsidR="009F2BEF" w:rsidRPr="00254DCC">
        <w:rPr>
          <w:rFonts w:ascii="Sylfaen" w:hAnsi="Sylfaen"/>
          <w:sz w:val="24"/>
          <w:szCs w:val="24"/>
          <w:lang w:val="ka-GE"/>
        </w:rPr>
        <w:t>.</w:t>
      </w:r>
      <w:r w:rsidRPr="00254DCC">
        <w:rPr>
          <w:rFonts w:ascii="Sylfaen" w:hAnsi="Sylfaen"/>
          <w:sz w:val="24"/>
          <w:szCs w:val="24"/>
          <w:lang w:val="ka-GE"/>
        </w:rPr>
        <w:t xml:space="preserve"> ამ ვადის განსაზღვრა უნდა ხდებოდეს არა კანონის ბლანკეტური ჩანაწერით, არამედ მოსამართლის მიერ</w:t>
      </w:r>
      <w:r w:rsidR="009F2BEF" w:rsidRPr="00254DCC">
        <w:rPr>
          <w:rFonts w:ascii="Sylfaen" w:hAnsi="Sylfaen"/>
          <w:sz w:val="24"/>
          <w:szCs w:val="24"/>
          <w:lang w:val="ka-GE"/>
        </w:rPr>
        <w:t>,</w:t>
      </w:r>
      <w:r w:rsidRPr="00254DCC">
        <w:rPr>
          <w:rFonts w:ascii="Sylfaen" w:hAnsi="Sylfaen"/>
          <w:sz w:val="24"/>
          <w:szCs w:val="24"/>
          <w:lang w:val="ka-GE"/>
        </w:rPr>
        <w:t xml:space="preserve"> ყოველ კონკრეტულ შემთხვევაში</w:t>
      </w:r>
      <w:r w:rsidR="00B535DC">
        <w:rPr>
          <w:rFonts w:ascii="Sylfaen" w:hAnsi="Sylfaen"/>
          <w:sz w:val="24"/>
          <w:szCs w:val="24"/>
          <w:lang w:val="ka-GE"/>
        </w:rPr>
        <w:t>,</w:t>
      </w:r>
      <w:r w:rsidRPr="00254DCC">
        <w:rPr>
          <w:rFonts w:ascii="Sylfaen" w:hAnsi="Sylfaen"/>
          <w:sz w:val="24"/>
          <w:szCs w:val="24"/>
          <w:lang w:val="ka-GE"/>
        </w:rPr>
        <w:t xml:space="preserve"> რელევანტური გარემოებების შეფასების შედეგად. </w:t>
      </w:r>
    </w:p>
    <w:p w14:paraId="6A0C5297" w14:textId="08AC132F" w:rsidR="00B447A6" w:rsidRPr="00254DCC" w:rsidRDefault="007876BB"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მოპასუხის პოზიციით, 7 დღიანი ვადა წარმოადგენს ობიექტურად საკმარის დროს, რათა მხარემ შეძლოს სასამართლოს განჩინების შესრულება</w:t>
      </w:r>
      <w:r w:rsidR="00C462E1" w:rsidRPr="00254DCC">
        <w:rPr>
          <w:rFonts w:ascii="Sylfaen" w:hAnsi="Sylfaen"/>
          <w:sz w:val="24"/>
          <w:szCs w:val="24"/>
          <w:lang w:val="ka-GE"/>
        </w:rPr>
        <w:t>. საქართველოს პარლამენტის წარმომადგენელმა</w:t>
      </w:r>
      <w:r w:rsidR="009F2BEF" w:rsidRPr="00254DCC">
        <w:rPr>
          <w:rFonts w:ascii="Sylfaen" w:hAnsi="Sylfaen"/>
          <w:sz w:val="24"/>
          <w:szCs w:val="24"/>
          <w:lang w:val="ka-GE"/>
        </w:rPr>
        <w:t>,</w:t>
      </w:r>
      <w:r w:rsidR="00C462E1" w:rsidRPr="00254DCC">
        <w:rPr>
          <w:rFonts w:ascii="Sylfaen" w:hAnsi="Sylfaen"/>
          <w:sz w:val="24"/>
          <w:szCs w:val="24"/>
          <w:lang w:val="ka-GE"/>
        </w:rPr>
        <w:t xml:space="preserve"> საქმის არსებითი განხილვის სხდომაზე ასევე განაცხადა, რომ მოსამართლე მოსარჩელისათვის ზარალის უზრუნველყოფის დაკისრებამდე ითვალისწინებს იმ ფაქტს, რომ მხარეს განჩინების შესრულებისათვის აქვს 7 დღიანი ვადა და მას აკისრებს იმ ოდენობის თანხის უზრუნველყოფის ვალდებულებას, </w:t>
      </w:r>
      <w:r w:rsidR="006B1AE0" w:rsidRPr="00254DCC">
        <w:rPr>
          <w:rFonts w:ascii="Sylfaen" w:hAnsi="Sylfaen"/>
          <w:sz w:val="24"/>
          <w:szCs w:val="24"/>
          <w:lang w:val="ka-GE"/>
        </w:rPr>
        <w:t>რისი</w:t>
      </w:r>
      <w:r w:rsidR="00C462E1" w:rsidRPr="00254DCC">
        <w:rPr>
          <w:rFonts w:ascii="Sylfaen" w:hAnsi="Sylfaen"/>
          <w:sz w:val="24"/>
          <w:szCs w:val="24"/>
          <w:lang w:val="ka-GE"/>
        </w:rPr>
        <w:t xml:space="preserve"> შესრულებაც ამ პერიოდში </w:t>
      </w:r>
      <w:r w:rsidR="00B535DC" w:rsidRPr="00254DCC">
        <w:rPr>
          <w:rFonts w:ascii="Sylfaen" w:hAnsi="Sylfaen"/>
          <w:sz w:val="24"/>
          <w:szCs w:val="24"/>
          <w:lang w:val="ka-GE"/>
        </w:rPr>
        <w:t>იქნება</w:t>
      </w:r>
      <w:r w:rsidR="00B535DC">
        <w:rPr>
          <w:rFonts w:ascii="Sylfaen" w:hAnsi="Sylfaen"/>
          <w:sz w:val="24"/>
          <w:szCs w:val="24"/>
          <w:lang w:val="ka-GE"/>
        </w:rPr>
        <w:t xml:space="preserve"> </w:t>
      </w:r>
      <w:r w:rsidR="00C462E1" w:rsidRPr="00254DCC">
        <w:rPr>
          <w:rFonts w:ascii="Sylfaen" w:hAnsi="Sylfaen"/>
          <w:sz w:val="24"/>
          <w:szCs w:val="24"/>
          <w:lang w:val="ka-GE"/>
        </w:rPr>
        <w:t xml:space="preserve">შესაძლებელი. მოპასუხე </w:t>
      </w:r>
      <w:r w:rsidR="00C462E1" w:rsidRPr="00254DCC">
        <w:rPr>
          <w:rFonts w:ascii="Sylfaen" w:hAnsi="Sylfaen"/>
          <w:sz w:val="24"/>
          <w:szCs w:val="24"/>
          <w:lang w:val="ka-GE"/>
        </w:rPr>
        <w:lastRenderedPageBreak/>
        <w:t>მხარის არგუმენტაციით, სასამართლოს შესაძლებლობა</w:t>
      </w:r>
      <w:r w:rsidR="00C966E8">
        <w:rPr>
          <w:rFonts w:ascii="Sylfaen" w:hAnsi="Sylfaen"/>
          <w:sz w:val="24"/>
          <w:szCs w:val="24"/>
          <w:lang w:val="ka-GE"/>
        </w:rPr>
        <w:t xml:space="preserve">, </w:t>
      </w:r>
      <w:r w:rsidR="00C966E8" w:rsidRPr="00254DCC">
        <w:rPr>
          <w:rFonts w:ascii="Sylfaen" w:hAnsi="Sylfaen"/>
          <w:sz w:val="24"/>
          <w:szCs w:val="24"/>
          <w:lang w:val="ka-GE"/>
        </w:rPr>
        <w:t>ყოველ კონკრეტულ შემთხვევაში</w:t>
      </w:r>
      <w:r w:rsidR="00C462E1" w:rsidRPr="00254DCC">
        <w:rPr>
          <w:rFonts w:ascii="Sylfaen" w:hAnsi="Sylfaen"/>
          <w:sz w:val="24"/>
          <w:szCs w:val="24"/>
          <w:lang w:val="ka-GE"/>
        </w:rPr>
        <w:t xml:space="preserve"> დაადგინოს განსხვავებული ვადა ზარალის უზრუნველსაყოფად</w:t>
      </w:r>
      <w:r w:rsidR="00A448A1" w:rsidRPr="00254DCC">
        <w:rPr>
          <w:rFonts w:ascii="Sylfaen" w:hAnsi="Sylfaen"/>
          <w:sz w:val="24"/>
          <w:szCs w:val="24"/>
          <w:lang w:val="ka-GE"/>
        </w:rPr>
        <w:t>,</w:t>
      </w:r>
      <w:r w:rsidR="00C462E1" w:rsidRPr="00254DCC">
        <w:rPr>
          <w:rFonts w:ascii="Sylfaen" w:hAnsi="Sylfaen"/>
          <w:sz w:val="24"/>
          <w:szCs w:val="24"/>
          <w:lang w:val="ka-GE"/>
        </w:rPr>
        <w:t xml:space="preserve">  წარმოშობდა არაერთგვაროვან სასამართლო პრაქტიკას და ვერ მოხდებოდა მხარეთა თანასწორობის დაცვა სამოქალაქო პროცესში.</w:t>
      </w:r>
    </w:p>
    <w:p w14:paraId="2AAB233E" w14:textId="598B8DB9" w:rsidR="001B6552" w:rsidRPr="00254DCC" w:rsidRDefault="00E54BD7"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მხარეთა თანასწორობა და </w:t>
      </w:r>
      <w:proofErr w:type="spellStart"/>
      <w:r w:rsidRPr="00254DCC">
        <w:rPr>
          <w:rFonts w:ascii="Sylfaen" w:hAnsi="Sylfaen"/>
          <w:sz w:val="24"/>
          <w:szCs w:val="24"/>
          <w:lang w:val="ka-GE"/>
        </w:rPr>
        <w:t>შეჯიბრებითობა</w:t>
      </w:r>
      <w:proofErr w:type="spellEnd"/>
      <w:r w:rsidRPr="00254DCC">
        <w:rPr>
          <w:rFonts w:ascii="Sylfaen" w:hAnsi="Sylfaen"/>
          <w:sz w:val="24"/>
          <w:szCs w:val="24"/>
          <w:lang w:val="ka-GE"/>
        </w:rPr>
        <w:t xml:space="preserve"> სამოქალაქო საპროცესო სამართლის უმნიშვნელოვანესი პრინციპია, რაც პირველ რიგში გულისხმობს მოსარჩელისა და მოპასუხისათვის თანაბარი პროცესუალური შესაძლებლობების მინიჭებას.</w:t>
      </w:r>
      <w:r w:rsidR="005970D3" w:rsidRPr="00254DCC">
        <w:rPr>
          <w:rFonts w:ascii="Sylfaen" w:hAnsi="Sylfaen"/>
          <w:sz w:val="24"/>
          <w:szCs w:val="24"/>
          <w:lang w:val="ka-GE"/>
        </w:rPr>
        <w:t xml:space="preserve"> </w:t>
      </w:r>
      <w:r w:rsidR="005970D3" w:rsidRPr="00254DCC">
        <w:rPr>
          <w:rFonts w:ascii="Sylfaen" w:hAnsi="Sylfaen" w:cs="Sylfaen"/>
          <w:sz w:val="24"/>
          <w:szCs w:val="24"/>
          <w:lang w:val="ka-GE" w:eastAsia="ka-GE"/>
        </w:rPr>
        <w:t>„შეჯიბრებითობის პრინციპი ეფუძნება მხარეთა თანაბარ შესაძლებლობას, აღიჭურვონ სათანადო საპროცესო ინსტრუმენტებით...“</w:t>
      </w:r>
      <w:r w:rsidR="003C0856" w:rsidRPr="00254DCC">
        <w:rPr>
          <w:rFonts w:ascii="Sylfaen" w:hAnsi="Sylfaen" w:cs="Sylfaen"/>
          <w:sz w:val="24"/>
          <w:szCs w:val="24"/>
          <w:lang w:val="ka-GE" w:eastAsia="ka-GE"/>
        </w:rPr>
        <w:t xml:space="preserve"> </w:t>
      </w:r>
      <w:r w:rsidR="005970D3" w:rsidRPr="00254DCC">
        <w:rPr>
          <w:rFonts w:ascii="Sylfaen" w:hAnsi="Sylfaen" w:cs="Sylfaen"/>
          <w:sz w:val="24"/>
          <w:szCs w:val="24"/>
          <w:lang w:val="ka-GE" w:eastAsia="ka-GE"/>
        </w:rPr>
        <w:t>(საქართველოს საკონსტიტუციო სასამართლოს 2016 წლი</w:t>
      </w:r>
      <w:r w:rsidR="00363DFD" w:rsidRPr="00254DCC">
        <w:rPr>
          <w:rFonts w:ascii="Sylfaen" w:hAnsi="Sylfaen" w:cs="Sylfaen"/>
          <w:sz w:val="24"/>
          <w:szCs w:val="24"/>
          <w:lang w:val="ka-GE" w:eastAsia="ka-GE"/>
        </w:rPr>
        <w:t>ს</w:t>
      </w:r>
      <w:r w:rsidR="005970D3" w:rsidRPr="00254DCC">
        <w:rPr>
          <w:rFonts w:ascii="Sylfaen" w:hAnsi="Sylfaen" w:cs="Sylfaen"/>
          <w:sz w:val="24"/>
          <w:szCs w:val="24"/>
          <w:lang w:val="ka-GE" w:eastAsia="ka-GE"/>
        </w:rPr>
        <w:t xml:space="preserve"> 30 სექტემბრის </w:t>
      </w:r>
      <w:r w:rsidR="005814AE" w:rsidRPr="00254DCC">
        <w:rPr>
          <w:rFonts w:ascii="Sylfaen" w:hAnsi="Sylfaen" w:cs="Sylfaen"/>
          <w:sz w:val="24"/>
          <w:szCs w:val="24"/>
          <w:lang w:val="ka-GE" w:eastAsia="ka-GE"/>
        </w:rPr>
        <w:t xml:space="preserve">№1/8/594 </w:t>
      </w:r>
      <w:r w:rsidR="005970D3" w:rsidRPr="00254DCC">
        <w:rPr>
          <w:rFonts w:ascii="Sylfaen" w:hAnsi="Sylfaen" w:cs="Sylfaen"/>
          <w:sz w:val="24"/>
          <w:szCs w:val="24"/>
          <w:lang w:val="ka-GE" w:eastAsia="ka-GE"/>
        </w:rPr>
        <w:t>გადაწყვეტილება საქმეზე „საქართველოს მოქალაქე ხათუნა შუბითიძე საქართველოს პარლამენტის წინააღმდეგ“, II-27).</w:t>
      </w:r>
      <w:r w:rsidRPr="00254DCC">
        <w:rPr>
          <w:rFonts w:ascii="Sylfaen" w:hAnsi="Sylfaen"/>
          <w:sz w:val="24"/>
          <w:szCs w:val="24"/>
          <w:lang w:val="ka-GE"/>
        </w:rPr>
        <w:t xml:space="preserve"> მხარის უფლებას</w:t>
      </w:r>
      <w:r w:rsidR="00A448A1" w:rsidRPr="00254DCC">
        <w:rPr>
          <w:rFonts w:ascii="Sylfaen" w:hAnsi="Sylfaen"/>
          <w:sz w:val="24"/>
          <w:szCs w:val="24"/>
          <w:lang w:val="ka-GE"/>
        </w:rPr>
        <w:t>,</w:t>
      </w:r>
      <w:r w:rsidRPr="00254DCC">
        <w:rPr>
          <w:rFonts w:ascii="Sylfaen" w:hAnsi="Sylfaen"/>
          <w:sz w:val="24"/>
          <w:szCs w:val="24"/>
          <w:lang w:val="ka-GE"/>
        </w:rPr>
        <w:t xml:space="preserve"> გამოიყენოს სარჩელის უზრუნველყოფის ღონისძიება</w:t>
      </w:r>
      <w:r w:rsidR="00A448A1" w:rsidRPr="00254DCC">
        <w:rPr>
          <w:rFonts w:ascii="Sylfaen" w:hAnsi="Sylfaen"/>
          <w:sz w:val="24"/>
          <w:szCs w:val="24"/>
          <w:lang w:val="ka-GE"/>
        </w:rPr>
        <w:t>,</w:t>
      </w:r>
      <w:r w:rsidRPr="00254DCC">
        <w:rPr>
          <w:rFonts w:ascii="Sylfaen" w:hAnsi="Sylfaen"/>
          <w:sz w:val="24"/>
          <w:szCs w:val="24"/>
          <w:lang w:val="ka-GE"/>
        </w:rPr>
        <w:t xml:space="preserve"> უპირისპირდება მოპასუხის ინტერესი - თავი დაიცვას ზიანის მომტანი უზრუნველყოფის ღონისძიებისაგან. მოცემულ შემთხვევაში</w:t>
      </w:r>
      <w:r w:rsidR="00A448A1" w:rsidRPr="00254DCC">
        <w:rPr>
          <w:rFonts w:ascii="Sylfaen" w:hAnsi="Sylfaen"/>
          <w:sz w:val="24"/>
          <w:szCs w:val="24"/>
          <w:lang w:val="ka-GE"/>
        </w:rPr>
        <w:t>,</w:t>
      </w:r>
      <w:r w:rsidRPr="00254DCC">
        <w:rPr>
          <w:rFonts w:ascii="Sylfaen" w:hAnsi="Sylfaen"/>
          <w:sz w:val="24"/>
          <w:szCs w:val="24"/>
          <w:lang w:val="ka-GE"/>
        </w:rPr>
        <w:t xml:space="preserve"> ერთმანეთს უპირისპირდება მოსარჩელისა და მოპასუხის </w:t>
      </w:r>
      <w:r w:rsidR="00B535DC">
        <w:rPr>
          <w:rFonts w:ascii="Sylfaen" w:hAnsi="Sylfaen"/>
          <w:sz w:val="24"/>
          <w:szCs w:val="24"/>
          <w:lang w:val="ka-GE"/>
        </w:rPr>
        <w:t>ლეგიტიმური</w:t>
      </w:r>
      <w:r w:rsidRPr="00254DCC">
        <w:rPr>
          <w:rFonts w:ascii="Sylfaen" w:hAnsi="Sylfaen"/>
          <w:sz w:val="24"/>
          <w:szCs w:val="24"/>
          <w:lang w:val="ka-GE"/>
        </w:rPr>
        <w:t xml:space="preserve"> ინტერესები, რომელთა გონივრული დაბალანსებაც კანონმდებლისადმი წაყენებული უპირველესი</w:t>
      </w:r>
      <w:r w:rsidR="00B535DC">
        <w:rPr>
          <w:rFonts w:ascii="Sylfaen" w:hAnsi="Sylfaen"/>
          <w:sz w:val="24"/>
          <w:szCs w:val="24"/>
          <w:lang w:val="ka-GE"/>
        </w:rPr>
        <w:t xml:space="preserve"> კონსტიტუციური</w:t>
      </w:r>
      <w:r w:rsidRPr="00254DCC">
        <w:rPr>
          <w:rFonts w:ascii="Sylfaen" w:hAnsi="Sylfaen"/>
          <w:sz w:val="24"/>
          <w:szCs w:val="24"/>
          <w:lang w:val="ka-GE"/>
        </w:rPr>
        <w:t xml:space="preserve"> მოთხოვნაა. </w:t>
      </w:r>
      <w:r w:rsidR="001B6552" w:rsidRPr="00254DCC">
        <w:rPr>
          <w:rFonts w:ascii="Sylfaen" w:hAnsi="Sylfaen"/>
          <w:sz w:val="24"/>
          <w:szCs w:val="24"/>
          <w:lang w:val="ka-GE"/>
        </w:rPr>
        <w:t>დადგენილი შეზღუდვა უნდა ითვალისწინებდეს პროცესის მონაწილე ორივე მხარის ინტერესებს - მოპასუხეს უნდა ჰქონდეს შესაძლებლობა დააზღვიოს უზრუნველყოფის ღონისძიებიდან მომდინარე ქონებრივი ზიანი, ხოლო მოსარჩელისათვის დადგენილი ვადა უნდა იყოს გონივრული და მას აძლევდეს რეალურ შესაძლებლობას მოახდინოს მოსალოდნელი ზარალის უზრუნველყოფა.</w:t>
      </w:r>
    </w:p>
    <w:p w14:paraId="3EB138B4" w14:textId="358110AC" w:rsidR="00F44448" w:rsidRPr="00254DCC" w:rsidRDefault="006F2B94"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მოსალოდნელი ზარალის ანაზღაურების უზრუნველყოფისათვის განსაზღვრული ვადა, გარდა მოპასუხის ინტერესების დაცვისა, მიმართული უნდა იყოს ასევე სარჩელის უზრუნველყოფის ღონისძიების შენარჩუნებისაკენ და მოსარჩელეს უნდა მიეცეს რეალური და არა </w:t>
      </w:r>
      <w:r w:rsidR="00B535DC">
        <w:rPr>
          <w:rFonts w:ascii="Sylfaen" w:hAnsi="Sylfaen"/>
          <w:sz w:val="24"/>
          <w:szCs w:val="24"/>
          <w:lang w:val="ka-GE"/>
        </w:rPr>
        <w:t>ფორმალურ</w:t>
      </w:r>
      <w:r w:rsidRPr="00254DCC">
        <w:rPr>
          <w:rFonts w:ascii="Sylfaen" w:hAnsi="Sylfaen"/>
          <w:sz w:val="24"/>
          <w:szCs w:val="24"/>
          <w:lang w:val="ka-GE"/>
        </w:rPr>
        <w:t xml:space="preserve">ი შესაძლებლობა </w:t>
      </w:r>
      <w:r w:rsidR="00E01C7A" w:rsidRPr="00254DCC">
        <w:rPr>
          <w:rFonts w:ascii="Sylfaen" w:hAnsi="Sylfaen"/>
          <w:sz w:val="24"/>
          <w:szCs w:val="24"/>
          <w:lang w:val="ka-GE"/>
        </w:rPr>
        <w:t xml:space="preserve">განახორციელოს მოსალოდნელის ზარალის უზრუნველსაყოფად განსაზღვრული სამართლებრივი მოქმედება, </w:t>
      </w:r>
      <w:r w:rsidRPr="00254DCC">
        <w:rPr>
          <w:rFonts w:ascii="Sylfaen" w:hAnsi="Sylfaen"/>
          <w:sz w:val="24"/>
          <w:szCs w:val="24"/>
          <w:lang w:val="ka-GE"/>
        </w:rPr>
        <w:t xml:space="preserve">შეასრულოს სასამართლოს განჩინება და ამ გზით შეინარჩუნოს სარჩელის უზრუნველყოფის ღონისძიება. </w:t>
      </w:r>
      <w:r w:rsidR="0067558E" w:rsidRPr="00254DCC">
        <w:rPr>
          <w:rFonts w:ascii="Sylfaen" w:hAnsi="Sylfaen"/>
          <w:sz w:val="24"/>
          <w:szCs w:val="24"/>
          <w:lang w:val="ka-GE"/>
        </w:rPr>
        <w:t>სამოქალაქო საპროცესო კოდექსი</w:t>
      </w:r>
      <w:r w:rsidR="00A228C9" w:rsidRPr="00254DCC">
        <w:rPr>
          <w:rFonts w:ascii="Sylfaen" w:hAnsi="Sylfaen"/>
          <w:sz w:val="24"/>
          <w:szCs w:val="24"/>
          <w:lang w:val="ka-GE"/>
        </w:rPr>
        <w:t xml:space="preserve"> არ უშვებს</w:t>
      </w:r>
      <w:r w:rsidR="0067558E" w:rsidRPr="00254DCC">
        <w:rPr>
          <w:rFonts w:ascii="Sylfaen" w:hAnsi="Sylfaen"/>
          <w:sz w:val="24"/>
          <w:szCs w:val="24"/>
          <w:lang w:val="ka-GE"/>
        </w:rPr>
        <w:t xml:space="preserve"> კანონით განსაზღვრული ვადის </w:t>
      </w:r>
      <w:r w:rsidR="00A228C9" w:rsidRPr="00254DCC">
        <w:rPr>
          <w:rFonts w:ascii="Sylfaen" w:hAnsi="Sylfaen"/>
          <w:sz w:val="24"/>
          <w:szCs w:val="24"/>
          <w:lang w:val="ka-GE"/>
        </w:rPr>
        <w:t>გაგრძელების შესაძლებლობას</w:t>
      </w:r>
      <w:r w:rsidR="00996C35" w:rsidRPr="00254DCC">
        <w:rPr>
          <w:rFonts w:ascii="Sylfaen" w:hAnsi="Sylfaen"/>
          <w:sz w:val="24"/>
          <w:szCs w:val="24"/>
          <w:lang w:val="ka-GE"/>
        </w:rPr>
        <w:t>,</w:t>
      </w:r>
      <w:r w:rsidR="0067558E" w:rsidRPr="00254DCC">
        <w:rPr>
          <w:rFonts w:ascii="Sylfaen" w:hAnsi="Sylfaen"/>
          <w:sz w:val="24"/>
          <w:szCs w:val="24"/>
          <w:lang w:val="ka-GE"/>
        </w:rPr>
        <w:t xml:space="preserve"> შესაბამისად</w:t>
      </w:r>
      <w:r w:rsidR="00CA32D1" w:rsidRPr="00254DCC">
        <w:rPr>
          <w:rFonts w:ascii="Sylfaen" w:hAnsi="Sylfaen"/>
          <w:sz w:val="24"/>
          <w:szCs w:val="24"/>
          <w:lang w:val="ka-GE"/>
        </w:rPr>
        <w:t>,</w:t>
      </w:r>
      <w:r w:rsidR="0067558E" w:rsidRPr="00254DCC">
        <w:rPr>
          <w:rFonts w:ascii="Sylfaen" w:hAnsi="Sylfaen"/>
          <w:sz w:val="24"/>
          <w:szCs w:val="24"/>
          <w:lang w:val="ka-GE"/>
        </w:rPr>
        <w:t xml:space="preserve"> თუ მოსარჩელე ობიექტური მიზეზ</w:t>
      </w:r>
      <w:r w:rsidR="00CA32D1" w:rsidRPr="00254DCC">
        <w:rPr>
          <w:rFonts w:ascii="Sylfaen" w:hAnsi="Sylfaen"/>
          <w:sz w:val="24"/>
          <w:szCs w:val="24"/>
          <w:lang w:val="ka-GE"/>
        </w:rPr>
        <w:t>ებ</w:t>
      </w:r>
      <w:r w:rsidR="0067558E" w:rsidRPr="00254DCC">
        <w:rPr>
          <w:rFonts w:ascii="Sylfaen" w:hAnsi="Sylfaen"/>
          <w:sz w:val="24"/>
          <w:szCs w:val="24"/>
          <w:lang w:val="ka-GE"/>
        </w:rPr>
        <w:t xml:space="preserve">ის გამო ვერ შეძლებს 7 დღის ვადაში </w:t>
      </w:r>
      <w:r w:rsidR="00C966E8">
        <w:rPr>
          <w:rFonts w:ascii="Sylfaen" w:hAnsi="Sylfaen"/>
          <w:sz w:val="24"/>
          <w:szCs w:val="24"/>
          <w:lang w:val="ka-GE"/>
        </w:rPr>
        <w:t xml:space="preserve">მოსალოდნელი </w:t>
      </w:r>
      <w:r w:rsidR="0067558E" w:rsidRPr="00254DCC">
        <w:rPr>
          <w:rFonts w:ascii="Sylfaen" w:hAnsi="Sylfaen"/>
          <w:sz w:val="24"/>
          <w:szCs w:val="24"/>
          <w:lang w:val="ka-GE"/>
        </w:rPr>
        <w:t xml:space="preserve">ზარალის </w:t>
      </w:r>
      <w:r w:rsidR="00EA54FA" w:rsidRPr="00254DCC">
        <w:rPr>
          <w:rFonts w:ascii="Sylfaen" w:hAnsi="Sylfaen"/>
          <w:sz w:val="24"/>
          <w:szCs w:val="24"/>
          <w:lang w:val="ka-GE"/>
        </w:rPr>
        <w:t>უზრუნველყოფ</w:t>
      </w:r>
      <w:r w:rsidR="00CA32D1" w:rsidRPr="00254DCC">
        <w:rPr>
          <w:rFonts w:ascii="Sylfaen" w:hAnsi="Sylfaen"/>
          <w:sz w:val="24"/>
          <w:szCs w:val="24"/>
          <w:lang w:val="ka-GE"/>
        </w:rPr>
        <w:t xml:space="preserve">ას, </w:t>
      </w:r>
      <w:r w:rsidR="0067558E" w:rsidRPr="00254DCC">
        <w:rPr>
          <w:rFonts w:ascii="Sylfaen" w:hAnsi="Sylfaen"/>
          <w:sz w:val="24"/>
          <w:szCs w:val="24"/>
          <w:lang w:val="ka-GE"/>
        </w:rPr>
        <w:t xml:space="preserve">გაუქმდება სარჩელის უზრუნველყოფის ღონისძიება. ვადის იმგვარად განსაზღვრა, რომ მისი გაგრძელება ან აღდგენა არ </w:t>
      </w:r>
      <w:r w:rsidR="00BD08AC">
        <w:rPr>
          <w:rFonts w:ascii="Sylfaen" w:hAnsi="Sylfaen"/>
          <w:sz w:val="24"/>
          <w:szCs w:val="24"/>
          <w:lang w:val="ka-GE"/>
        </w:rPr>
        <w:t>მოხდეს</w:t>
      </w:r>
      <w:r w:rsidR="00CA32D1" w:rsidRPr="00254DCC">
        <w:rPr>
          <w:rFonts w:ascii="Sylfaen" w:hAnsi="Sylfaen"/>
          <w:sz w:val="24"/>
          <w:szCs w:val="24"/>
          <w:lang w:val="ka-GE"/>
        </w:rPr>
        <w:t>,</w:t>
      </w:r>
      <w:r w:rsidR="0067558E" w:rsidRPr="00254DCC">
        <w:rPr>
          <w:rFonts w:ascii="Sylfaen" w:hAnsi="Sylfaen"/>
          <w:sz w:val="24"/>
          <w:szCs w:val="24"/>
          <w:lang w:val="ka-GE"/>
        </w:rPr>
        <w:t xml:space="preserve"> ემსახურება მოპასუხის ინტერესების დაცვას - დააზღვიოს სარჩელის უზრუნველყოფის ღონისძიების გამოყენებიდან მომდინარე ზიანი, თუმცა </w:t>
      </w:r>
      <w:r w:rsidR="0067558E" w:rsidRPr="00254DCC">
        <w:rPr>
          <w:rFonts w:ascii="Sylfaen" w:hAnsi="Sylfaen"/>
          <w:sz w:val="24"/>
          <w:szCs w:val="24"/>
          <w:lang w:val="ka-GE"/>
        </w:rPr>
        <w:lastRenderedPageBreak/>
        <w:t>ამ ინტერესის დაცვამ ილუზორული არ უნდა გახადოს მოსარჩელის უფლება</w:t>
      </w:r>
      <w:r w:rsidR="00BD08AC">
        <w:rPr>
          <w:rFonts w:ascii="Sylfaen" w:hAnsi="Sylfaen"/>
          <w:sz w:val="24"/>
          <w:szCs w:val="24"/>
          <w:lang w:val="ka-GE"/>
        </w:rPr>
        <w:t>,</w:t>
      </w:r>
      <w:r w:rsidR="0067558E" w:rsidRPr="00254DCC">
        <w:rPr>
          <w:rFonts w:ascii="Sylfaen" w:hAnsi="Sylfaen"/>
          <w:sz w:val="24"/>
          <w:szCs w:val="24"/>
          <w:lang w:val="ka-GE"/>
        </w:rPr>
        <w:t xml:space="preserve"> </w:t>
      </w:r>
      <w:r w:rsidR="006F04C4" w:rsidRPr="00254DCC">
        <w:rPr>
          <w:rFonts w:ascii="Sylfaen" w:hAnsi="Sylfaen"/>
          <w:sz w:val="24"/>
          <w:szCs w:val="24"/>
          <w:lang w:val="ka-GE"/>
        </w:rPr>
        <w:t>მოახდინოს სარჩელის უზრუნველყოფა და</w:t>
      </w:r>
      <w:r w:rsidR="00363DFD" w:rsidRPr="00254DCC">
        <w:rPr>
          <w:rFonts w:ascii="Sylfaen" w:hAnsi="Sylfaen"/>
          <w:sz w:val="24"/>
          <w:szCs w:val="24"/>
          <w:lang w:val="ka-GE"/>
        </w:rPr>
        <w:t xml:space="preserve"> ამ გზით,</w:t>
      </w:r>
      <w:r w:rsidR="006F04C4" w:rsidRPr="00254DCC">
        <w:rPr>
          <w:rFonts w:ascii="Sylfaen" w:hAnsi="Sylfaen"/>
          <w:sz w:val="24"/>
          <w:szCs w:val="24"/>
          <w:lang w:val="ka-GE"/>
        </w:rPr>
        <w:t xml:space="preserve"> საკუთარი უფლების მომავალში აღდგენის გარანტირება. </w:t>
      </w:r>
    </w:p>
    <w:p w14:paraId="3FD68CA3" w14:textId="17C01CD7" w:rsidR="0055511E" w:rsidRPr="00254DCC" w:rsidRDefault="006F04C4"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საკონსტიტუციო სასამართლო ვერ გაიზიარებს საქართველოს პარლამენტის პოზიციას იმასთან დაკავშირებით, რომ მოსამართლემ მოსალოდნელი ზარალის ოდენობის განსაზღვრისას უნდა გაითვალისწინოს 7 დღიანი ვადის არსებობა და მოსარჩელეს დააკისროს იმ ოდენობის თანხის გადახდა, რის უზრუნველყოფასაც ამ ვადაში მხარე მოახერხებს. როგორც ზემოთ აღინიშნა, მოსალოდნელი ზარალის ანაზღაურების უზრუნველყოფის ინსტიტუტის მიზანია მოპასუხის ინტერესების დაცვა</w:t>
      </w:r>
      <w:r w:rsidR="00290D51" w:rsidRPr="00254DCC">
        <w:rPr>
          <w:rFonts w:ascii="Sylfaen" w:hAnsi="Sylfaen"/>
          <w:sz w:val="24"/>
          <w:szCs w:val="24"/>
          <w:lang w:val="ka-GE"/>
        </w:rPr>
        <w:t xml:space="preserve">. </w:t>
      </w:r>
      <w:r w:rsidR="00B20657" w:rsidRPr="00254DCC">
        <w:rPr>
          <w:rFonts w:ascii="Sylfaen" w:hAnsi="Sylfaen"/>
          <w:sz w:val="24"/>
          <w:szCs w:val="24"/>
          <w:lang w:val="ka-GE"/>
        </w:rPr>
        <w:t>შესაბამისად</w:t>
      </w:r>
      <w:r w:rsidR="00363DFD" w:rsidRPr="00254DCC">
        <w:rPr>
          <w:rFonts w:ascii="Sylfaen" w:hAnsi="Sylfaen"/>
          <w:sz w:val="24"/>
          <w:szCs w:val="24"/>
          <w:lang w:val="ka-GE"/>
        </w:rPr>
        <w:t>,</w:t>
      </w:r>
      <w:r w:rsidR="00B20657" w:rsidRPr="00254DCC">
        <w:rPr>
          <w:rFonts w:ascii="Sylfaen" w:hAnsi="Sylfaen"/>
          <w:sz w:val="24"/>
          <w:szCs w:val="24"/>
          <w:lang w:val="ka-GE"/>
        </w:rPr>
        <w:t xml:space="preserve"> ზარალის ოდენობის განსაზღვრისას</w:t>
      </w:r>
      <w:r w:rsidR="006F2B94" w:rsidRPr="00254DCC">
        <w:rPr>
          <w:rFonts w:ascii="Sylfaen" w:hAnsi="Sylfaen"/>
          <w:sz w:val="24"/>
          <w:szCs w:val="24"/>
          <w:lang w:val="ka-GE"/>
        </w:rPr>
        <w:t>,</w:t>
      </w:r>
      <w:r w:rsidR="00B20657" w:rsidRPr="00254DCC">
        <w:rPr>
          <w:rFonts w:ascii="Sylfaen" w:hAnsi="Sylfaen"/>
          <w:sz w:val="24"/>
          <w:szCs w:val="24"/>
          <w:lang w:val="ka-GE"/>
        </w:rPr>
        <w:t xml:space="preserve"> ძირითადი კრიტერიუმია სარჩელის უზრუნველყოფის ღონისძიებიდან მომდინარე</w:t>
      </w:r>
      <w:r w:rsidR="006F2B94" w:rsidRPr="00254DCC">
        <w:rPr>
          <w:rFonts w:ascii="Sylfaen" w:hAnsi="Sylfaen"/>
          <w:sz w:val="24"/>
          <w:szCs w:val="24"/>
          <w:lang w:val="ka-GE"/>
        </w:rPr>
        <w:t>,</w:t>
      </w:r>
      <w:r w:rsidR="00B20657" w:rsidRPr="00254DCC">
        <w:rPr>
          <w:rFonts w:ascii="Sylfaen" w:hAnsi="Sylfaen"/>
          <w:sz w:val="24"/>
          <w:szCs w:val="24"/>
          <w:lang w:val="ka-GE"/>
        </w:rPr>
        <w:t xml:space="preserve"> ობიექტურად მოსალოდნელი ზიანი და არა </w:t>
      </w:r>
      <w:r w:rsidR="00BD08AC">
        <w:rPr>
          <w:rFonts w:ascii="Sylfaen" w:hAnsi="Sylfaen"/>
          <w:sz w:val="24"/>
          <w:szCs w:val="24"/>
          <w:lang w:val="ka-GE"/>
        </w:rPr>
        <w:t>იმ შესაძლებლობის განსაზღვრა, რა ვადაში შეძლებს მოსარჩელე</w:t>
      </w:r>
      <w:r w:rsidR="00B20657" w:rsidRPr="00254DCC">
        <w:rPr>
          <w:rFonts w:ascii="Sylfaen" w:hAnsi="Sylfaen"/>
          <w:sz w:val="24"/>
          <w:szCs w:val="24"/>
          <w:lang w:val="ka-GE"/>
        </w:rPr>
        <w:t xml:space="preserve"> </w:t>
      </w:r>
      <w:r w:rsidR="00BD08AC">
        <w:rPr>
          <w:rFonts w:ascii="Sylfaen" w:hAnsi="Sylfaen"/>
          <w:sz w:val="24"/>
          <w:szCs w:val="24"/>
          <w:lang w:val="ka-GE"/>
        </w:rPr>
        <w:t>ზარალის უზრუნველყოფას</w:t>
      </w:r>
      <w:r w:rsidR="00B20657" w:rsidRPr="00254DCC">
        <w:rPr>
          <w:rFonts w:ascii="Sylfaen" w:hAnsi="Sylfaen"/>
          <w:sz w:val="24"/>
          <w:szCs w:val="24"/>
          <w:lang w:val="ka-GE"/>
        </w:rPr>
        <w:t xml:space="preserve">. აღნიშნული ინსტიტუტის არსი არის მოპასუხისათვის </w:t>
      </w:r>
      <w:r w:rsidR="005C447B" w:rsidRPr="00254DCC">
        <w:rPr>
          <w:rFonts w:ascii="Sylfaen" w:hAnsi="Sylfaen"/>
          <w:sz w:val="24"/>
          <w:szCs w:val="24"/>
          <w:lang w:val="ka-GE"/>
        </w:rPr>
        <w:t xml:space="preserve">სარჩელის </w:t>
      </w:r>
      <w:r w:rsidR="00B20657" w:rsidRPr="00254DCC">
        <w:rPr>
          <w:rFonts w:ascii="Sylfaen" w:hAnsi="Sylfaen"/>
          <w:sz w:val="24"/>
          <w:szCs w:val="24"/>
          <w:lang w:val="ka-GE"/>
        </w:rPr>
        <w:t xml:space="preserve">უზრუნველყოფის ღონისძიების </w:t>
      </w:r>
      <w:r w:rsidR="005C447B" w:rsidRPr="00254DCC">
        <w:rPr>
          <w:rFonts w:ascii="Sylfaen" w:hAnsi="Sylfaen"/>
          <w:sz w:val="24"/>
          <w:szCs w:val="24"/>
          <w:lang w:val="ka-GE"/>
        </w:rPr>
        <w:t xml:space="preserve">გამოყენების </w:t>
      </w:r>
      <w:r w:rsidR="00B20657" w:rsidRPr="00254DCC">
        <w:rPr>
          <w:rFonts w:ascii="Sylfaen" w:hAnsi="Sylfaen"/>
          <w:sz w:val="24"/>
          <w:szCs w:val="24"/>
          <w:lang w:val="ka-GE"/>
        </w:rPr>
        <w:t>შედეგად მიყენებული ზიანის მომავალში დაუბრკოლებლად ანაზღაურების შესაძლებლობ</w:t>
      </w:r>
      <w:r w:rsidR="0027207C" w:rsidRPr="00254DCC">
        <w:rPr>
          <w:rFonts w:ascii="Sylfaen" w:hAnsi="Sylfaen"/>
          <w:sz w:val="24"/>
          <w:szCs w:val="24"/>
          <w:lang w:val="ka-GE"/>
        </w:rPr>
        <w:t>ა</w:t>
      </w:r>
      <w:r w:rsidR="005C447B" w:rsidRPr="00254DCC">
        <w:rPr>
          <w:rFonts w:ascii="Sylfaen" w:hAnsi="Sylfaen"/>
          <w:sz w:val="24"/>
          <w:szCs w:val="24"/>
          <w:lang w:val="ka-GE"/>
        </w:rPr>
        <w:t>.</w:t>
      </w:r>
      <w:r w:rsidR="00B20657" w:rsidRPr="00254DCC">
        <w:rPr>
          <w:rFonts w:ascii="Sylfaen" w:hAnsi="Sylfaen"/>
          <w:sz w:val="24"/>
          <w:szCs w:val="24"/>
          <w:lang w:val="ka-GE"/>
        </w:rPr>
        <w:t xml:space="preserve"> </w:t>
      </w:r>
      <w:r w:rsidR="00962814" w:rsidRPr="00254DCC">
        <w:rPr>
          <w:rFonts w:ascii="Sylfaen" w:hAnsi="Sylfaen"/>
          <w:sz w:val="24"/>
          <w:szCs w:val="24"/>
          <w:lang w:val="ka-GE"/>
        </w:rPr>
        <w:t>აქედან გამომდინარე</w:t>
      </w:r>
      <w:r w:rsidR="00D5581C" w:rsidRPr="00254DCC">
        <w:rPr>
          <w:rFonts w:ascii="Sylfaen" w:hAnsi="Sylfaen"/>
          <w:sz w:val="24"/>
          <w:szCs w:val="24"/>
          <w:lang w:val="ka-GE"/>
        </w:rPr>
        <w:t xml:space="preserve">, </w:t>
      </w:r>
      <w:r w:rsidR="00BD08AC">
        <w:rPr>
          <w:rFonts w:ascii="Sylfaen" w:hAnsi="Sylfaen"/>
          <w:sz w:val="24"/>
          <w:szCs w:val="24"/>
          <w:lang w:val="ka-GE"/>
        </w:rPr>
        <w:t>სამართლებრივ საფუძველს მოკლებულია</w:t>
      </w:r>
      <w:r w:rsidR="00D5581C" w:rsidRPr="00254DCC">
        <w:rPr>
          <w:rFonts w:ascii="Sylfaen" w:hAnsi="Sylfaen"/>
          <w:sz w:val="24"/>
          <w:szCs w:val="24"/>
          <w:lang w:val="ka-GE"/>
        </w:rPr>
        <w:t xml:space="preserve"> სადავო ნორმის </w:t>
      </w:r>
      <w:r w:rsidR="00BD08AC">
        <w:rPr>
          <w:rFonts w:ascii="Sylfaen" w:hAnsi="Sylfaen"/>
          <w:sz w:val="24"/>
          <w:szCs w:val="24"/>
          <w:lang w:val="ka-GE"/>
        </w:rPr>
        <w:t>მოპასუხის მიერ შემოთავაზებული</w:t>
      </w:r>
      <w:r w:rsidR="00D5581C" w:rsidRPr="00254DCC">
        <w:rPr>
          <w:rFonts w:ascii="Sylfaen" w:hAnsi="Sylfaen"/>
          <w:sz w:val="24"/>
          <w:szCs w:val="24"/>
          <w:lang w:val="ka-GE"/>
        </w:rPr>
        <w:t xml:space="preserve"> შინაარსით ინტერპრეტირება. </w:t>
      </w:r>
    </w:p>
    <w:p w14:paraId="2E3BA541" w14:textId="6E9443DF" w:rsidR="00C67E0E" w:rsidRPr="00254DCC" w:rsidRDefault="00A73621" w:rsidP="00F22AAD">
      <w:pPr>
        <w:pStyle w:val="ListParagraph1"/>
        <w:numPr>
          <w:ilvl w:val="0"/>
          <w:numId w:val="4"/>
        </w:numPr>
        <w:tabs>
          <w:tab w:val="left" w:pos="900"/>
        </w:tabs>
        <w:spacing w:after="0"/>
        <w:ind w:left="0" w:firstLine="360"/>
        <w:jc w:val="both"/>
        <w:rPr>
          <w:rFonts w:ascii="Sylfaen" w:hAnsi="Sylfaen"/>
          <w:sz w:val="24"/>
          <w:szCs w:val="24"/>
          <w:lang w:val="ka-GE"/>
        </w:rPr>
      </w:pPr>
      <w:r>
        <w:rPr>
          <w:rFonts w:ascii="Sylfaen" w:hAnsi="Sylfaen"/>
          <w:sz w:val="24"/>
          <w:szCs w:val="24"/>
          <w:lang w:val="ka-GE"/>
        </w:rPr>
        <w:t>სამართლებრივი დავებისა</w:t>
      </w:r>
      <w:r w:rsidR="00BD08AC">
        <w:rPr>
          <w:rFonts w:ascii="Sylfaen" w:hAnsi="Sylfaen"/>
          <w:sz w:val="24"/>
          <w:szCs w:val="24"/>
          <w:lang w:val="ka-GE"/>
        </w:rPr>
        <w:t xml:space="preserve"> და </w:t>
      </w:r>
      <w:r w:rsidR="00ED7981" w:rsidRPr="00254DCC">
        <w:rPr>
          <w:rFonts w:ascii="Sylfaen" w:hAnsi="Sylfaen"/>
          <w:sz w:val="24"/>
          <w:szCs w:val="24"/>
          <w:lang w:val="ka-GE"/>
        </w:rPr>
        <w:t xml:space="preserve">სარჩელის უზრუნველყოფის ღონისძიებათა მრავალფეროვნებიდან გამომდინარე, სხვადასხვა შეიძლება იყოს </w:t>
      </w:r>
      <w:r w:rsidR="00BD08AC">
        <w:rPr>
          <w:rFonts w:ascii="Sylfaen" w:hAnsi="Sylfaen"/>
          <w:sz w:val="24"/>
          <w:szCs w:val="24"/>
          <w:lang w:val="ka-GE"/>
        </w:rPr>
        <w:t>მათი გამოყენებიდან</w:t>
      </w:r>
      <w:r w:rsidR="00ED7981" w:rsidRPr="00254DCC">
        <w:rPr>
          <w:rFonts w:ascii="Sylfaen" w:hAnsi="Sylfaen"/>
          <w:sz w:val="24"/>
          <w:szCs w:val="24"/>
          <w:lang w:val="ka-GE"/>
        </w:rPr>
        <w:t xml:space="preserve"> მომდინარე </w:t>
      </w:r>
      <w:r w:rsidR="008B567F" w:rsidRPr="00254DCC">
        <w:rPr>
          <w:rFonts w:ascii="Sylfaen" w:hAnsi="Sylfaen"/>
          <w:sz w:val="24"/>
          <w:szCs w:val="24"/>
          <w:lang w:val="ka-GE"/>
        </w:rPr>
        <w:t xml:space="preserve">ქონებრივი </w:t>
      </w:r>
      <w:r w:rsidR="00ED7981" w:rsidRPr="00254DCC">
        <w:rPr>
          <w:rFonts w:ascii="Sylfaen" w:hAnsi="Sylfaen"/>
          <w:sz w:val="24"/>
          <w:szCs w:val="24"/>
          <w:lang w:val="ka-GE"/>
        </w:rPr>
        <w:t>ზიანის ოდენობა. რიგ შემთხვევებში</w:t>
      </w:r>
      <w:r w:rsidR="00C67E0E" w:rsidRPr="00254DCC">
        <w:rPr>
          <w:rFonts w:ascii="Sylfaen" w:hAnsi="Sylfaen"/>
          <w:sz w:val="24"/>
          <w:szCs w:val="24"/>
          <w:lang w:val="ka-GE"/>
        </w:rPr>
        <w:t>,</w:t>
      </w:r>
      <w:r w:rsidR="00ED7981" w:rsidRPr="00254DCC">
        <w:rPr>
          <w:rFonts w:ascii="Sylfaen" w:hAnsi="Sylfaen"/>
          <w:sz w:val="24"/>
          <w:szCs w:val="24"/>
          <w:lang w:val="ka-GE"/>
        </w:rPr>
        <w:t xml:space="preserve"> მხარეს შეიძლება ჰქონდეს მისი უზრუნველყოფის საშუალება კანონით განსაზღვრულ 7 დღეში</w:t>
      </w:r>
      <w:r>
        <w:rPr>
          <w:rFonts w:ascii="Sylfaen" w:hAnsi="Sylfaen"/>
          <w:sz w:val="24"/>
          <w:szCs w:val="24"/>
          <w:lang w:val="ka-GE"/>
        </w:rPr>
        <w:t>,</w:t>
      </w:r>
      <w:r w:rsidR="00947D00" w:rsidRPr="00254DCC">
        <w:rPr>
          <w:rFonts w:ascii="Sylfaen" w:hAnsi="Sylfaen"/>
          <w:sz w:val="24"/>
          <w:szCs w:val="24"/>
          <w:lang w:val="ka-GE"/>
        </w:rPr>
        <w:t xml:space="preserve"> თუმცა, სხვა შემთხვევებში შესაძლოა </w:t>
      </w:r>
      <w:r w:rsidR="00ED7981" w:rsidRPr="00254DCC">
        <w:rPr>
          <w:rFonts w:ascii="Sylfaen" w:hAnsi="Sylfaen"/>
          <w:sz w:val="24"/>
          <w:szCs w:val="24"/>
          <w:lang w:val="ka-GE"/>
        </w:rPr>
        <w:t xml:space="preserve">არსებობდეს ვითარება, როდესაც საჭირო იყოს უფრო მეტი ან ნაკლები ვადის დაწესება. </w:t>
      </w:r>
      <w:r>
        <w:rPr>
          <w:rFonts w:ascii="Sylfaen" w:hAnsi="Sylfaen"/>
          <w:sz w:val="24"/>
          <w:szCs w:val="24"/>
          <w:lang w:val="ka-GE"/>
        </w:rPr>
        <w:t>მხედველობაშია მისაღები</w:t>
      </w:r>
      <w:r w:rsidR="00C67E0E" w:rsidRPr="00254DCC">
        <w:rPr>
          <w:rFonts w:ascii="Sylfaen" w:hAnsi="Sylfaen"/>
          <w:sz w:val="24"/>
          <w:szCs w:val="24"/>
          <w:lang w:val="ka-GE"/>
        </w:rPr>
        <w:t xml:space="preserve"> ის ფაქტიც, რომ იურიდიული პირის შემთხვევაში</w:t>
      </w:r>
      <w:r>
        <w:rPr>
          <w:rFonts w:ascii="Sylfaen" w:hAnsi="Sylfaen"/>
          <w:sz w:val="24"/>
          <w:szCs w:val="24"/>
          <w:lang w:val="ka-GE"/>
        </w:rPr>
        <w:t>,</w:t>
      </w:r>
      <w:r w:rsidR="00C67E0E" w:rsidRPr="00254DCC">
        <w:rPr>
          <w:rFonts w:ascii="Sylfaen" w:hAnsi="Sylfaen"/>
          <w:sz w:val="24"/>
          <w:szCs w:val="24"/>
          <w:lang w:val="ka-GE"/>
        </w:rPr>
        <w:t xml:space="preserve"> სხვადასხვაგვარი შეიძლება იყოს მისი </w:t>
      </w:r>
      <w:r w:rsidR="00996C35" w:rsidRPr="00254DCC">
        <w:rPr>
          <w:rFonts w:ascii="Sylfaen" w:hAnsi="Sylfaen"/>
          <w:sz w:val="24"/>
          <w:szCs w:val="24"/>
          <w:lang w:val="ka-GE"/>
        </w:rPr>
        <w:t xml:space="preserve">მართვის </w:t>
      </w:r>
      <w:r w:rsidR="00C67E0E" w:rsidRPr="00254DCC">
        <w:rPr>
          <w:rFonts w:ascii="Sylfaen" w:hAnsi="Sylfaen"/>
          <w:sz w:val="24"/>
          <w:szCs w:val="24"/>
          <w:lang w:val="ka-GE"/>
        </w:rPr>
        <w:t>ორგანოების მიერ</w:t>
      </w:r>
      <w:r>
        <w:rPr>
          <w:rFonts w:ascii="Sylfaen" w:hAnsi="Sylfaen"/>
          <w:sz w:val="24"/>
          <w:szCs w:val="24"/>
          <w:lang w:val="ka-GE"/>
        </w:rPr>
        <w:t xml:space="preserve"> </w:t>
      </w:r>
      <w:r w:rsidRPr="00254DCC">
        <w:rPr>
          <w:rFonts w:ascii="Sylfaen" w:hAnsi="Sylfaen"/>
          <w:sz w:val="24"/>
          <w:szCs w:val="24"/>
          <w:lang w:val="ka-GE"/>
        </w:rPr>
        <w:t>ფინანსური რესურსების განკარგვასთან დაკავშირებით</w:t>
      </w:r>
      <w:r w:rsidR="00C67E0E" w:rsidRPr="00254DCC">
        <w:rPr>
          <w:rFonts w:ascii="Sylfaen" w:hAnsi="Sylfaen"/>
          <w:sz w:val="24"/>
          <w:szCs w:val="24"/>
          <w:lang w:val="ka-GE"/>
        </w:rPr>
        <w:t xml:space="preserve"> გადაწყვეტილების მიღების პროცედურა, რომლის განხორციელებასაც </w:t>
      </w:r>
      <w:r w:rsidR="008B567F" w:rsidRPr="00254DCC">
        <w:rPr>
          <w:rFonts w:ascii="Sylfaen" w:hAnsi="Sylfaen"/>
          <w:sz w:val="24"/>
          <w:szCs w:val="24"/>
          <w:lang w:val="ka-GE"/>
        </w:rPr>
        <w:t>რეალურად</w:t>
      </w:r>
      <w:r w:rsidR="00C67E0E" w:rsidRPr="00254DCC">
        <w:rPr>
          <w:rFonts w:ascii="Sylfaen" w:hAnsi="Sylfaen"/>
          <w:sz w:val="24"/>
          <w:szCs w:val="24"/>
          <w:lang w:val="ka-GE"/>
        </w:rPr>
        <w:t xml:space="preserve"> სჭირდებოდეს გარკვეული</w:t>
      </w:r>
      <w:r w:rsidR="00A843F7" w:rsidRPr="00254DCC">
        <w:rPr>
          <w:rFonts w:ascii="Sylfaen" w:hAnsi="Sylfaen"/>
          <w:sz w:val="24"/>
          <w:szCs w:val="24"/>
          <w:lang w:val="ka-GE"/>
        </w:rPr>
        <w:t>, ინდივიდუალური გარემოებების გათვალისწინებით დადგენილი</w:t>
      </w:r>
      <w:r w:rsidR="00C67E0E" w:rsidRPr="00254DCC">
        <w:rPr>
          <w:rFonts w:ascii="Sylfaen" w:hAnsi="Sylfaen"/>
          <w:sz w:val="24"/>
          <w:szCs w:val="24"/>
          <w:lang w:val="ka-GE"/>
        </w:rPr>
        <w:t xml:space="preserve"> </w:t>
      </w:r>
      <w:r w:rsidR="0069601B" w:rsidRPr="00254DCC">
        <w:rPr>
          <w:rFonts w:ascii="Sylfaen" w:hAnsi="Sylfaen"/>
          <w:sz w:val="24"/>
          <w:szCs w:val="24"/>
          <w:lang w:val="ka-GE"/>
        </w:rPr>
        <w:t>დრო</w:t>
      </w:r>
      <w:r w:rsidR="00A843F7" w:rsidRPr="00254DCC">
        <w:rPr>
          <w:rFonts w:ascii="Sylfaen" w:hAnsi="Sylfaen"/>
          <w:sz w:val="24"/>
          <w:szCs w:val="24"/>
          <w:lang w:val="ka-GE"/>
        </w:rPr>
        <w:t>.</w:t>
      </w:r>
      <w:r w:rsidR="0069601B" w:rsidRPr="00254DCC">
        <w:rPr>
          <w:rFonts w:ascii="Sylfaen" w:hAnsi="Sylfaen"/>
          <w:sz w:val="24"/>
          <w:szCs w:val="24"/>
          <w:lang w:val="ka-GE"/>
        </w:rPr>
        <w:t xml:space="preserve"> </w:t>
      </w:r>
    </w:p>
    <w:p w14:paraId="164B108C" w14:textId="3580D189" w:rsidR="008568F5" w:rsidRPr="00254DCC" w:rsidRDefault="008A6E05"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სადავო ნორმა</w:t>
      </w:r>
      <w:r w:rsidR="00533F1B" w:rsidRPr="00254DCC">
        <w:rPr>
          <w:rFonts w:ascii="Sylfaen" w:hAnsi="Sylfaen"/>
          <w:sz w:val="24"/>
          <w:szCs w:val="24"/>
          <w:lang w:val="ka-GE"/>
        </w:rPr>
        <w:t xml:space="preserve"> მოსალოდნელი ზარალის ანაზღაურების </w:t>
      </w:r>
      <w:r w:rsidR="00A73621">
        <w:rPr>
          <w:rFonts w:ascii="Sylfaen" w:hAnsi="Sylfaen"/>
          <w:sz w:val="24"/>
          <w:szCs w:val="24"/>
          <w:lang w:val="ka-GE"/>
        </w:rPr>
        <w:t>უზრუნველსაყოფად</w:t>
      </w:r>
      <w:r w:rsidRPr="00254DCC">
        <w:rPr>
          <w:rFonts w:ascii="Sylfaen" w:hAnsi="Sylfaen"/>
          <w:sz w:val="24"/>
          <w:szCs w:val="24"/>
          <w:lang w:val="ka-GE"/>
        </w:rPr>
        <w:t xml:space="preserve"> </w:t>
      </w:r>
      <w:r w:rsidR="00A73621" w:rsidRPr="00254DCC">
        <w:rPr>
          <w:rFonts w:ascii="Sylfaen" w:hAnsi="Sylfaen"/>
          <w:sz w:val="24"/>
          <w:szCs w:val="24"/>
          <w:lang w:val="ka-GE"/>
        </w:rPr>
        <w:t xml:space="preserve">ბლანკეტურად ადგენს </w:t>
      </w:r>
      <w:r w:rsidR="00533F1B" w:rsidRPr="00254DCC">
        <w:rPr>
          <w:rFonts w:ascii="Sylfaen" w:hAnsi="Sylfaen"/>
          <w:sz w:val="24"/>
          <w:szCs w:val="24"/>
          <w:lang w:val="ka-GE"/>
        </w:rPr>
        <w:t>7 დღიან ვადას</w:t>
      </w:r>
      <w:r w:rsidRPr="00254DCC">
        <w:rPr>
          <w:rFonts w:ascii="Sylfaen" w:hAnsi="Sylfaen"/>
          <w:sz w:val="24"/>
          <w:szCs w:val="24"/>
          <w:lang w:val="ka-GE"/>
        </w:rPr>
        <w:t>.</w:t>
      </w:r>
      <w:r w:rsidR="008E1015" w:rsidRPr="00254DCC">
        <w:rPr>
          <w:rFonts w:ascii="Sylfaen" w:hAnsi="Sylfaen"/>
          <w:sz w:val="24"/>
          <w:szCs w:val="24"/>
          <w:lang w:val="ka-GE"/>
        </w:rPr>
        <w:t xml:space="preserve"> უფლების ბლანკეტური შეზღუდვა, რომელიც არ იძლევა პირის ინდივიდუალური მდგომარეობის გათვალისწინების შესაძლებლობას ვერ ახდენს ნორმიდან მომდინარე შემზღუდველი ეფექტის </w:t>
      </w:r>
      <w:proofErr w:type="spellStart"/>
      <w:r w:rsidR="008E1015" w:rsidRPr="00254DCC">
        <w:rPr>
          <w:rFonts w:ascii="Sylfaen" w:hAnsi="Sylfaen"/>
          <w:sz w:val="24"/>
          <w:szCs w:val="24"/>
          <w:lang w:val="ka-GE"/>
        </w:rPr>
        <w:t>მინიმალიზებას</w:t>
      </w:r>
      <w:proofErr w:type="spellEnd"/>
      <w:r w:rsidR="008E1015" w:rsidRPr="00254DCC">
        <w:rPr>
          <w:rFonts w:ascii="Sylfaen" w:hAnsi="Sylfaen"/>
          <w:sz w:val="24"/>
          <w:szCs w:val="24"/>
          <w:lang w:val="ka-GE"/>
        </w:rPr>
        <w:t xml:space="preserve"> (იხ.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w:t>
      </w:r>
      <w:r w:rsidR="008E1015" w:rsidRPr="00254DCC">
        <w:rPr>
          <w:rFonts w:ascii="Sylfaen" w:hAnsi="Sylfaen"/>
          <w:sz w:val="24"/>
          <w:szCs w:val="24"/>
          <w:lang w:val="ka-GE"/>
        </w:rPr>
        <w:lastRenderedPageBreak/>
        <w:t>სადავო ნორმიდან გამომდინარე</w:t>
      </w:r>
      <w:r w:rsidR="00A73621">
        <w:rPr>
          <w:rFonts w:ascii="Sylfaen" w:hAnsi="Sylfaen"/>
          <w:sz w:val="24"/>
          <w:szCs w:val="24"/>
          <w:lang w:val="ka-GE"/>
        </w:rPr>
        <w:t>,</w:t>
      </w:r>
      <w:r w:rsidRPr="00254DCC">
        <w:rPr>
          <w:rFonts w:ascii="Sylfaen" w:hAnsi="Sylfaen"/>
          <w:sz w:val="24"/>
          <w:szCs w:val="24"/>
          <w:lang w:val="ka-GE"/>
        </w:rPr>
        <w:t xml:space="preserve"> მოსამართლეს არ გააჩნია</w:t>
      </w:r>
      <w:r w:rsidR="00996C35" w:rsidRPr="00254DCC">
        <w:rPr>
          <w:rFonts w:ascii="Sylfaen" w:hAnsi="Sylfaen"/>
          <w:sz w:val="24"/>
          <w:szCs w:val="24"/>
          <w:lang w:val="ka-GE"/>
        </w:rPr>
        <w:t xml:space="preserve"> შესაძლებლობა</w:t>
      </w:r>
      <w:r w:rsidR="00A73621">
        <w:rPr>
          <w:rFonts w:ascii="Sylfaen" w:hAnsi="Sylfaen"/>
          <w:sz w:val="24"/>
          <w:szCs w:val="24"/>
          <w:lang w:val="ka-GE"/>
        </w:rPr>
        <w:t>,</w:t>
      </w:r>
      <w:r w:rsidRPr="00254DCC">
        <w:rPr>
          <w:rFonts w:ascii="Sylfaen" w:hAnsi="Sylfaen"/>
          <w:sz w:val="24"/>
          <w:szCs w:val="24"/>
          <w:lang w:val="ka-GE"/>
        </w:rPr>
        <w:t xml:space="preserve"> საქმის </w:t>
      </w:r>
      <w:r w:rsidR="00595B2D" w:rsidRPr="00254DCC">
        <w:rPr>
          <w:rFonts w:ascii="Sylfaen" w:hAnsi="Sylfaen"/>
          <w:sz w:val="24"/>
          <w:szCs w:val="24"/>
          <w:lang w:val="ka-GE"/>
        </w:rPr>
        <w:t xml:space="preserve">ინდივიდუალურ მახასიათებლებზე დაყრდნობით, </w:t>
      </w:r>
      <w:r w:rsidR="00ED7981" w:rsidRPr="00254DCC">
        <w:rPr>
          <w:rFonts w:ascii="Sylfaen" w:hAnsi="Sylfaen"/>
          <w:sz w:val="24"/>
          <w:szCs w:val="24"/>
          <w:lang w:val="ka-GE"/>
        </w:rPr>
        <w:t xml:space="preserve">ფაქტობრივი გარემოებების ადეკვატურად შეფასების გზით გაზარდოს ან შეამციროს </w:t>
      </w:r>
      <w:r w:rsidR="00A73621">
        <w:rPr>
          <w:rFonts w:ascii="Sylfaen" w:hAnsi="Sylfaen"/>
          <w:sz w:val="24"/>
          <w:szCs w:val="24"/>
          <w:lang w:val="ka-GE"/>
        </w:rPr>
        <w:t>კანონით იმპერატიულად განსაზღვრული</w:t>
      </w:r>
      <w:r w:rsidR="00ED7981" w:rsidRPr="00254DCC">
        <w:rPr>
          <w:rFonts w:ascii="Sylfaen" w:hAnsi="Sylfaen"/>
          <w:sz w:val="24"/>
          <w:szCs w:val="24"/>
          <w:lang w:val="ka-GE"/>
        </w:rPr>
        <w:t xml:space="preserve"> ვადა</w:t>
      </w:r>
      <w:r w:rsidR="00533F1B" w:rsidRPr="00254DCC">
        <w:rPr>
          <w:rFonts w:ascii="Sylfaen" w:hAnsi="Sylfaen"/>
          <w:sz w:val="24"/>
          <w:szCs w:val="24"/>
          <w:lang w:val="ka-GE"/>
        </w:rPr>
        <w:t>.</w:t>
      </w:r>
      <w:r w:rsidR="00ED7981" w:rsidRPr="00254DCC">
        <w:rPr>
          <w:rFonts w:ascii="Sylfaen" w:hAnsi="Sylfaen"/>
          <w:sz w:val="24"/>
          <w:szCs w:val="24"/>
          <w:lang w:val="ka-GE"/>
        </w:rPr>
        <w:t xml:space="preserve"> </w:t>
      </w:r>
      <w:r w:rsidR="004E5ABA">
        <w:rPr>
          <w:rFonts w:ascii="Sylfaen" w:hAnsi="Sylfaen"/>
          <w:sz w:val="24"/>
          <w:szCs w:val="24"/>
          <w:lang w:val="ka-GE"/>
        </w:rPr>
        <w:t>საკითხის</w:t>
      </w:r>
      <w:r w:rsidR="00ED7981" w:rsidRPr="00254DCC">
        <w:rPr>
          <w:rFonts w:ascii="Sylfaen" w:hAnsi="Sylfaen"/>
          <w:sz w:val="24"/>
          <w:szCs w:val="24"/>
          <w:lang w:val="ka-GE"/>
        </w:rPr>
        <w:t xml:space="preserve"> დისკრეციული უფლებამოსილების </w:t>
      </w:r>
      <w:r w:rsidR="004E5ABA">
        <w:rPr>
          <w:rFonts w:ascii="Sylfaen" w:hAnsi="Sylfaen"/>
          <w:sz w:val="24"/>
          <w:szCs w:val="24"/>
          <w:lang w:val="ka-GE"/>
        </w:rPr>
        <w:t>ფარგლებში გადაწყვეტა</w:t>
      </w:r>
      <w:r w:rsidR="00ED7981" w:rsidRPr="00254DCC">
        <w:rPr>
          <w:rFonts w:ascii="Sylfaen" w:hAnsi="Sylfaen"/>
          <w:sz w:val="24"/>
          <w:szCs w:val="24"/>
          <w:lang w:val="ka-GE"/>
        </w:rPr>
        <w:t xml:space="preserve"> </w:t>
      </w:r>
      <w:r w:rsidR="00533F1B" w:rsidRPr="00254DCC">
        <w:rPr>
          <w:rFonts w:ascii="Sylfaen" w:hAnsi="Sylfaen"/>
          <w:sz w:val="24"/>
          <w:szCs w:val="24"/>
          <w:lang w:val="ka-GE"/>
        </w:rPr>
        <w:t>წარმოადგენს უფლების უფრო ნაკლები ინტენსივობით შეზღუდვის მაგალითს, რამდენადაც იგი</w:t>
      </w:r>
      <w:r w:rsidR="00A73621">
        <w:rPr>
          <w:rFonts w:ascii="Sylfaen" w:hAnsi="Sylfaen"/>
          <w:sz w:val="24"/>
          <w:szCs w:val="24"/>
          <w:lang w:val="ka-GE"/>
        </w:rPr>
        <w:t xml:space="preserve"> </w:t>
      </w:r>
      <w:r w:rsidR="003C3193" w:rsidRPr="00254DCC">
        <w:rPr>
          <w:rFonts w:ascii="Sylfaen" w:hAnsi="Sylfaen"/>
          <w:sz w:val="24"/>
          <w:szCs w:val="24"/>
          <w:lang w:val="ka-GE"/>
        </w:rPr>
        <w:t xml:space="preserve">შესაძლებელს გახდის </w:t>
      </w:r>
      <w:r w:rsidR="00ED7981" w:rsidRPr="00254DCC">
        <w:rPr>
          <w:rFonts w:ascii="Sylfaen" w:hAnsi="Sylfaen"/>
          <w:sz w:val="24"/>
          <w:szCs w:val="24"/>
          <w:lang w:val="ka-GE"/>
        </w:rPr>
        <w:t>მოსარჩელის ინტერესების უკეთ დაცვას</w:t>
      </w:r>
      <w:r w:rsidR="003C3193" w:rsidRPr="00254DCC">
        <w:rPr>
          <w:rFonts w:ascii="Sylfaen" w:hAnsi="Sylfaen"/>
          <w:sz w:val="24"/>
          <w:szCs w:val="24"/>
          <w:lang w:val="ka-GE"/>
        </w:rPr>
        <w:t xml:space="preserve"> </w:t>
      </w:r>
      <w:r w:rsidR="00ED7981" w:rsidRPr="00254DCC">
        <w:rPr>
          <w:rFonts w:ascii="Sylfaen" w:hAnsi="Sylfaen"/>
          <w:sz w:val="24"/>
          <w:szCs w:val="24"/>
          <w:lang w:val="ka-GE"/>
        </w:rPr>
        <w:t>- მას მიეცე</w:t>
      </w:r>
      <w:r w:rsidR="00282533" w:rsidRPr="00254DCC">
        <w:rPr>
          <w:rFonts w:ascii="Sylfaen" w:hAnsi="Sylfaen"/>
          <w:sz w:val="24"/>
          <w:szCs w:val="24"/>
          <w:lang w:val="ka-GE"/>
        </w:rPr>
        <w:t>მ</w:t>
      </w:r>
      <w:r w:rsidR="003C3193" w:rsidRPr="00254DCC">
        <w:rPr>
          <w:rFonts w:ascii="Sylfaen" w:hAnsi="Sylfaen"/>
          <w:sz w:val="24"/>
          <w:szCs w:val="24"/>
          <w:lang w:val="ka-GE"/>
        </w:rPr>
        <w:t>ა</w:t>
      </w:r>
      <w:r w:rsidR="00ED7981" w:rsidRPr="00254DCC">
        <w:rPr>
          <w:rFonts w:ascii="Sylfaen" w:hAnsi="Sylfaen"/>
          <w:sz w:val="24"/>
          <w:szCs w:val="24"/>
          <w:lang w:val="ka-GE"/>
        </w:rPr>
        <w:t xml:space="preserve"> ის გონივრული დრო, რაც საჭირო </w:t>
      </w:r>
      <w:r w:rsidR="003C3193" w:rsidRPr="00254DCC">
        <w:rPr>
          <w:rFonts w:ascii="Sylfaen" w:hAnsi="Sylfaen"/>
          <w:sz w:val="24"/>
          <w:szCs w:val="24"/>
          <w:lang w:val="ka-GE"/>
        </w:rPr>
        <w:t xml:space="preserve">იქნება </w:t>
      </w:r>
      <w:r w:rsidR="00ED7981" w:rsidRPr="00254DCC">
        <w:rPr>
          <w:rFonts w:ascii="Sylfaen" w:hAnsi="Sylfaen"/>
          <w:sz w:val="24"/>
          <w:szCs w:val="24"/>
          <w:lang w:val="ka-GE"/>
        </w:rPr>
        <w:t xml:space="preserve"> კონკრეტული ოდენობის ზარალის ანაზღაურების უზრუნველსაყოფად</w:t>
      </w:r>
      <w:r w:rsidR="00A73621">
        <w:rPr>
          <w:rFonts w:ascii="Sylfaen" w:hAnsi="Sylfaen"/>
          <w:sz w:val="24"/>
          <w:szCs w:val="24"/>
          <w:lang w:val="ka-GE"/>
        </w:rPr>
        <w:t>. ამასთან,</w:t>
      </w:r>
      <w:r w:rsidR="00ED7981" w:rsidRPr="00254DCC">
        <w:rPr>
          <w:rFonts w:ascii="Sylfaen" w:hAnsi="Sylfaen"/>
          <w:sz w:val="24"/>
          <w:szCs w:val="24"/>
          <w:lang w:val="ka-GE"/>
        </w:rPr>
        <w:t xml:space="preserve"> </w:t>
      </w:r>
      <w:r w:rsidR="00027A5F" w:rsidRPr="00254DCC">
        <w:rPr>
          <w:rFonts w:ascii="Sylfaen" w:hAnsi="Sylfaen"/>
          <w:sz w:val="24"/>
          <w:szCs w:val="24"/>
          <w:lang w:val="ka-GE"/>
        </w:rPr>
        <w:t>გარკვეულ შემთხვევებში</w:t>
      </w:r>
      <w:r w:rsidR="00996C35" w:rsidRPr="00254DCC">
        <w:rPr>
          <w:rFonts w:ascii="Sylfaen" w:hAnsi="Sylfaen"/>
          <w:sz w:val="24"/>
          <w:szCs w:val="24"/>
          <w:lang w:val="ka-GE"/>
        </w:rPr>
        <w:t>,</w:t>
      </w:r>
      <w:r w:rsidR="00027A5F" w:rsidRPr="00254DCC">
        <w:rPr>
          <w:rFonts w:ascii="Sylfaen" w:hAnsi="Sylfaen"/>
          <w:sz w:val="24"/>
          <w:szCs w:val="24"/>
          <w:lang w:val="ka-GE"/>
        </w:rPr>
        <w:t xml:space="preserve"> </w:t>
      </w:r>
      <w:r w:rsidR="00A73621">
        <w:rPr>
          <w:rFonts w:ascii="Sylfaen" w:hAnsi="Sylfaen"/>
          <w:sz w:val="24"/>
          <w:szCs w:val="24"/>
          <w:lang w:val="ka-GE"/>
        </w:rPr>
        <w:t xml:space="preserve">ეს </w:t>
      </w:r>
      <w:r w:rsidR="00ED7981" w:rsidRPr="00254DCC">
        <w:rPr>
          <w:rFonts w:ascii="Sylfaen" w:hAnsi="Sylfaen"/>
          <w:sz w:val="24"/>
          <w:szCs w:val="24"/>
          <w:lang w:val="ka-GE"/>
        </w:rPr>
        <w:t xml:space="preserve">დადებითად </w:t>
      </w:r>
      <w:r w:rsidR="003C3193" w:rsidRPr="00254DCC">
        <w:rPr>
          <w:rFonts w:ascii="Sylfaen" w:hAnsi="Sylfaen"/>
          <w:sz w:val="24"/>
          <w:szCs w:val="24"/>
          <w:lang w:val="ka-GE"/>
        </w:rPr>
        <w:t>აისახება</w:t>
      </w:r>
      <w:r w:rsidR="00ED7981" w:rsidRPr="00254DCC">
        <w:rPr>
          <w:rFonts w:ascii="Sylfaen" w:hAnsi="Sylfaen"/>
          <w:sz w:val="24"/>
          <w:szCs w:val="24"/>
          <w:lang w:val="ka-GE"/>
        </w:rPr>
        <w:t xml:space="preserve"> მოპასუხის ინტერესებზეც - დადგენილი რეგულირებით მოპასუხეს 7 დღის განმავლობაში</w:t>
      </w:r>
      <w:r w:rsidR="00A73621">
        <w:rPr>
          <w:rFonts w:ascii="Sylfaen" w:hAnsi="Sylfaen"/>
          <w:sz w:val="24"/>
          <w:szCs w:val="24"/>
          <w:lang w:val="ka-GE"/>
        </w:rPr>
        <w:t xml:space="preserve"> ეზღუდება</w:t>
      </w:r>
      <w:r w:rsidR="004A141C" w:rsidRPr="00254DCC">
        <w:rPr>
          <w:rFonts w:ascii="Sylfaen" w:hAnsi="Sylfaen"/>
          <w:sz w:val="24"/>
          <w:szCs w:val="24"/>
          <w:lang w:val="ka-GE"/>
        </w:rPr>
        <w:t xml:space="preserve"> უფლებებ</w:t>
      </w:r>
      <w:r w:rsidR="00B43889" w:rsidRPr="00254DCC">
        <w:rPr>
          <w:rFonts w:ascii="Sylfaen" w:hAnsi="Sylfaen"/>
          <w:sz w:val="24"/>
          <w:szCs w:val="24"/>
          <w:lang w:val="ka-GE"/>
        </w:rPr>
        <w:t>ი</w:t>
      </w:r>
      <w:r w:rsidR="004A141C" w:rsidRPr="00254DCC">
        <w:rPr>
          <w:rFonts w:ascii="Sylfaen" w:hAnsi="Sylfaen"/>
          <w:sz w:val="24"/>
          <w:szCs w:val="24"/>
          <w:lang w:val="ka-GE"/>
        </w:rPr>
        <w:t xml:space="preserve">, </w:t>
      </w:r>
      <w:r w:rsidR="00ED7981" w:rsidRPr="00254DCC">
        <w:rPr>
          <w:rFonts w:ascii="Sylfaen" w:hAnsi="Sylfaen"/>
          <w:sz w:val="24"/>
          <w:szCs w:val="24"/>
          <w:lang w:val="ka-GE"/>
        </w:rPr>
        <w:t xml:space="preserve">მიუხედავად </w:t>
      </w:r>
      <w:r w:rsidR="004A141C" w:rsidRPr="00254DCC">
        <w:rPr>
          <w:rFonts w:ascii="Sylfaen" w:hAnsi="Sylfaen"/>
          <w:sz w:val="24"/>
          <w:szCs w:val="24"/>
          <w:lang w:val="ka-GE"/>
        </w:rPr>
        <w:t>იმისა</w:t>
      </w:r>
      <w:r w:rsidR="00A73621">
        <w:rPr>
          <w:rFonts w:ascii="Sylfaen" w:hAnsi="Sylfaen"/>
          <w:sz w:val="24"/>
          <w:szCs w:val="24"/>
          <w:lang w:val="ka-GE"/>
        </w:rPr>
        <w:t>,</w:t>
      </w:r>
      <w:r w:rsidR="004A141C" w:rsidRPr="00254DCC">
        <w:rPr>
          <w:rFonts w:ascii="Sylfaen" w:hAnsi="Sylfaen"/>
          <w:sz w:val="24"/>
          <w:szCs w:val="24"/>
          <w:lang w:val="ka-GE"/>
        </w:rPr>
        <w:t xml:space="preserve"> </w:t>
      </w:r>
      <w:r w:rsidR="00A4554A" w:rsidRPr="00254DCC">
        <w:rPr>
          <w:rFonts w:ascii="Sylfaen" w:hAnsi="Sylfaen"/>
          <w:sz w:val="24"/>
          <w:szCs w:val="24"/>
          <w:lang w:val="ka-GE"/>
        </w:rPr>
        <w:t>რამდენად აუცილებელია ეს ვადა</w:t>
      </w:r>
      <w:r w:rsidR="00B43889" w:rsidRPr="00254DCC">
        <w:rPr>
          <w:rFonts w:ascii="Sylfaen" w:hAnsi="Sylfaen"/>
          <w:sz w:val="24"/>
          <w:szCs w:val="24"/>
          <w:lang w:val="ka-GE"/>
        </w:rPr>
        <w:t xml:space="preserve"> მოსალოდნელი ზარალის უზრუნველსაყოფად.</w:t>
      </w:r>
      <w:r w:rsidR="00A4554A" w:rsidRPr="00254DCC">
        <w:rPr>
          <w:rFonts w:ascii="Sylfaen" w:hAnsi="Sylfaen"/>
          <w:sz w:val="24"/>
          <w:szCs w:val="24"/>
          <w:lang w:val="ka-GE"/>
        </w:rPr>
        <w:t xml:space="preserve"> </w:t>
      </w:r>
      <w:r w:rsidR="00974FAD" w:rsidRPr="00254DCC">
        <w:rPr>
          <w:rFonts w:ascii="Sylfaen" w:hAnsi="Sylfaen"/>
          <w:sz w:val="24"/>
          <w:szCs w:val="24"/>
          <w:lang w:val="ka-GE"/>
        </w:rPr>
        <w:t>რიგ შემთხვევებში</w:t>
      </w:r>
      <w:r w:rsidR="000707AD" w:rsidRPr="00254DCC">
        <w:rPr>
          <w:rFonts w:ascii="Sylfaen" w:hAnsi="Sylfaen"/>
          <w:sz w:val="24"/>
          <w:szCs w:val="24"/>
          <w:lang w:val="ka-GE"/>
        </w:rPr>
        <w:t>,</w:t>
      </w:r>
      <w:r w:rsidR="00974FAD" w:rsidRPr="00254DCC">
        <w:rPr>
          <w:rFonts w:ascii="Sylfaen" w:hAnsi="Sylfaen"/>
          <w:sz w:val="24"/>
          <w:szCs w:val="24"/>
          <w:lang w:val="ka-GE"/>
        </w:rPr>
        <w:t xml:space="preserve"> </w:t>
      </w:r>
      <w:r w:rsidR="00B857A8" w:rsidRPr="00254DCC">
        <w:rPr>
          <w:rFonts w:ascii="Sylfaen" w:hAnsi="Sylfaen"/>
          <w:sz w:val="24"/>
          <w:szCs w:val="24"/>
          <w:lang w:val="ka-GE"/>
        </w:rPr>
        <w:t xml:space="preserve">შესაძლოა </w:t>
      </w:r>
      <w:r w:rsidR="00974FAD" w:rsidRPr="00254DCC">
        <w:rPr>
          <w:rFonts w:ascii="Sylfaen" w:hAnsi="Sylfaen"/>
          <w:sz w:val="24"/>
          <w:szCs w:val="24"/>
          <w:lang w:val="ka-GE"/>
        </w:rPr>
        <w:t xml:space="preserve">ზარალის უზრუნველყოფისათვის </w:t>
      </w:r>
      <w:r w:rsidR="00B857A8" w:rsidRPr="00254DCC">
        <w:rPr>
          <w:rFonts w:ascii="Sylfaen" w:hAnsi="Sylfaen"/>
          <w:sz w:val="24"/>
          <w:szCs w:val="24"/>
          <w:lang w:val="ka-GE"/>
        </w:rPr>
        <w:t>საჭირო იყოს</w:t>
      </w:r>
      <w:r w:rsidR="00974FAD" w:rsidRPr="00254DCC">
        <w:rPr>
          <w:rFonts w:ascii="Sylfaen" w:hAnsi="Sylfaen"/>
          <w:sz w:val="24"/>
          <w:szCs w:val="24"/>
          <w:lang w:val="ka-GE"/>
        </w:rPr>
        <w:t xml:space="preserve"> 7 დღეზე ნაკლები დრო, შესაბამისად</w:t>
      </w:r>
      <w:r w:rsidR="007E45B8">
        <w:rPr>
          <w:rFonts w:ascii="Sylfaen" w:hAnsi="Sylfaen"/>
          <w:sz w:val="24"/>
          <w:szCs w:val="24"/>
          <w:lang w:val="ka-GE"/>
        </w:rPr>
        <w:t>, შესაძლებელი არის</w:t>
      </w:r>
      <w:r w:rsidR="00974FAD" w:rsidRPr="00254DCC">
        <w:rPr>
          <w:rFonts w:ascii="Sylfaen" w:hAnsi="Sylfaen"/>
          <w:sz w:val="24"/>
          <w:szCs w:val="24"/>
          <w:lang w:val="ka-GE"/>
        </w:rPr>
        <w:t xml:space="preserve"> უფრო ნაკლები ვადით </w:t>
      </w:r>
      <w:r w:rsidR="007E45B8">
        <w:rPr>
          <w:rFonts w:ascii="Sylfaen" w:hAnsi="Sylfaen"/>
          <w:sz w:val="24"/>
          <w:szCs w:val="24"/>
          <w:lang w:val="ka-GE"/>
        </w:rPr>
        <w:t>შეიზღუდოს</w:t>
      </w:r>
      <w:r w:rsidR="00974FAD" w:rsidRPr="00254DCC">
        <w:rPr>
          <w:rFonts w:ascii="Sylfaen" w:hAnsi="Sylfaen"/>
          <w:sz w:val="24"/>
          <w:szCs w:val="24"/>
          <w:lang w:val="ka-GE"/>
        </w:rPr>
        <w:t xml:space="preserve"> მოპასუხის უფლებები</w:t>
      </w:r>
      <w:r w:rsidR="00B076C6" w:rsidRPr="00254DCC">
        <w:rPr>
          <w:rFonts w:ascii="Sylfaen" w:hAnsi="Sylfaen"/>
          <w:sz w:val="24"/>
          <w:szCs w:val="24"/>
          <w:lang w:val="ka-GE"/>
        </w:rPr>
        <w:t xml:space="preserve"> და </w:t>
      </w:r>
      <w:r w:rsidR="007E45B8">
        <w:rPr>
          <w:rFonts w:ascii="Sylfaen" w:hAnsi="Sylfaen"/>
          <w:sz w:val="24"/>
          <w:szCs w:val="24"/>
          <w:lang w:val="ka-GE"/>
        </w:rPr>
        <w:t>შემცირდეს</w:t>
      </w:r>
      <w:r w:rsidR="00B076C6" w:rsidRPr="00254DCC">
        <w:rPr>
          <w:rFonts w:ascii="Sylfaen" w:hAnsi="Sylfaen"/>
          <w:sz w:val="24"/>
          <w:szCs w:val="24"/>
          <w:lang w:val="ka-GE"/>
        </w:rPr>
        <w:t xml:space="preserve"> მისთვის ზიანის მიყენების რისკი</w:t>
      </w:r>
      <w:r w:rsidR="00974FAD" w:rsidRPr="00254DCC">
        <w:rPr>
          <w:rFonts w:ascii="Sylfaen" w:hAnsi="Sylfaen"/>
          <w:sz w:val="24"/>
          <w:szCs w:val="24"/>
          <w:lang w:val="ka-GE"/>
        </w:rPr>
        <w:t>.</w:t>
      </w:r>
      <w:r w:rsidR="007E45B8">
        <w:rPr>
          <w:rFonts w:ascii="Sylfaen" w:hAnsi="Sylfaen"/>
          <w:sz w:val="24"/>
          <w:szCs w:val="24"/>
          <w:lang w:val="ka-GE"/>
        </w:rPr>
        <w:t xml:space="preserve"> </w:t>
      </w:r>
    </w:p>
    <w:p w14:paraId="20FA6580" w14:textId="0D10333F" w:rsidR="00B076C6" w:rsidRPr="00254DCC" w:rsidRDefault="007E2823"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საკონსტიტუციო სასამართლო </w:t>
      </w:r>
      <w:r w:rsidR="00BA316F" w:rsidRPr="00254DCC">
        <w:rPr>
          <w:rFonts w:ascii="Sylfaen" w:hAnsi="Sylfaen"/>
          <w:sz w:val="24"/>
          <w:szCs w:val="24"/>
          <w:lang w:val="ka-GE"/>
        </w:rPr>
        <w:t>მიზანშეწონილად თვლის უპასუხოს</w:t>
      </w:r>
      <w:r w:rsidRPr="00254DCC">
        <w:rPr>
          <w:rFonts w:ascii="Sylfaen" w:hAnsi="Sylfaen"/>
          <w:sz w:val="24"/>
          <w:szCs w:val="24"/>
          <w:lang w:val="ka-GE"/>
        </w:rPr>
        <w:t xml:space="preserve"> </w:t>
      </w:r>
      <w:r w:rsidR="00533F1B" w:rsidRPr="00254DCC">
        <w:rPr>
          <w:rFonts w:ascii="Sylfaen" w:hAnsi="Sylfaen"/>
          <w:sz w:val="24"/>
          <w:szCs w:val="24"/>
          <w:lang w:val="ka-GE"/>
        </w:rPr>
        <w:t>საქართველოს პარლამენტის</w:t>
      </w:r>
      <w:r w:rsidRPr="00254DCC">
        <w:rPr>
          <w:rFonts w:ascii="Sylfaen" w:hAnsi="Sylfaen"/>
          <w:sz w:val="24"/>
          <w:szCs w:val="24"/>
          <w:lang w:val="ka-GE"/>
        </w:rPr>
        <w:t xml:space="preserve"> </w:t>
      </w:r>
      <w:r w:rsidR="007E45B8">
        <w:rPr>
          <w:rFonts w:ascii="Sylfaen" w:hAnsi="Sylfaen"/>
          <w:sz w:val="24"/>
          <w:szCs w:val="24"/>
          <w:lang w:val="ka-GE"/>
        </w:rPr>
        <w:t>მოსაზრებას</w:t>
      </w:r>
      <w:r w:rsidRPr="00254DCC">
        <w:rPr>
          <w:rFonts w:ascii="Sylfaen" w:hAnsi="Sylfaen"/>
          <w:sz w:val="24"/>
          <w:szCs w:val="24"/>
          <w:lang w:val="ka-GE"/>
        </w:rPr>
        <w:t xml:space="preserve">, რომ მოსალოდნელი ზარალის ანაზღაურების უზრუნველსაყოფად </w:t>
      </w:r>
      <w:r w:rsidR="007E45B8" w:rsidRPr="00254DCC">
        <w:rPr>
          <w:rFonts w:ascii="Sylfaen" w:hAnsi="Sylfaen"/>
          <w:sz w:val="24"/>
          <w:szCs w:val="24"/>
          <w:lang w:val="ka-GE"/>
        </w:rPr>
        <w:t>ვად</w:t>
      </w:r>
      <w:r w:rsidR="007E45B8">
        <w:rPr>
          <w:rFonts w:ascii="Sylfaen" w:hAnsi="Sylfaen"/>
          <w:sz w:val="24"/>
          <w:szCs w:val="24"/>
          <w:lang w:val="ka-GE"/>
        </w:rPr>
        <w:t>ის განსაზღვრის მოსამართლის დისკრეციულ უფლებამოსილებად დადგენა,</w:t>
      </w:r>
      <w:r w:rsidRPr="00254DCC">
        <w:rPr>
          <w:rFonts w:ascii="Sylfaen" w:hAnsi="Sylfaen"/>
          <w:sz w:val="24"/>
          <w:szCs w:val="24"/>
          <w:lang w:val="ka-GE"/>
        </w:rPr>
        <w:t xml:space="preserve">  წარმოშობს სხვადასხვაგვარი </w:t>
      </w:r>
      <w:r w:rsidR="007E45B8">
        <w:rPr>
          <w:rFonts w:ascii="Sylfaen" w:hAnsi="Sylfaen"/>
          <w:sz w:val="24"/>
          <w:szCs w:val="24"/>
          <w:lang w:val="ka-GE"/>
        </w:rPr>
        <w:t xml:space="preserve">სასამართლო </w:t>
      </w:r>
      <w:r w:rsidRPr="00254DCC">
        <w:rPr>
          <w:rFonts w:ascii="Sylfaen" w:hAnsi="Sylfaen"/>
          <w:sz w:val="24"/>
          <w:szCs w:val="24"/>
          <w:lang w:val="ka-GE"/>
        </w:rPr>
        <w:t xml:space="preserve">პრაქტიკის ჩამოყალიბების საფრთხეს და გამოიწვევს პროცესის მონაწილეთა თანასწორობის დარღვევას. </w:t>
      </w:r>
      <w:r w:rsidR="007E45B8">
        <w:rPr>
          <w:rFonts w:ascii="Sylfaen" w:hAnsi="Sylfaen"/>
          <w:sz w:val="24"/>
          <w:szCs w:val="24"/>
          <w:lang w:val="ka-GE"/>
        </w:rPr>
        <w:t xml:space="preserve">საქართველოს საკონსტიტუციო სასამართლო ადგენს, რომ </w:t>
      </w:r>
      <w:r w:rsidR="003C7AB2" w:rsidRPr="00254DCC">
        <w:rPr>
          <w:rFonts w:ascii="Sylfaen" w:hAnsi="Sylfaen"/>
          <w:sz w:val="24"/>
          <w:szCs w:val="24"/>
          <w:lang w:val="ka-GE"/>
        </w:rPr>
        <w:t>ზარალის ანაზღაურების უზრუნველყოფისთვის საჭირო</w:t>
      </w:r>
      <w:r w:rsidRPr="00254DCC">
        <w:rPr>
          <w:rFonts w:ascii="Sylfaen" w:hAnsi="Sylfaen"/>
          <w:sz w:val="24"/>
          <w:szCs w:val="24"/>
          <w:lang w:val="ka-GE"/>
        </w:rPr>
        <w:t xml:space="preserve"> </w:t>
      </w:r>
      <w:r w:rsidR="003C7AB2" w:rsidRPr="00254DCC">
        <w:rPr>
          <w:rFonts w:ascii="Sylfaen" w:hAnsi="Sylfaen"/>
          <w:sz w:val="24"/>
          <w:szCs w:val="24"/>
          <w:lang w:val="ka-GE"/>
        </w:rPr>
        <w:t xml:space="preserve">დროის </w:t>
      </w:r>
      <w:r w:rsidRPr="00254DCC">
        <w:rPr>
          <w:rFonts w:ascii="Sylfaen" w:hAnsi="Sylfaen"/>
          <w:sz w:val="24"/>
          <w:szCs w:val="24"/>
          <w:lang w:val="ka-GE"/>
        </w:rPr>
        <w:t>განსაზღვრისას</w:t>
      </w:r>
      <w:r w:rsidR="00B32B8E" w:rsidRPr="00254DCC">
        <w:rPr>
          <w:rFonts w:ascii="Sylfaen" w:hAnsi="Sylfaen"/>
          <w:sz w:val="24"/>
          <w:szCs w:val="24"/>
          <w:lang w:val="ka-GE"/>
        </w:rPr>
        <w:t xml:space="preserve"> გათვალისწინებულ უნდა იქნეს თითოეული საქმის ინდივიდუალური მახასიათებლები</w:t>
      </w:r>
      <w:r w:rsidR="00874893" w:rsidRPr="00254DCC">
        <w:rPr>
          <w:rFonts w:ascii="Sylfaen" w:hAnsi="Sylfaen"/>
          <w:sz w:val="24"/>
          <w:szCs w:val="24"/>
          <w:lang w:val="ka-GE"/>
        </w:rPr>
        <w:t xml:space="preserve">, </w:t>
      </w:r>
      <w:r w:rsidRPr="00254DCC">
        <w:rPr>
          <w:rFonts w:ascii="Sylfaen" w:hAnsi="Sylfaen"/>
          <w:sz w:val="24"/>
          <w:szCs w:val="24"/>
          <w:lang w:val="ka-GE"/>
        </w:rPr>
        <w:t>მის განხორციელებასთან დაკავშირებულ</w:t>
      </w:r>
      <w:r w:rsidR="00874893" w:rsidRPr="00254DCC">
        <w:rPr>
          <w:rFonts w:ascii="Sylfaen" w:hAnsi="Sylfaen"/>
          <w:sz w:val="24"/>
          <w:szCs w:val="24"/>
          <w:lang w:val="ka-GE"/>
        </w:rPr>
        <w:t>ი</w:t>
      </w:r>
      <w:r w:rsidRPr="00254DCC">
        <w:rPr>
          <w:rFonts w:ascii="Sylfaen" w:hAnsi="Sylfaen"/>
          <w:sz w:val="24"/>
          <w:szCs w:val="24"/>
          <w:lang w:val="ka-GE"/>
        </w:rPr>
        <w:t xml:space="preserve"> სირთულეებ</w:t>
      </w:r>
      <w:r w:rsidR="00874893" w:rsidRPr="00254DCC">
        <w:rPr>
          <w:rFonts w:ascii="Sylfaen" w:hAnsi="Sylfaen"/>
          <w:sz w:val="24"/>
          <w:szCs w:val="24"/>
          <w:lang w:val="ka-GE"/>
        </w:rPr>
        <w:t>ი. აღნიშნული</w:t>
      </w:r>
      <w:r w:rsidR="00996C35" w:rsidRPr="00254DCC">
        <w:rPr>
          <w:rFonts w:ascii="Sylfaen" w:hAnsi="Sylfaen"/>
          <w:sz w:val="24"/>
          <w:szCs w:val="24"/>
          <w:lang w:val="ka-GE"/>
        </w:rPr>
        <w:t>,</w:t>
      </w:r>
      <w:r w:rsidR="00874893" w:rsidRPr="00254DCC">
        <w:rPr>
          <w:rFonts w:ascii="Sylfaen" w:hAnsi="Sylfaen"/>
          <w:sz w:val="24"/>
          <w:szCs w:val="24"/>
          <w:lang w:val="ka-GE"/>
        </w:rPr>
        <w:t xml:space="preserve"> </w:t>
      </w:r>
      <w:r w:rsidRPr="00254DCC">
        <w:rPr>
          <w:rFonts w:ascii="Sylfaen" w:hAnsi="Sylfaen"/>
          <w:sz w:val="24"/>
          <w:szCs w:val="24"/>
          <w:lang w:val="ka-GE"/>
        </w:rPr>
        <w:t>ცხადია,</w:t>
      </w:r>
      <w:r w:rsidR="00874893" w:rsidRPr="00254DCC">
        <w:rPr>
          <w:rFonts w:ascii="Sylfaen" w:hAnsi="Sylfaen"/>
          <w:sz w:val="24"/>
          <w:szCs w:val="24"/>
          <w:lang w:val="ka-GE"/>
        </w:rPr>
        <w:t xml:space="preserve"> განაპირობებს ინდივიდუალურ საქმეზე მორგებული ვადის </w:t>
      </w:r>
      <w:r w:rsidR="00890013" w:rsidRPr="00254DCC">
        <w:rPr>
          <w:rFonts w:ascii="Sylfaen" w:hAnsi="Sylfaen"/>
          <w:sz w:val="24"/>
          <w:szCs w:val="24"/>
          <w:lang w:val="ka-GE"/>
        </w:rPr>
        <w:t>დადგენ</w:t>
      </w:r>
      <w:r w:rsidR="00874893" w:rsidRPr="00254DCC">
        <w:rPr>
          <w:rFonts w:ascii="Sylfaen" w:hAnsi="Sylfaen"/>
          <w:sz w:val="24"/>
          <w:szCs w:val="24"/>
          <w:lang w:val="ka-GE"/>
        </w:rPr>
        <w:t>ას</w:t>
      </w:r>
      <w:r w:rsidR="00EC2E47" w:rsidRPr="00254DCC">
        <w:rPr>
          <w:rFonts w:ascii="Sylfaen" w:hAnsi="Sylfaen"/>
          <w:sz w:val="24"/>
          <w:szCs w:val="24"/>
          <w:lang w:val="ka-GE"/>
        </w:rPr>
        <w:t xml:space="preserve">, </w:t>
      </w:r>
      <w:r w:rsidR="00C966E8">
        <w:rPr>
          <w:rFonts w:ascii="Sylfaen" w:hAnsi="Sylfaen"/>
          <w:sz w:val="24"/>
          <w:szCs w:val="24"/>
          <w:lang w:val="ka-GE"/>
        </w:rPr>
        <w:t>რომ</w:t>
      </w:r>
      <w:r w:rsidR="00EC2E47" w:rsidRPr="00254DCC">
        <w:rPr>
          <w:rFonts w:ascii="Sylfaen" w:hAnsi="Sylfaen"/>
          <w:sz w:val="24"/>
          <w:szCs w:val="24"/>
          <w:lang w:val="ka-GE"/>
        </w:rPr>
        <w:t xml:space="preserve">ლის განსაზღვრისას დაცულ უნდა იქნეს </w:t>
      </w:r>
      <w:r w:rsidR="00740D21" w:rsidRPr="00254DCC">
        <w:rPr>
          <w:rFonts w:ascii="Sylfaen" w:hAnsi="Sylfaen"/>
          <w:sz w:val="24"/>
          <w:szCs w:val="24"/>
          <w:lang w:val="ka-GE"/>
        </w:rPr>
        <w:t xml:space="preserve">ბალანსი მხარეთა ინტერესებს შორის. </w:t>
      </w:r>
      <w:r w:rsidR="00996C35" w:rsidRPr="00254DCC">
        <w:rPr>
          <w:rFonts w:ascii="Sylfaen" w:hAnsi="Sylfaen"/>
          <w:sz w:val="24"/>
          <w:szCs w:val="24"/>
          <w:lang w:val="ka-GE"/>
        </w:rPr>
        <w:t xml:space="preserve">ბუნებრივია, </w:t>
      </w:r>
      <w:r w:rsidR="00740D21" w:rsidRPr="00254DCC">
        <w:rPr>
          <w:rFonts w:ascii="Sylfaen" w:hAnsi="Sylfaen"/>
          <w:sz w:val="24"/>
          <w:szCs w:val="24"/>
          <w:lang w:val="ka-GE"/>
        </w:rPr>
        <w:t xml:space="preserve">ეს </w:t>
      </w:r>
      <w:r w:rsidR="00874893" w:rsidRPr="00254DCC">
        <w:rPr>
          <w:rFonts w:ascii="Sylfaen" w:hAnsi="Sylfaen"/>
          <w:sz w:val="24"/>
          <w:szCs w:val="24"/>
          <w:lang w:val="ka-GE"/>
        </w:rPr>
        <w:t>ვადა გან</w:t>
      </w:r>
      <w:r w:rsidR="00EC2E47" w:rsidRPr="00254DCC">
        <w:rPr>
          <w:rFonts w:ascii="Sylfaen" w:hAnsi="Sylfaen"/>
          <w:sz w:val="24"/>
          <w:szCs w:val="24"/>
          <w:lang w:val="ka-GE"/>
        </w:rPr>
        <w:t>ს</w:t>
      </w:r>
      <w:r w:rsidR="00874893" w:rsidRPr="00254DCC">
        <w:rPr>
          <w:rFonts w:ascii="Sylfaen" w:hAnsi="Sylfaen"/>
          <w:sz w:val="24"/>
          <w:szCs w:val="24"/>
          <w:lang w:val="ka-GE"/>
        </w:rPr>
        <w:t>ხვავებულ დავებთან მიმართებით</w:t>
      </w:r>
      <w:r w:rsidR="007E45B8">
        <w:rPr>
          <w:rFonts w:ascii="Sylfaen" w:hAnsi="Sylfaen"/>
          <w:sz w:val="24"/>
          <w:szCs w:val="24"/>
          <w:lang w:val="ka-GE"/>
        </w:rPr>
        <w:t xml:space="preserve"> </w:t>
      </w:r>
      <w:r w:rsidR="007E45B8" w:rsidRPr="00254DCC">
        <w:rPr>
          <w:rFonts w:ascii="Sylfaen" w:hAnsi="Sylfaen"/>
          <w:sz w:val="24"/>
          <w:szCs w:val="24"/>
          <w:lang w:val="ka-GE"/>
        </w:rPr>
        <w:t>შეიძლება იყოს</w:t>
      </w:r>
      <w:r w:rsidR="007E45B8">
        <w:rPr>
          <w:rFonts w:ascii="Sylfaen" w:hAnsi="Sylfaen"/>
          <w:sz w:val="24"/>
          <w:szCs w:val="24"/>
          <w:lang w:val="ka-GE"/>
        </w:rPr>
        <w:t xml:space="preserve"> </w:t>
      </w:r>
      <w:r w:rsidR="007E45B8" w:rsidRPr="00254DCC">
        <w:rPr>
          <w:rFonts w:ascii="Sylfaen" w:hAnsi="Sylfaen"/>
          <w:sz w:val="24"/>
          <w:szCs w:val="24"/>
          <w:lang w:val="ka-GE"/>
        </w:rPr>
        <w:t>სხვადასხვა</w:t>
      </w:r>
      <w:r w:rsidR="00740D21" w:rsidRPr="00254DCC">
        <w:rPr>
          <w:rFonts w:ascii="Sylfaen" w:hAnsi="Sylfaen"/>
          <w:sz w:val="24"/>
          <w:szCs w:val="24"/>
          <w:lang w:val="ka-GE"/>
        </w:rPr>
        <w:t xml:space="preserve">, თუმცა ეს არ </w:t>
      </w:r>
      <w:r w:rsidR="007E45B8">
        <w:rPr>
          <w:rFonts w:ascii="Sylfaen" w:hAnsi="Sylfaen"/>
          <w:sz w:val="24"/>
          <w:szCs w:val="24"/>
          <w:lang w:val="ka-GE"/>
        </w:rPr>
        <w:t>იწვევს</w:t>
      </w:r>
      <w:r w:rsidR="00740D21" w:rsidRPr="00254DCC">
        <w:rPr>
          <w:rFonts w:ascii="Sylfaen" w:hAnsi="Sylfaen"/>
          <w:sz w:val="24"/>
          <w:szCs w:val="24"/>
          <w:lang w:val="ka-GE"/>
        </w:rPr>
        <w:t xml:space="preserve"> მხარეთა თანასწორობის დარღვევას. </w:t>
      </w:r>
      <w:r w:rsidR="002C7BB2" w:rsidRPr="00254DCC">
        <w:rPr>
          <w:rFonts w:ascii="Sylfaen" w:hAnsi="Sylfaen"/>
          <w:sz w:val="24"/>
          <w:szCs w:val="24"/>
          <w:lang w:val="ka-GE"/>
        </w:rPr>
        <w:t xml:space="preserve">უფრო მეტიც, </w:t>
      </w:r>
      <w:r w:rsidR="00740D21" w:rsidRPr="00254DCC">
        <w:rPr>
          <w:rFonts w:ascii="Sylfaen" w:hAnsi="Sylfaen"/>
          <w:sz w:val="24"/>
          <w:szCs w:val="24"/>
          <w:lang w:val="ka-GE"/>
        </w:rPr>
        <w:t>სწორედ ამაში მდგომარეობს</w:t>
      </w:r>
      <w:r w:rsidR="00720580" w:rsidRPr="00254DCC">
        <w:rPr>
          <w:rFonts w:ascii="Sylfaen" w:hAnsi="Sylfaen"/>
          <w:sz w:val="24"/>
          <w:szCs w:val="24"/>
          <w:lang w:val="ka-GE"/>
        </w:rPr>
        <w:t xml:space="preserve"> </w:t>
      </w:r>
      <w:r w:rsidR="00740D21" w:rsidRPr="00254DCC">
        <w:rPr>
          <w:rFonts w:ascii="Sylfaen" w:hAnsi="Sylfaen"/>
          <w:sz w:val="24"/>
          <w:szCs w:val="24"/>
          <w:lang w:val="ka-GE"/>
        </w:rPr>
        <w:t>უფლების უფრო ნაკლები ინტენსივობით შეზ</w:t>
      </w:r>
      <w:r w:rsidR="00C3281C" w:rsidRPr="00254DCC">
        <w:rPr>
          <w:rFonts w:ascii="Sylfaen" w:hAnsi="Sylfaen"/>
          <w:sz w:val="24"/>
          <w:szCs w:val="24"/>
          <w:lang w:val="ka-GE"/>
        </w:rPr>
        <w:t>ღუდვის არსი</w:t>
      </w:r>
      <w:r w:rsidR="00996C35" w:rsidRPr="00254DCC">
        <w:rPr>
          <w:rFonts w:ascii="Sylfaen" w:hAnsi="Sylfaen"/>
          <w:sz w:val="24"/>
          <w:szCs w:val="24"/>
          <w:lang w:val="ka-GE"/>
        </w:rPr>
        <w:t xml:space="preserve"> და მოცემულ შემთხვევაში,</w:t>
      </w:r>
      <w:r w:rsidR="002C7BB2" w:rsidRPr="00254DCC">
        <w:rPr>
          <w:rFonts w:ascii="Sylfaen" w:hAnsi="Sylfaen"/>
          <w:sz w:val="24"/>
          <w:szCs w:val="24"/>
          <w:lang w:val="ka-GE"/>
        </w:rPr>
        <w:t xml:space="preserve"> </w:t>
      </w:r>
      <w:r w:rsidR="00BA7D62" w:rsidRPr="00254DCC">
        <w:rPr>
          <w:rFonts w:ascii="Sylfaen" w:hAnsi="Sylfaen"/>
          <w:sz w:val="24"/>
          <w:szCs w:val="24"/>
          <w:lang w:val="ka-GE"/>
        </w:rPr>
        <w:t xml:space="preserve"> არ შეიძლება </w:t>
      </w:r>
      <w:r w:rsidR="00C3281C" w:rsidRPr="00254DCC">
        <w:rPr>
          <w:rFonts w:ascii="Sylfaen" w:hAnsi="Sylfaen"/>
          <w:sz w:val="24"/>
          <w:szCs w:val="24"/>
          <w:lang w:val="ka-GE"/>
        </w:rPr>
        <w:t xml:space="preserve">კონკრეტული საქმის ინდივიდუალურ გარემოებებზე დაყრდნობით </w:t>
      </w:r>
      <w:r w:rsidR="00890013" w:rsidRPr="00254DCC">
        <w:rPr>
          <w:rFonts w:ascii="Sylfaen" w:hAnsi="Sylfaen"/>
          <w:sz w:val="24"/>
          <w:szCs w:val="24"/>
          <w:lang w:val="ka-GE"/>
        </w:rPr>
        <w:t xml:space="preserve">მიღებული </w:t>
      </w:r>
      <w:r w:rsidR="00C3281C" w:rsidRPr="00254DCC">
        <w:rPr>
          <w:rFonts w:ascii="Sylfaen" w:hAnsi="Sylfaen"/>
          <w:sz w:val="24"/>
          <w:szCs w:val="24"/>
          <w:lang w:val="ka-GE"/>
        </w:rPr>
        <w:t>გადაწყვეტილება</w:t>
      </w:r>
      <w:r w:rsidR="00BA7D62" w:rsidRPr="00254DCC">
        <w:rPr>
          <w:rFonts w:ascii="Sylfaen" w:hAnsi="Sylfaen"/>
          <w:sz w:val="24"/>
          <w:szCs w:val="24"/>
          <w:lang w:val="ka-GE"/>
        </w:rPr>
        <w:t xml:space="preserve"> </w:t>
      </w:r>
      <w:r w:rsidR="007E45B8">
        <w:rPr>
          <w:rFonts w:ascii="Sylfaen" w:hAnsi="Sylfaen"/>
          <w:sz w:val="24"/>
          <w:szCs w:val="24"/>
          <w:lang w:val="ka-GE"/>
        </w:rPr>
        <w:t>აღქმული იქნეს</w:t>
      </w:r>
      <w:r w:rsidR="00BA7D62" w:rsidRPr="00254DCC">
        <w:rPr>
          <w:rFonts w:ascii="Sylfaen" w:hAnsi="Sylfaen"/>
          <w:sz w:val="24"/>
          <w:szCs w:val="24"/>
          <w:lang w:val="ka-GE"/>
        </w:rPr>
        <w:t xml:space="preserve"> მხარეთა თანასწორობის დარღვევის რისკის შემცველად</w:t>
      </w:r>
      <w:r w:rsidR="00C3281C" w:rsidRPr="00254DCC">
        <w:rPr>
          <w:rFonts w:ascii="Sylfaen" w:hAnsi="Sylfaen"/>
          <w:sz w:val="24"/>
          <w:szCs w:val="24"/>
          <w:lang w:val="ka-GE"/>
        </w:rPr>
        <w:t xml:space="preserve">. </w:t>
      </w:r>
    </w:p>
    <w:p w14:paraId="02AF906D" w14:textId="5B0C32B3" w:rsidR="00AD4C72" w:rsidRPr="00254DCC" w:rsidRDefault="00AD4C72" w:rsidP="00AD4C72">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საკონსტიტუციო სასამართლო არ გამორიცხავს კანონმდებლის შესაძლებლობას სამართლებრივი განსაზღვრულობის უზრუნველყოფის</w:t>
      </w:r>
      <w:r w:rsidR="00996C35" w:rsidRPr="00254DCC">
        <w:rPr>
          <w:rFonts w:ascii="Sylfaen" w:hAnsi="Sylfaen"/>
          <w:sz w:val="24"/>
          <w:szCs w:val="24"/>
          <w:lang w:val="ka-GE"/>
        </w:rPr>
        <w:t>ა</w:t>
      </w:r>
      <w:r w:rsidRPr="00254DCC">
        <w:rPr>
          <w:rFonts w:ascii="Sylfaen" w:hAnsi="Sylfaen"/>
          <w:sz w:val="24"/>
          <w:szCs w:val="24"/>
          <w:lang w:val="ka-GE"/>
        </w:rPr>
        <w:t xml:space="preserve"> თუ სხვა მიზნებით დაადგინოს მოსალოდნელი ზარალის ანაზღაურების უზრუნველყოფის </w:t>
      </w:r>
      <w:r w:rsidRPr="00254DCC">
        <w:rPr>
          <w:rFonts w:ascii="Sylfaen" w:hAnsi="Sylfaen"/>
          <w:sz w:val="24"/>
          <w:szCs w:val="24"/>
          <w:lang w:val="ka-GE"/>
        </w:rPr>
        <w:lastRenderedPageBreak/>
        <w:t>ზღვრული ვადა</w:t>
      </w:r>
      <w:r w:rsidR="007E45B8">
        <w:rPr>
          <w:rFonts w:ascii="Sylfaen" w:hAnsi="Sylfaen"/>
          <w:sz w:val="24"/>
          <w:szCs w:val="24"/>
          <w:lang w:val="ka-GE"/>
        </w:rPr>
        <w:t>,</w:t>
      </w:r>
      <w:r w:rsidRPr="00254DCC">
        <w:rPr>
          <w:rFonts w:ascii="Sylfaen" w:hAnsi="Sylfaen"/>
          <w:sz w:val="24"/>
          <w:szCs w:val="24"/>
          <w:lang w:val="ka-GE"/>
        </w:rPr>
        <w:t xml:space="preserve"> თუმცა, იგი უნდა იძლეოდეს საკითხის ინდივიდუალურად შეფასებისა და ყოველ კონკრეტულ შემთხვევაში მხარეთა ინტერესების დაბალანსების შედეგად გონივრული ვადის განსაზღვრის შესაძლებლობას.</w:t>
      </w:r>
      <w:r w:rsidR="005814AE" w:rsidRPr="00254DCC">
        <w:rPr>
          <w:rFonts w:ascii="Sylfaen" w:hAnsi="Sylfaen"/>
          <w:sz w:val="24"/>
          <w:szCs w:val="24"/>
          <w:lang w:val="ka-GE"/>
        </w:rPr>
        <w:t xml:space="preserve">  </w:t>
      </w:r>
      <w:r w:rsidR="008E1015" w:rsidRPr="00254DCC">
        <w:rPr>
          <w:rFonts w:ascii="Sylfaen" w:hAnsi="Sylfaen"/>
          <w:sz w:val="24"/>
          <w:szCs w:val="24"/>
          <w:lang w:val="ka-GE"/>
        </w:rPr>
        <w:t>როგორც უკვე აღინიშნა, შესაძლოა არსებობდეს შემთხვევები, როდესაც მხარეს მოსალოდნელი ზარალის უზრუნველყოფის თანხის მობილიზებისათვის ობიექტურად ესაჭიროებოდეს კანონით განსაზღვრულ 7 დღეზე მეტი ვადა. შესაბამისად, სადავო ნორმა გარკვეულ შემთხვევებში გამორიცხავს, მოსალოდნელი ზარალის უზრუნველყოფისათვის გონივრული ვადის განსაზღვრის შესაძლებლობას, რითაც მოსარჩელეს ართმევს სარჩელის უზრუნველყოფის ღონისძიებით სრულყოფილად სარგებლობის საშუალებას.</w:t>
      </w:r>
    </w:p>
    <w:p w14:paraId="28448EFB" w14:textId="52F3C007" w:rsidR="00AD4C72" w:rsidRPr="00254DCC" w:rsidRDefault="00974FAD" w:rsidP="00AD4C72">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ყოველივე ზემოაღნიშნულიდან გამომდინარე, </w:t>
      </w:r>
      <w:r w:rsidR="00B60A2B" w:rsidRPr="00254DCC">
        <w:rPr>
          <w:rFonts w:ascii="Sylfaen" w:hAnsi="Sylfaen"/>
          <w:sz w:val="24"/>
          <w:szCs w:val="24"/>
          <w:lang w:val="ka-GE"/>
        </w:rPr>
        <w:t xml:space="preserve">საკონსტიტუციო სასამართლო მიიჩნევს, რომ </w:t>
      </w:r>
      <w:r w:rsidRPr="00254DCC">
        <w:rPr>
          <w:rFonts w:ascii="Sylfaen" w:hAnsi="Sylfaen"/>
          <w:sz w:val="24"/>
          <w:szCs w:val="24"/>
          <w:lang w:val="ka-GE"/>
        </w:rPr>
        <w:t xml:space="preserve">სამოქალაქო საპროცესო კოდექსის 199-ე მუხლის მე-2 </w:t>
      </w:r>
      <w:r w:rsidR="00E858A8" w:rsidRPr="00254DCC">
        <w:rPr>
          <w:rFonts w:ascii="Sylfaen" w:hAnsi="Sylfaen"/>
          <w:sz w:val="24"/>
          <w:szCs w:val="24"/>
          <w:lang w:val="ka-GE"/>
        </w:rPr>
        <w:t xml:space="preserve">ნაწილის </w:t>
      </w:r>
      <w:r w:rsidR="004028AE" w:rsidRPr="00254DCC">
        <w:rPr>
          <w:rFonts w:ascii="Sylfaen" w:hAnsi="Sylfaen"/>
          <w:sz w:val="24"/>
          <w:szCs w:val="24"/>
          <w:lang w:val="ka-GE"/>
        </w:rPr>
        <w:t>პირველი</w:t>
      </w:r>
      <w:r w:rsidR="0048730B" w:rsidRPr="00254DCC">
        <w:rPr>
          <w:rFonts w:ascii="Sylfaen" w:hAnsi="Sylfaen"/>
          <w:sz w:val="24"/>
          <w:szCs w:val="24"/>
          <w:lang w:val="ka-GE"/>
        </w:rPr>
        <w:t xml:space="preserve"> წინადადებით </w:t>
      </w:r>
      <w:r w:rsidRPr="00254DCC">
        <w:rPr>
          <w:rFonts w:ascii="Sylfaen" w:hAnsi="Sylfaen"/>
          <w:sz w:val="24"/>
          <w:szCs w:val="24"/>
          <w:lang w:val="ka-GE"/>
        </w:rPr>
        <w:t xml:space="preserve">მოსალოდნელი ზარალის ანაზღაურების </w:t>
      </w:r>
      <w:r w:rsidR="003F2A6A">
        <w:rPr>
          <w:rFonts w:ascii="Sylfaen" w:hAnsi="Sylfaen"/>
          <w:sz w:val="24"/>
          <w:szCs w:val="24"/>
          <w:lang w:val="ka-GE"/>
        </w:rPr>
        <w:t>უზრუნველსაყოფად</w:t>
      </w:r>
      <w:r w:rsidRPr="00254DCC">
        <w:rPr>
          <w:rFonts w:ascii="Sylfaen" w:hAnsi="Sylfaen"/>
          <w:sz w:val="24"/>
          <w:szCs w:val="24"/>
          <w:lang w:val="ka-GE"/>
        </w:rPr>
        <w:t xml:space="preserve"> </w:t>
      </w:r>
      <w:r w:rsidR="0048730B" w:rsidRPr="00254DCC">
        <w:rPr>
          <w:rFonts w:ascii="Sylfaen" w:hAnsi="Sylfaen"/>
          <w:sz w:val="24"/>
          <w:szCs w:val="24"/>
          <w:lang w:val="ka-GE"/>
        </w:rPr>
        <w:t xml:space="preserve">ბლანკეტურად დადგენილი 7 დღიანი ვადა </w:t>
      </w:r>
      <w:r w:rsidR="004028AE" w:rsidRPr="00254DCC">
        <w:rPr>
          <w:rFonts w:ascii="Sylfaen" w:hAnsi="Sylfaen"/>
          <w:sz w:val="24"/>
          <w:szCs w:val="24"/>
          <w:lang w:val="ka-GE"/>
        </w:rPr>
        <w:t>ვერ</w:t>
      </w:r>
      <w:r w:rsidRPr="00254DCC">
        <w:rPr>
          <w:rFonts w:ascii="Sylfaen" w:hAnsi="Sylfaen"/>
          <w:sz w:val="24"/>
          <w:szCs w:val="24"/>
          <w:lang w:val="ka-GE"/>
        </w:rPr>
        <w:t xml:space="preserve"> პასუხობს თანაზომიერების პრინციპის მოთხოვნებს</w:t>
      </w:r>
      <w:r w:rsidR="00EE4D2E" w:rsidRPr="00254DCC">
        <w:rPr>
          <w:rFonts w:ascii="Sylfaen" w:hAnsi="Sylfaen"/>
          <w:sz w:val="24"/>
          <w:szCs w:val="24"/>
          <w:lang w:val="ka-GE"/>
        </w:rPr>
        <w:t xml:space="preserve"> და</w:t>
      </w:r>
      <w:r w:rsidR="00C45D4E" w:rsidRPr="00254DCC">
        <w:rPr>
          <w:rFonts w:ascii="Sylfaen" w:hAnsi="Sylfaen"/>
          <w:sz w:val="24"/>
          <w:szCs w:val="24"/>
          <w:lang w:val="ka-GE"/>
        </w:rPr>
        <w:t xml:space="preserve"> </w:t>
      </w:r>
      <w:r w:rsidRPr="00254DCC">
        <w:rPr>
          <w:rFonts w:ascii="Sylfaen" w:hAnsi="Sylfaen"/>
          <w:sz w:val="24"/>
          <w:szCs w:val="24"/>
          <w:lang w:val="ka-GE"/>
        </w:rPr>
        <w:t xml:space="preserve">პირის </w:t>
      </w:r>
      <w:r w:rsidR="00C45D4E" w:rsidRPr="00254DCC">
        <w:rPr>
          <w:rFonts w:ascii="Sylfaen" w:hAnsi="Sylfaen"/>
          <w:sz w:val="24"/>
          <w:szCs w:val="24"/>
          <w:lang w:val="ka-GE"/>
        </w:rPr>
        <w:t>უფლებებს ზღუდა</w:t>
      </w:r>
      <w:r w:rsidR="00EE4D2E" w:rsidRPr="00254DCC">
        <w:rPr>
          <w:rFonts w:ascii="Sylfaen" w:hAnsi="Sylfaen"/>
          <w:sz w:val="24"/>
          <w:szCs w:val="24"/>
          <w:lang w:val="ka-GE"/>
        </w:rPr>
        <w:t>ვ</w:t>
      </w:r>
      <w:r w:rsidR="00C45D4E" w:rsidRPr="00254DCC">
        <w:rPr>
          <w:rFonts w:ascii="Sylfaen" w:hAnsi="Sylfaen"/>
          <w:sz w:val="24"/>
          <w:szCs w:val="24"/>
          <w:lang w:val="ka-GE"/>
        </w:rPr>
        <w:t xml:space="preserve">ს </w:t>
      </w:r>
      <w:r w:rsidRPr="00254DCC">
        <w:rPr>
          <w:rFonts w:ascii="Sylfaen" w:hAnsi="Sylfaen"/>
          <w:sz w:val="24"/>
          <w:szCs w:val="24"/>
          <w:lang w:val="ka-GE"/>
        </w:rPr>
        <w:t xml:space="preserve">საჭიროზე </w:t>
      </w:r>
      <w:r w:rsidR="00AD335D" w:rsidRPr="00254DCC">
        <w:rPr>
          <w:rFonts w:ascii="Sylfaen" w:hAnsi="Sylfaen"/>
          <w:sz w:val="24"/>
          <w:szCs w:val="24"/>
          <w:lang w:val="ka-GE"/>
        </w:rPr>
        <w:t>მეტი</w:t>
      </w:r>
      <w:r w:rsidRPr="00254DCC">
        <w:rPr>
          <w:rFonts w:ascii="Sylfaen" w:hAnsi="Sylfaen"/>
          <w:sz w:val="24"/>
          <w:szCs w:val="24"/>
          <w:lang w:val="ka-GE"/>
        </w:rPr>
        <w:t xml:space="preserve"> ინტენსივობით</w:t>
      </w:r>
      <w:r w:rsidR="003F2A6A">
        <w:rPr>
          <w:rFonts w:ascii="Sylfaen" w:hAnsi="Sylfaen"/>
          <w:sz w:val="24"/>
          <w:szCs w:val="24"/>
          <w:lang w:val="ka-GE"/>
        </w:rPr>
        <w:t xml:space="preserve">, </w:t>
      </w:r>
      <w:r w:rsidR="00EE4D2E" w:rsidRPr="00254DCC">
        <w:rPr>
          <w:rFonts w:ascii="Sylfaen" w:hAnsi="Sylfaen"/>
          <w:sz w:val="24"/>
          <w:szCs w:val="24"/>
          <w:lang w:val="ka-GE"/>
        </w:rPr>
        <w:t xml:space="preserve">იმ პირობებში, </w:t>
      </w:r>
      <w:r w:rsidR="00C45D4E" w:rsidRPr="00254DCC">
        <w:rPr>
          <w:rFonts w:ascii="Sylfaen" w:hAnsi="Sylfaen"/>
          <w:sz w:val="24"/>
          <w:szCs w:val="24"/>
          <w:lang w:val="ka-GE"/>
        </w:rPr>
        <w:t xml:space="preserve">როდესაც </w:t>
      </w:r>
      <w:r w:rsidRPr="00254DCC">
        <w:rPr>
          <w:rFonts w:ascii="Sylfaen" w:hAnsi="Sylfaen"/>
          <w:sz w:val="24"/>
          <w:szCs w:val="24"/>
          <w:lang w:val="ka-GE"/>
        </w:rPr>
        <w:t>დასახელებული ლეგიტიმური მიზნის იმავე ეფექტურობით მიღწევა</w:t>
      </w:r>
      <w:r w:rsidR="00E858A8" w:rsidRPr="00254DCC">
        <w:rPr>
          <w:rFonts w:ascii="Sylfaen" w:hAnsi="Sylfaen"/>
          <w:sz w:val="24"/>
          <w:szCs w:val="24"/>
          <w:lang w:val="ka-GE"/>
        </w:rPr>
        <w:t xml:space="preserve"> </w:t>
      </w:r>
      <w:r w:rsidRPr="00254DCC">
        <w:rPr>
          <w:rFonts w:ascii="Sylfaen" w:hAnsi="Sylfaen"/>
          <w:sz w:val="24"/>
          <w:szCs w:val="24"/>
          <w:lang w:val="ka-GE"/>
        </w:rPr>
        <w:t xml:space="preserve">შესაძლებელია </w:t>
      </w:r>
      <w:r w:rsidR="00AD335D" w:rsidRPr="00254DCC">
        <w:rPr>
          <w:rFonts w:ascii="Sylfaen" w:hAnsi="Sylfaen"/>
          <w:sz w:val="24"/>
          <w:szCs w:val="24"/>
          <w:lang w:val="ka-GE"/>
        </w:rPr>
        <w:t>პირი</w:t>
      </w:r>
      <w:r w:rsidRPr="00254DCC">
        <w:rPr>
          <w:rFonts w:ascii="Sylfaen" w:hAnsi="Sylfaen"/>
          <w:sz w:val="24"/>
          <w:szCs w:val="24"/>
          <w:lang w:val="ka-GE"/>
        </w:rPr>
        <w:t xml:space="preserve">ს უფლებების </w:t>
      </w:r>
      <w:r w:rsidR="00EE4D2E" w:rsidRPr="00254DCC">
        <w:rPr>
          <w:rFonts w:ascii="Sylfaen" w:hAnsi="Sylfaen"/>
          <w:sz w:val="24"/>
          <w:szCs w:val="24"/>
          <w:lang w:val="ka-GE"/>
        </w:rPr>
        <w:t xml:space="preserve">უფრო </w:t>
      </w:r>
      <w:r w:rsidRPr="00254DCC">
        <w:rPr>
          <w:rFonts w:ascii="Sylfaen" w:hAnsi="Sylfaen"/>
          <w:sz w:val="24"/>
          <w:szCs w:val="24"/>
          <w:lang w:val="ka-GE"/>
        </w:rPr>
        <w:t>ნაკლებ</w:t>
      </w:r>
      <w:r w:rsidR="003F2A6A">
        <w:rPr>
          <w:rFonts w:ascii="Sylfaen" w:hAnsi="Sylfaen"/>
          <w:sz w:val="24"/>
          <w:szCs w:val="24"/>
          <w:lang w:val="ka-GE"/>
        </w:rPr>
        <w:t>ად</w:t>
      </w:r>
      <w:r w:rsidR="00EE4D2E" w:rsidRPr="00254DCC">
        <w:rPr>
          <w:rFonts w:ascii="Sylfaen" w:hAnsi="Sylfaen"/>
          <w:sz w:val="24"/>
          <w:szCs w:val="24"/>
          <w:lang w:val="ka-GE"/>
        </w:rPr>
        <w:t xml:space="preserve"> ინტენსიური</w:t>
      </w:r>
      <w:r w:rsidRPr="00254DCC">
        <w:rPr>
          <w:rFonts w:ascii="Sylfaen" w:hAnsi="Sylfaen"/>
          <w:sz w:val="24"/>
          <w:szCs w:val="24"/>
          <w:lang w:val="ka-GE"/>
        </w:rPr>
        <w:t xml:space="preserve"> შეზღუდვის ხარჯზე</w:t>
      </w:r>
      <w:r w:rsidR="00050718" w:rsidRPr="00254DCC">
        <w:rPr>
          <w:rFonts w:ascii="Sylfaen" w:hAnsi="Sylfaen"/>
          <w:sz w:val="24"/>
          <w:szCs w:val="24"/>
          <w:lang w:val="ka-GE"/>
        </w:rPr>
        <w:t>.</w:t>
      </w:r>
    </w:p>
    <w:p w14:paraId="62A2EFA1" w14:textId="692E0CB9" w:rsidR="00974FAD" w:rsidRPr="00254DCC" w:rsidRDefault="00050718" w:rsidP="00AD4C72">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ამდენად, N746 კონსტიტუციური სარჩელი</w:t>
      </w:r>
      <w:r w:rsidR="004028AE" w:rsidRPr="00254DCC">
        <w:rPr>
          <w:rFonts w:ascii="Sylfaen" w:hAnsi="Sylfaen"/>
          <w:sz w:val="24"/>
          <w:szCs w:val="24"/>
          <w:lang w:val="ka-GE"/>
        </w:rPr>
        <w:t xml:space="preserve"> უნდა დაკმაყოფილდეს</w:t>
      </w:r>
      <w:r w:rsidRPr="00254DCC">
        <w:rPr>
          <w:rFonts w:ascii="Sylfaen" w:hAnsi="Sylfaen"/>
          <w:sz w:val="24"/>
          <w:szCs w:val="24"/>
          <w:lang w:val="ka-GE"/>
        </w:rPr>
        <w:t xml:space="preserve"> სასარჩელო მოთხოვნის იმ</w:t>
      </w:r>
      <w:r w:rsidR="004028AE" w:rsidRPr="00254DCC">
        <w:rPr>
          <w:rFonts w:ascii="Sylfaen" w:hAnsi="Sylfaen"/>
          <w:sz w:val="24"/>
          <w:szCs w:val="24"/>
          <w:lang w:val="ka-GE"/>
        </w:rPr>
        <w:t xml:space="preserve"> </w:t>
      </w:r>
      <w:r w:rsidRPr="00254DCC">
        <w:rPr>
          <w:rFonts w:ascii="Sylfaen" w:hAnsi="Sylfaen"/>
          <w:sz w:val="24"/>
          <w:szCs w:val="24"/>
          <w:lang w:val="ka-GE"/>
        </w:rPr>
        <w:t>ნაწილში</w:t>
      </w:r>
      <w:r w:rsidR="00E858A8" w:rsidRPr="00254DCC">
        <w:rPr>
          <w:rFonts w:ascii="Sylfaen" w:hAnsi="Sylfaen"/>
          <w:sz w:val="24"/>
          <w:szCs w:val="24"/>
          <w:lang w:val="ka-GE"/>
        </w:rPr>
        <w:t>,</w:t>
      </w:r>
      <w:r w:rsidRPr="00254DCC">
        <w:rPr>
          <w:rFonts w:ascii="Sylfaen" w:hAnsi="Sylfaen"/>
          <w:sz w:val="24"/>
          <w:szCs w:val="24"/>
          <w:lang w:val="ka-GE"/>
        </w:rPr>
        <w:t xml:space="preserve"> რომელიც შეეხება საქართველოს სამოქალაქო საპროცესო კოდექსის 199-ე </w:t>
      </w:r>
      <w:r w:rsidR="004028AE" w:rsidRPr="00254DCC">
        <w:rPr>
          <w:rFonts w:ascii="Sylfaen" w:hAnsi="Sylfaen"/>
          <w:sz w:val="24"/>
          <w:szCs w:val="24"/>
          <w:lang w:val="ka-GE"/>
        </w:rPr>
        <w:t>მუხლ</w:t>
      </w:r>
      <w:r w:rsidRPr="00254DCC">
        <w:rPr>
          <w:rFonts w:ascii="Sylfaen" w:hAnsi="Sylfaen"/>
          <w:sz w:val="24"/>
          <w:szCs w:val="24"/>
          <w:lang w:val="ka-GE"/>
        </w:rPr>
        <w:t>ი</w:t>
      </w:r>
      <w:r w:rsidR="004028AE" w:rsidRPr="00254DCC">
        <w:rPr>
          <w:rFonts w:ascii="Sylfaen" w:hAnsi="Sylfaen"/>
          <w:sz w:val="24"/>
          <w:szCs w:val="24"/>
          <w:lang w:val="ka-GE"/>
        </w:rPr>
        <w:t>ს</w:t>
      </w:r>
      <w:r w:rsidRPr="00254DCC">
        <w:rPr>
          <w:rFonts w:ascii="Sylfaen" w:hAnsi="Sylfaen"/>
          <w:sz w:val="24"/>
          <w:szCs w:val="24"/>
          <w:lang w:val="ka-GE"/>
        </w:rPr>
        <w:t xml:space="preserve"> მე-2 ნაწილის პირველი წინადადების </w:t>
      </w:r>
      <w:r w:rsidR="004028AE" w:rsidRPr="00254DCC">
        <w:rPr>
          <w:rFonts w:ascii="Sylfaen" w:hAnsi="Sylfaen"/>
          <w:sz w:val="24"/>
          <w:szCs w:val="24"/>
          <w:lang w:val="ka-GE"/>
        </w:rPr>
        <w:t>კონსტიტუციურობას</w:t>
      </w:r>
      <w:r w:rsidR="00974FAD" w:rsidRPr="00254DCC">
        <w:rPr>
          <w:rFonts w:ascii="Sylfaen" w:hAnsi="Sylfaen"/>
          <w:sz w:val="24"/>
          <w:szCs w:val="24"/>
          <w:lang w:val="ka-GE"/>
        </w:rPr>
        <w:t xml:space="preserve"> საქართველოს კონსტიტუციის 42-ე მუხლის პირველ პუნქტთან მიმართებით.</w:t>
      </w:r>
    </w:p>
    <w:p w14:paraId="316CF724" w14:textId="77777777" w:rsidR="00430334" w:rsidRPr="00254DCC" w:rsidRDefault="00430334" w:rsidP="00430334">
      <w:pPr>
        <w:pStyle w:val="ListParagraph1"/>
        <w:tabs>
          <w:tab w:val="left" w:pos="900"/>
        </w:tabs>
        <w:spacing w:after="0"/>
        <w:jc w:val="both"/>
        <w:rPr>
          <w:rFonts w:ascii="Sylfaen" w:hAnsi="Sylfaen"/>
          <w:sz w:val="24"/>
          <w:szCs w:val="24"/>
          <w:lang w:val="ka-GE"/>
        </w:rPr>
      </w:pPr>
    </w:p>
    <w:p w14:paraId="3C51E29D" w14:textId="77777777" w:rsidR="00430334" w:rsidRPr="00254DCC" w:rsidRDefault="00430334" w:rsidP="00430334">
      <w:pPr>
        <w:pStyle w:val="ListParagraph1"/>
        <w:tabs>
          <w:tab w:val="left" w:pos="900"/>
        </w:tabs>
        <w:spacing w:after="0"/>
        <w:jc w:val="both"/>
        <w:rPr>
          <w:rFonts w:ascii="Sylfaen" w:hAnsi="Sylfaen"/>
          <w:sz w:val="24"/>
          <w:szCs w:val="24"/>
          <w:lang w:val="ka-GE"/>
        </w:rPr>
      </w:pPr>
    </w:p>
    <w:p w14:paraId="2C6F8644" w14:textId="3A01EA66" w:rsidR="00430334" w:rsidRPr="00254DCC" w:rsidRDefault="00A268A7" w:rsidP="00C97694">
      <w:pPr>
        <w:pStyle w:val="Heading2"/>
        <w:rPr>
          <w:i/>
        </w:rPr>
      </w:pPr>
      <w:r w:rsidRPr="00254DCC">
        <w:t xml:space="preserve">მოსალოდნელი ზარალის უზრუნველყოფის თაობაზე მიღებული განჩინების </w:t>
      </w:r>
      <w:r w:rsidR="00430334" w:rsidRPr="003F2A6A">
        <w:t xml:space="preserve">გასაჩივრება </w:t>
      </w:r>
    </w:p>
    <w:p w14:paraId="4D7EA164" w14:textId="77777777" w:rsidR="00430334" w:rsidRPr="00254DCC" w:rsidRDefault="00430334" w:rsidP="00430334">
      <w:pPr>
        <w:pStyle w:val="ListParagraph1"/>
        <w:tabs>
          <w:tab w:val="left" w:pos="900"/>
        </w:tabs>
        <w:spacing w:after="0"/>
        <w:jc w:val="both"/>
        <w:rPr>
          <w:rFonts w:ascii="Sylfaen" w:hAnsi="Sylfaen"/>
          <w:sz w:val="24"/>
          <w:szCs w:val="24"/>
          <w:lang w:val="ka-GE"/>
        </w:rPr>
      </w:pPr>
    </w:p>
    <w:p w14:paraId="3053B60F" w14:textId="69EA8EE8" w:rsidR="009E1CD4" w:rsidRPr="00254DCC" w:rsidRDefault="00802180"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მოსარჩელე მხარე ასევე ითხოვს სამოქალაქო საპროცესო კოდექსის 199-ე მუხლის</w:t>
      </w:r>
      <w:r w:rsidR="00974FAD" w:rsidRPr="00254DCC">
        <w:rPr>
          <w:rFonts w:ascii="Sylfaen" w:hAnsi="Sylfaen"/>
          <w:sz w:val="24"/>
          <w:szCs w:val="24"/>
          <w:lang w:val="ka-GE"/>
        </w:rPr>
        <w:t xml:space="preserve"> მე-2 ნაწილის</w:t>
      </w:r>
      <w:r w:rsidRPr="00254DCC">
        <w:rPr>
          <w:rFonts w:ascii="Sylfaen" w:hAnsi="Sylfaen"/>
          <w:sz w:val="24"/>
          <w:szCs w:val="24"/>
          <w:lang w:val="ka-GE"/>
        </w:rPr>
        <w:t xml:space="preserve"> არაკონსტიტუციურად ცნობას საქართველოს კონსტიტუციის 42-ე მუხლის პ</w:t>
      </w:r>
      <w:r w:rsidR="0032751A" w:rsidRPr="00254DCC">
        <w:rPr>
          <w:rFonts w:ascii="Sylfaen" w:hAnsi="Sylfaen"/>
          <w:sz w:val="24"/>
          <w:szCs w:val="24"/>
          <w:lang w:val="ka-GE"/>
        </w:rPr>
        <w:t>ირ</w:t>
      </w:r>
      <w:r w:rsidRPr="00254DCC">
        <w:rPr>
          <w:rFonts w:ascii="Sylfaen" w:hAnsi="Sylfaen"/>
          <w:sz w:val="24"/>
          <w:szCs w:val="24"/>
          <w:lang w:val="ka-GE"/>
        </w:rPr>
        <w:t>ველ პუნქტთან მიმართ</w:t>
      </w:r>
      <w:r w:rsidR="0045047F" w:rsidRPr="00254DCC">
        <w:rPr>
          <w:rFonts w:ascii="Sylfaen" w:hAnsi="Sylfaen"/>
          <w:sz w:val="24"/>
          <w:szCs w:val="24"/>
          <w:lang w:val="ka-GE"/>
        </w:rPr>
        <w:t>ე</w:t>
      </w:r>
      <w:r w:rsidRPr="00254DCC">
        <w:rPr>
          <w:rFonts w:ascii="Sylfaen" w:hAnsi="Sylfaen"/>
          <w:sz w:val="24"/>
          <w:szCs w:val="24"/>
          <w:lang w:val="ka-GE"/>
        </w:rPr>
        <w:t xml:space="preserve">ბით. მოსარჩელის აზრით, </w:t>
      </w:r>
      <w:r w:rsidR="003053EB" w:rsidRPr="00254DCC">
        <w:rPr>
          <w:rFonts w:ascii="Sylfaen" w:hAnsi="Sylfaen"/>
          <w:sz w:val="24"/>
          <w:szCs w:val="24"/>
          <w:lang w:val="ka-GE"/>
        </w:rPr>
        <w:t xml:space="preserve">აღნიშნული ნორმა </w:t>
      </w:r>
      <w:r w:rsidR="00974FAD" w:rsidRPr="00254DCC">
        <w:rPr>
          <w:rFonts w:ascii="Sylfaen" w:hAnsi="Sylfaen"/>
          <w:sz w:val="24"/>
          <w:szCs w:val="24"/>
          <w:lang w:val="ka-GE"/>
        </w:rPr>
        <w:t>მას არ აძლევ</w:t>
      </w:r>
      <w:r w:rsidR="00A268A7" w:rsidRPr="00254DCC">
        <w:rPr>
          <w:rFonts w:ascii="Sylfaen" w:hAnsi="Sylfaen"/>
          <w:sz w:val="24"/>
          <w:szCs w:val="24"/>
          <w:lang w:val="ka-GE"/>
        </w:rPr>
        <w:t>ს</w:t>
      </w:r>
      <w:r w:rsidR="00974FAD" w:rsidRPr="00254DCC">
        <w:rPr>
          <w:rFonts w:ascii="Sylfaen" w:hAnsi="Sylfaen"/>
          <w:sz w:val="24"/>
          <w:szCs w:val="24"/>
          <w:lang w:val="ka-GE"/>
        </w:rPr>
        <w:t xml:space="preserve"> </w:t>
      </w:r>
      <w:r w:rsidR="009D1AC9">
        <w:rPr>
          <w:rFonts w:ascii="Sylfaen" w:hAnsi="Sylfaen"/>
          <w:sz w:val="24"/>
          <w:szCs w:val="24"/>
          <w:lang w:val="ka-GE"/>
        </w:rPr>
        <w:t>შესაძლებლობას</w:t>
      </w:r>
      <w:r w:rsidR="00974FAD" w:rsidRPr="00254DCC">
        <w:rPr>
          <w:rFonts w:ascii="Sylfaen" w:hAnsi="Sylfaen"/>
          <w:sz w:val="24"/>
          <w:szCs w:val="24"/>
          <w:lang w:val="ka-GE"/>
        </w:rPr>
        <w:t xml:space="preserve"> </w:t>
      </w:r>
      <w:r w:rsidR="003053EB" w:rsidRPr="00254DCC">
        <w:rPr>
          <w:rFonts w:ascii="Sylfaen" w:hAnsi="Sylfaen"/>
          <w:sz w:val="24"/>
          <w:szCs w:val="24"/>
          <w:lang w:val="ka-GE"/>
        </w:rPr>
        <w:t xml:space="preserve">გაასაჩივროს </w:t>
      </w:r>
      <w:r w:rsidR="00974FAD" w:rsidRPr="00254DCC">
        <w:rPr>
          <w:rFonts w:ascii="Sylfaen" w:hAnsi="Sylfaen"/>
          <w:sz w:val="24"/>
          <w:szCs w:val="24"/>
          <w:lang w:val="ka-GE"/>
        </w:rPr>
        <w:t xml:space="preserve">მოსალოდნელი ზარალის ანაზღაურების უზრუნველყოფის შესახებ </w:t>
      </w:r>
      <w:r w:rsidR="003F271C" w:rsidRPr="00254DCC">
        <w:rPr>
          <w:rFonts w:ascii="Sylfaen" w:hAnsi="Sylfaen"/>
          <w:sz w:val="24"/>
          <w:szCs w:val="24"/>
          <w:lang w:val="ka-GE"/>
        </w:rPr>
        <w:t>სასამართლოს განჩინება. საკუთარი არგუმენტაციის გასამყარებლად</w:t>
      </w:r>
      <w:r w:rsidR="001829F1" w:rsidRPr="00254DCC">
        <w:rPr>
          <w:rFonts w:ascii="Sylfaen" w:hAnsi="Sylfaen"/>
          <w:sz w:val="24"/>
          <w:szCs w:val="24"/>
          <w:lang w:val="ka-GE"/>
        </w:rPr>
        <w:t xml:space="preserve"> მან</w:t>
      </w:r>
      <w:r w:rsidR="003F271C" w:rsidRPr="00254DCC">
        <w:rPr>
          <w:rFonts w:ascii="Sylfaen" w:hAnsi="Sylfaen"/>
          <w:sz w:val="24"/>
          <w:szCs w:val="24"/>
          <w:lang w:val="ka-GE"/>
        </w:rPr>
        <w:t xml:space="preserve"> წარმოადგინა საერთო სასამართლოების გადაწყვეტილებები, რომელთა თანახმადაც</w:t>
      </w:r>
      <w:r w:rsidR="001829F1" w:rsidRPr="00254DCC">
        <w:rPr>
          <w:rFonts w:ascii="Sylfaen" w:hAnsi="Sylfaen"/>
          <w:sz w:val="24"/>
          <w:szCs w:val="24"/>
          <w:lang w:val="ka-GE"/>
        </w:rPr>
        <w:t>,</w:t>
      </w:r>
      <w:r w:rsidR="003F271C" w:rsidRPr="00254DCC">
        <w:rPr>
          <w:rFonts w:ascii="Sylfaen" w:hAnsi="Sylfaen"/>
          <w:sz w:val="24"/>
          <w:szCs w:val="24"/>
          <w:lang w:val="ka-GE"/>
        </w:rPr>
        <w:t xml:space="preserve"> </w:t>
      </w:r>
      <w:r w:rsidR="009E1CD4" w:rsidRPr="00254DCC">
        <w:rPr>
          <w:rFonts w:ascii="Sylfaen" w:hAnsi="Sylfaen"/>
          <w:sz w:val="24"/>
          <w:szCs w:val="24"/>
          <w:lang w:val="ka-GE"/>
        </w:rPr>
        <w:t xml:space="preserve">მოსარჩელეს </w:t>
      </w:r>
      <w:r w:rsidR="003F271C" w:rsidRPr="00254DCC">
        <w:rPr>
          <w:rFonts w:ascii="Sylfaen" w:hAnsi="Sylfaen"/>
          <w:sz w:val="24"/>
          <w:szCs w:val="24"/>
          <w:lang w:val="ka-GE"/>
        </w:rPr>
        <w:t xml:space="preserve">უარი ეთქვა აღნიშნული </w:t>
      </w:r>
      <w:r w:rsidR="003F271C" w:rsidRPr="00254DCC">
        <w:rPr>
          <w:rFonts w:ascii="Sylfaen" w:hAnsi="Sylfaen"/>
          <w:sz w:val="24"/>
          <w:szCs w:val="24"/>
          <w:lang w:val="ka-GE"/>
        </w:rPr>
        <w:lastRenderedPageBreak/>
        <w:t xml:space="preserve">განჩინების გასაჩივრებაზე. </w:t>
      </w:r>
      <w:r w:rsidR="0013495F" w:rsidRPr="00254DCC">
        <w:rPr>
          <w:rFonts w:ascii="Sylfaen" w:hAnsi="Sylfaen"/>
          <w:sz w:val="24"/>
          <w:szCs w:val="24"/>
          <w:lang w:val="ka-GE"/>
        </w:rPr>
        <w:t>მოსარჩელე</w:t>
      </w:r>
      <w:r w:rsidR="009E1CD4" w:rsidRPr="00254DCC">
        <w:rPr>
          <w:rFonts w:ascii="Sylfaen" w:hAnsi="Sylfaen"/>
          <w:sz w:val="24"/>
          <w:szCs w:val="24"/>
          <w:lang w:val="ka-GE"/>
        </w:rPr>
        <w:t xml:space="preserve"> მხარემ</w:t>
      </w:r>
      <w:r w:rsidR="0013495F" w:rsidRPr="00254DCC">
        <w:rPr>
          <w:rFonts w:ascii="Sylfaen" w:hAnsi="Sylfaen"/>
          <w:sz w:val="24"/>
          <w:szCs w:val="24"/>
          <w:lang w:val="ka-GE"/>
        </w:rPr>
        <w:t xml:space="preserve"> დამატებით აღნიშნა, რომ სადავო ნორმის განუჭვრეტ</w:t>
      </w:r>
      <w:r w:rsidR="009F33D4" w:rsidRPr="00254DCC">
        <w:rPr>
          <w:rFonts w:ascii="Sylfaen" w:hAnsi="Sylfaen"/>
          <w:sz w:val="24"/>
          <w:szCs w:val="24"/>
          <w:lang w:val="ka-GE"/>
        </w:rPr>
        <w:t>ადობა</w:t>
      </w:r>
      <w:r w:rsidR="0013495F" w:rsidRPr="00254DCC">
        <w:rPr>
          <w:rFonts w:ascii="Sylfaen" w:hAnsi="Sylfaen"/>
          <w:sz w:val="24"/>
          <w:szCs w:val="24"/>
          <w:lang w:val="ka-GE"/>
        </w:rPr>
        <w:t xml:space="preserve"> განაპირობებს აღნიშნულ საკითხზე სასამართლოს არაერთგვაროვან პრაქტიკას და საბოლოო ჯამში იწვევს </w:t>
      </w:r>
      <w:r w:rsidR="005003A7" w:rsidRPr="00254DCC">
        <w:rPr>
          <w:rFonts w:ascii="Sylfaen" w:hAnsi="Sylfaen"/>
          <w:sz w:val="24"/>
          <w:szCs w:val="24"/>
          <w:lang w:val="ka-GE"/>
        </w:rPr>
        <w:t>სამართლიანი სასამართლოს</w:t>
      </w:r>
      <w:r w:rsidR="001829F1" w:rsidRPr="00254DCC">
        <w:rPr>
          <w:rFonts w:ascii="Sylfaen" w:hAnsi="Sylfaen"/>
          <w:sz w:val="24"/>
          <w:szCs w:val="24"/>
          <w:lang w:val="ka-GE"/>
        </w:rPr>
        <w:t xml:space="preserve"> </w:t>
      </w:r>
      <w:r w:rsidR="0013495F" w:rsidRPr="00254DCC">
        <w:rPr>
          <w:rFonts w:ascii="Sylfaen" w:hAnsi="Sylfaen"/>
          <w:sz w:val="24"/>
          <w:szCs w:val="24"/>
          <w:lang w:val="ka-GE"/>
        </w:rPr>
        <w:t>უფლების დარღვევას.</w:t>
      </w:r>
      <w:r w:rsidR="001608E4" w:rsidRPr="00254DCC">
        <w:rPr>
          <w:rFonts w:ascii="Sylfaen" w:hAnsi="Sylfaen"/>
          <w:sz w:val="24"/>
          <w:szCs w:val="24"/>
          <w:lang w:val="ka-GE"/>
        </w:rPr>
        <w:t xml:space="preserve"> </w:t>
      </w:r>
    </w:p>
    <w:p w14:paraId="7BEA5561" w14:textId="15B7A258" w:rsidR="00B60A2B" w:rsidRPr="00254DCC" w:rsidRDefault="009E1CD4" w:rsidP="00F22AAD">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მოსარჩელე მხარის არგუმენტაციასთან დაკავშირებით </w:t>
      </w:r>
      <w:r w:rsidR="001608E4" w:rsidRPr="00254DCC">
        <w:rPr>
          <w:rFonts w:ascii="Sylfaen" w:hAnsi="Sylfaen"/>
          <w:sz w:val="24"/>
          <w:szCs w:val="24"/>
          <w:lang w:val="ka-GE"/>
        </w:rPr>
        <w:t>უპირველეს ყოვლისა უნდა აღინიშნოს, რომ</w:t>
      </w:r>
      <w:r w:rsidRPr="00254DCC">
        <w:rPr>
          <w:rFonts w:ascii="Sylfaen" w:hAnsi="Sylfaen"/>
          <w:sz w:val="24"/>
          <w:szCs w:val="24"/>
          <w:lang w:val="ka-GE"/>
        </w:rPr>
        <w:t xml:space="preserve"> </w:t>
      </w:r>
      <w:r w:rsidR="001608E4" w:rsidRPr="00254DCC">
        <w:rPr>
          <w:rFonts w:ascii="Sylfaen" w:hAnsi="Sylfaen"/>
          <w:sz w:val="24"/>
          <w:szCs w:val="24"/>
          <w:lang w:val="ka-GE"/>
        </w:rPr>
        <w:t>წარმოდგენილი საერთო სასამართლოების გადაწყვეტილებები</w:t>
      </w:r>
      <w:r w:rsidR="003B73F0" w:rsidRPr="00254DCC">
        <w:rPr>
          <w:rFonts w:ascii="Sylfaen" w:hAnsi="Sylfaen"/>
          <w:sz w:val="24"/>
          <w:szCs w:val="24"/>
          <w:lang w:val="ka-GE"/>
        </w:rPr>
        <w:t xml:space="preserve">ს თანახმად, </w:t>
      </w:r>
      <w:r w:rsidR="001608E4" w:rsidRPr="00254DCC">
        <w:rPr>
          <w:rFonts w:ascii="Sylfaen" w:hAnsi="Sylfaen"/>
          <w:sz w:val="24"/>
          <w:szCs w:val="24"/>
          <w:lang w:val="ka-GE"/>
        </w:rPr>
        <w:t>სამოქალაქო საპროცესო კანონმდებლობა არ იძლე</w:t>
      </w:r>
      <w:r w:rsidRPr="00254DCC">
        <w:rPr>
          <w:rFonts w:ascii="Sylfaen" w:hAnsi="Sylfaen"/>
          <w:sz w:val="24"/>
          <w:szCs w:val="24"/>
          <w:lang w:val="ka-GE"/>
        </w:rPr>
        <w:t>ვ</w:t>
      </w:r>
      <w:r w:rsidR="001608E4" w:rsidRPr="00254DCC">
        <w:rPr>
          <w:rFonts w:ascii="Sylfaen" w:hAnsi="Sylfaen"/>
          <w:sz w:val="24"/>
          <w:szCs w:val="24"/>
          <w:lang w:val="ka-GE"/>
        </w:rPr>
        <w:t xml:space="preserve">ა ზარალის უზრუნველყოფის გამოყენების შესახებ განჩინების გასაჩივრების შესაძლებლობას, თუმცა </w:t>
      </w:r>
      <w:r w:rsidR="007522C2">
        <w:rPr>
          <w:rFonts w:ascii="Sylfaen" w:hAnsi="Sylfaen"/>
          <w:sz w:val="24"/>
          <w:szCs w:val="24"/>
          <w:lang w:val="ka-GE"/>
        </w:rPr>
        <w:t>აღნიშნული</w:t>
      </w:r>
      <w:r w:rsidR="001608E4" w:rsidRPr="00254DCC">
        <w:rPr>
          <w:rFonts w:ascii="Sylfaen" w:hAnsi="Sylfaen"/>
          <w:sz w:val="24"/>
          <w:szCs w:val="24"/>
          <w:lang w:val="ka-GE"/>
        </w:rPr>
        <w:t xml:space="preserve"> გადაწყვეტილებებიდან არ იკვეთება, რომ ხსენებული აკრძალვა სადავო ნორმიდან მომდინარეობს. </w:t>
      </w:r>
    </w:p>
    <w:p w14:paraId="0975268D" w14:textId="516FAAE1" w:rsidR="00BE2A6B" w:rsidRPr="00254DCC" w:rsidRDefault="0013495F" w:rsidP="00141B44">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სამოქალაქო საპროცესო კოდექსის 199-ე მუხლის მე-2 ნაწილი</w:t>
      </w:r>
      <w:r w:rsidR="006A7F64" w:rsidRPr="00254DCC">
        <w:rPr>
          <w:rFonts w:ascii="Sylfaen" w:hAnsi="Sylfaen"/>
          <w:sz w:val="24"/>
          <w:szCs w:val="24"/>
          <w:lang w:val="ka-GE"/>
        </w:rPr>
        <w:t>ს</w:t>
      </w:r>
      <w:r w:rsidRPr="00254DCC">
        <w:rPr>
          <w:rFonts w:ascii="Sylfaen" w:hAnsi="Sylfaen"/>
          <w:sz w:val="24"/>
          <w:szCs w:val="24"/>
          <w:lang w:val="ka-GE"/>
        </w:rPr>
        <w:t xml:space="preserve"> </w:t>
      </w:r>
      <w:r w:rsidR="006A7F64" w:rsidRPr="00254DCC">
        <w:rPr>
          <w:rFonts w:ascii="Sylfaen" w:hAnsi="Sylfaen"/>
          <w:sz w:val="24"/>
          <w:szCs w:val="24"/>
          <w:lang w:val="ka-GE"/>
        </w:rPr>
        <w:t>მიხედვით,</w:t>
      </w:r>
      <w:r w:rsidRPr="00254DCC">
        <w:rPr>
          <w:rFonts w:ascii="Sylfaen" w:hAnsi="Sylfaen"/>
          <w:sz w:val="24"/>
          <w:szCs w:val="24"/>
          <w:lang w:val="ka-GE"/>
        </w:rPr>
        <w:t xml:space="preserve"> </w:t>
      </w:r>
      <w:r w:rsidR="00044416" w:rsidRPr="00254DCC">
        <w:rPr>
          <w:rFonts w:ascii="Sylfaen" w:hAnsi="Sylfaen"/>
          <w:sz w:val="24"/>
          <w:szCs w:val="24"/>
          <w:lang w:val="ka-GE"/>
        </w:rPr>
        <w:t xml:space="preserve">თუ </w:t>
      </w:r>
      <w:r w:rsidRPr="00254DCC">
        <w:rPr>
          <w:rFonts w:ascii="Sylfaen" w:hAnsi="Sylfaen"/>
          <w:sz w:val="24"/>
          <w:szCs w:val="24"/>
          <w:lang w:val="ka-GE"/>
        </w:rPr>
        <w:t>სასამართლო გამოიტანს განჩინებას მოსალოდნელი ზარალის ანაზღაურების უზრუნველყოფის შესახებ, მოსარჩელეს ეძლევა 7 დღიანი ვადა მის შესასრულებლად</w:t>
      </w:r>
      <w:r w:rsidR="0093579A" w:rsidRPr="00254DCC">
        <w:rPr>
          <w:rFonts w:ascii="Sylfaen" w:hAnsi="Sylfaen"/>
          <w:sz w:val="24"/>
          <w:szCs w:val="24"/>
          <w:lang w:val="ka-GE"/>
        </w:rPr>
        <w:t>.</w:t>
      </w:r>
      <w:r w:rsidRPr="00254DCC">
        <w:rPr>
          <w:rFonts w:ascii="Sylfaen" w:hAnsi="Sylfaen"/>
          <w:sz w:val="24"/>
          <w:szCs w:val="24"/>
          <w:lang w:val="ka-GE"/>
        </w:rPr>
        <w:t xml:space="preserve"> წინააღმდეგ შემთხვევაში სასამართლო გამოიტანს განჩინებას სარჩელის უზრუნველყოფის ღონისძიების გაუქმების შესახებ, რაც გასაჩივრდება საჩივრით. </w:t>
      </w:r>
      <w:r w:rsidR="006428FE" w:rsidRPr="00254DCC">
        <w:rPr>
          <w:rFonts w:ascii="Sylfaen" w:hAnsi="Sylfaen"/>
          <w:sz w:val="24"/>
          <w:szCs w:val="24"/>
          <w:lang w:val="ka-GE"/>
        </w:rPr>
        <w:t>მითითებული ნორმის პირველი წინადადება</w:t>
      </w:r>
      <w:r w:rsidRPr="00254DCC">
        <w:rPr>
          <w:rFonts w:ascii="Sylfaen" w:hAnsi="Sylfaen"/>
          <w:sz w:val="24"/>
          <w:szCs w:val="24"/>
          <w:lang w:val="ka-GE"/>
        </w:rPr>
        <w:t xml:space="preserve"> ადგენს</w:t>
      </w:r>
      <w:r w:rsidR="00FC0D24" w:rsidRPr="00254DCC">
        <w:rPr>
          <w:rFonts w:ascii="Sylfaen" w:hAnsi="Sylfaen"/>
          <w:sz w:val="24"/>
          <w:szCs w:val="24"/>
          <w:lang w:val="ka-GE"/>
        </w:rPr>
        <w:t xml:space="preserve"> ვადას</w:t>
      </w:r>
      <w:r w:rsidR="001829F1" w:rsidRPr="00254DCC">
        <w:rPr>
          <w:rFonts w:ascii="Sylfaen" w:hAnsi="Sylfaen"/>
          <w:sz w:val="24"/>
          <w:szCs w:val="24"/>
          <w:lang w:val="ka-GE"/>
        </w:rPr>
        <w:t>,</w:t>
      </w:r>
      <w:r w:rsidR="00FC0D24" w:rsidRPr="00254DCC">
        <w:rPr>
          <w:rFonts w:ascii="Sylfaen" w:hAnsi="Sylfaen"/>
          <w:sz w:val="24"/>
          <w:szCs w:val="24"/>
          <w:lang w:val="ka-GE"/>
        </w:rPr>
        <w:t xml:space="preserve"> რომლის განმავლობაში</w:t>
      </w:r>
      <w:r w:rsidR="001829F1" w:rsidRPr="00254DCC">
        <w:rPr>
          <w:rFonts w:ascii="Sylfaen" w:hAnsi="Sylfaen"/>
          <w:sz w:val="24"/>
          <w:szCs w:val="24"/>
          <w:lang w:val="ka-GE"/>
        </w:rPr>
        <w:t>ც</w:t>
      </w:r>
      <w:r w:rsidR="00FC0D24" w:rsidRPr="00254DCC">
        <w:rPr>
          <w:rFonts w:ascii="Sylfaen" w:hAnsi="Sylfaen"/>
          <w:sz w:val="24"/>
          <w:szCs w:val="24"/>
          <w:lang w:val="ka-GE"/>
        </w:rPr>
        <w:t xml:space="preserve"> პირმა უნდა </w:t>
      </w:r>
      <w:r w:rsidRPr="00254DCC">
        <w:rPr>
          <w:rFonts w:ascii="Sylfaen" w:hAnsi="Sylfaen"/>
          <w:sz w:val="24"/>
          <w:szCs w:val="24"/>
          <w:lang w:val="ka-GE"/>
        </w:rPr>
        <w:t>განახორციელოს</w:t>
      </w:r>
      <w:r w:rsidR="00FC0D24" w:rsidRPr="00254DCC">
        <w:rPr>
          <w:rFonts w:ascii="Sylfaen" w:hAnsi="Sylfaen"/>
          <w:sz w:val="24"/>
          <w:szCs w:val="24"/>
          <w:lang w:val="ka-GE"/>
        </w:rPr>
        <w:t xml:space="preserve"> </w:t>
      </w:r>
      <w:r w:rsidR="009E1CD4" w:rsidRPr="00254DCC">
        <w:rPr>
          <w:rFonts w:ascii="Sylfaen" w:hAnsi="Sylfaen"/>
          <w:sz w:val="24"/>
          <w:szCs w:val="24"/>
          <w:lang w:val="ka-GE"/>
        </w:rPr>
        <w:t xml:space="preserve">მოსალოდნელი </w:t>
      </w:r>
      <w:r w:rsidRPr="00254DCC">
        <w:rPr>
          <w:rFonts w:ascii="Sylfaen" w:hAnsi="Sylfaen"/>
          <w:sz w:val="24"/>
          <w:szCs w:val="24"/>
          <w:lang w:val="ka-GE"/>
        </w:rPr>
        <w:t>ზარალის უზრუნველყოფა</w:t>
      </w:r>
      <w:r w:rsidR="006428FE" w:rsidRPr="00254DCC">
        <w:rPr>
          <w:rFonts w:ascii="Sylfaen" w:hAnsi="Sylfaen"/>
          <w:sz w:val="24"/>
          <w:szCs w:val="24"/>
          <w:lang w:val="ka-GE"/>
        </w:rPr>
        <w:t>, ხოლო</w:t>
      </w:r>
      <w:r w:rsidRPr="00254DCC">
        <w:rPr>
          <w:rFonts w:ascii="Sylfaen" w:hAnsi="Sylfaen"/>
          <w:sz w:val="24"/>
          <w:szCs w:val="24"/>
          <w:lang w:val="ka-GE"/>
        </w:rPr>
        <w:t xml:space="preserve"> </w:t>
      </w:r>
      <w:r w:rsidR="006428FE" w:rsidRPr="00254DCC">
        <w:rPr>
          <w:rFonts w:ascii="Sylfaen" w:hAnsi="Sylfaen"/>
          <w:sz w:val="24"/>
          <w:szCs w:val="24"/>
          <w:lang w:val="ka-GE"/>
        </w:rPr>
        <w:t>მე</w:t>
      </w:r>
      <w:r w:rsidR="00423E1D">
        <w:rPr>
          <w:rFonts w:ascii="Sylfaen" w:hAnsi="Sylfaen"/>
          <w:sz w:val="24"/>
          <w:szCs w:val="24"/>
          <w:lang w:val="ka-GE"/>
        </w:rPr>
        <w:t>ორე</w:t>
      </w:r>
      <w:r w:rsidR="006428FE" w:rsidRPr="00254DCC">
        <w:rPr>
          <w:rFonts w:ascii="Sylfaen" w:hAnsi="Sylfaen"/>
          <w:sz w:val="24"/>
          <w:szCs w:val="24"/>
          <w:lang w:val="ka-GE"/>
        </w:rPr>
        <w:t xml:space="preserve"> წინადადება განსაზღვრავს ამ ვადაში შესაბამისი მოქმედების განუხორციელებლობის</w:t>
      </w:r>
      <w:r w:rsidRPr="00254DCC">
        <w:rPr>
          <w:rFonts w:ascii="Sylfaen" w:hAnsi="Sylfaen"/>
          <w:sz w:val="24"/>
          <w:szCs w:val="24"/>
          <w:lang w:val="ka-GE"/>
        </w:rPr>
        <w:t xml:space="preserve"> </w:t>
      </w:r>
      <w:r w:rsidR="006428FE" w:rsidRPr="00254DCC">
        <w:rPr>
          <w:rFonts w:ascii="Sylfaen" w:hAnsi="Sylfaen"/>
          <w:sz w:val="24"/>
          <w:szCs w:val="24"/>
          <w:lang w:val="ka-GE"/>
        </w:rPr>
        <w:t>შედეგს</w:t>
      </w:r>
      <w:r w:rsidR="00264392" w:rsidRPr="00254DCC">
        <w:rPr>
          <w:rFonts w:ascii="Sylfaen" w:hAnsi="Sylfaen"/>
          <w:sz w:val="24"/>
          <w:szCs w:val="24"/>
          <w:lang w:val="ka-GE"/>
        </w:rPr>
        <w:t>, აგრეთვე,</w:t>
      </w:r>
      <w:r w:rsidR="006428FE" w:rsidRPr="00254DCC">
        <w:rPr>
          <w:rFonts w:ascii="Sylfaen" w:hAnsi="Sylfaen"/>
          <w:sz w:val="24"/>
          <w:szCs w:val="24"/>
          <w:lang w:val="ka-GE"/>
        </w:rPr>
        <w:t xml:space="preserve"> </w:t>
      </w:r>
      <w:r w:rsidR="004B7065" w:rsidRPr="00254DCC">
        <w:rPr>
          <w:rFonts w:ascii="Sylfaen" w:hAnsi="Sylfaen"/>
          <w:sz w:val="24"/>
          <w:szCs w:val="24"/>
          <w:lang w:val="ka-GE"/>
        </w:rPr>
        <w:t xml:space="preserve">ამ შედეგის გასაჩივრების შესაძლებლობას. </w:t>
      </w:r>
      <w:r w:rsidRPr="00254DCC">
        <w:rPr>
          <w:rFonts w:ascii="Sylfaen" w:hAnsi="Sylfaen"/>
          <w:sz w:val="24"/>
          <w:szCs w:val="24"/>
          <w:lang w:val="ka-GE"/>
        </w:rPr>
        <w:t xml:space="preserve">სამოქალაქო საპროცესო კოდექსის 199-ე მუხლის მე-2 ნაწილის </w:t>
      </w:r>
      <w:r w:rsidR="003F4015" w:rsidRPr="00254DCC">
        <w:rPr>
          <w:rFonts w:ascii="Sylfaen" w:hAnsi="Sylfaen"/>
          <w:sz w:val="24"/>
          <w:szCs w:val="24"/>
          <w:lang w:val="ka-GE"/>
        </w:rPr>
        <w:t>მე</w:t>
      </w:r>
      <w:r w:rsidR="00423E1D">
        <w:rPr>
          <w:rFonts w:ascii="Sylfaen" w:hAnsi="Sylfaen"/>
          <w:sz w:val="24"/>
          <w:szCs w:val="24"/>
          <w:lang w:val="ka-GE"/>
        </w:rPr>
        <w:t>ორე</w:t>
      </w:r>
      <w:r w:rsidR="003F4015" w:rsidRPr="00254DCC">
        <w:rPr>
          <w:rFonts w:ascii="Sylfaen" w:hAnsi="Sylfaen"/>
          <w:sz w:val="24"/>
          <w:szCs w:val="24"/>
          <w:lang w:val="ka-GE"/>
        </w:rPr>
        <w:t xml:space="preserve"> </w:t>
      </w:r>
      <w:r w:rsidR="00C76CAF" w:rsidRPr="00254DCC">
        <w:rPr>
          <w:rFonts w:ascii="Sylfaen" w:hAnsi="Sylfaen"/>
          <w:sz w:val="24"/>
          <w:szCs w:val="24"/>
          <w:lang w:val="ka-GE"/>
        </w:rPr>
        <w:t>წინადადება მიუთითებს</w:t>
      </w:r>
      <w:r w:rsidR="009A7AC9" w:rsidRPr="00254DCC">
        <w:rPr>
          <w:rFonts w:ascii="Sylfaen" w:hAnsi="Sylfaen"/>
          <w:sz w:val="24"/>
          <w:szCs w:val="24"/>
          <w:lang w:val="ka-GE"/>
        </w:rPr>
        <w:t xml:space="preserve"> სარჩელის უზრუნველყოფის ღონისძიების გაუქმების </w:t>
      </w:r>
      <w:r w:rsidR="00531D46" w:rsidRPr="00254DCC">
        <w:rPr>
          <w:rFonts w:ascii="Sylfaen" w:hAnsi="Sylfaen"/>
          <w:sz w:val="24"/>
          <w:szCs w:val="24"/>
          <w:lang w:val="ka-GE"/>
        </w:rPr>
        <w:t xml:space="preserve">შესახებ სასამართლოს განჩინების გასაჩივრების თაობაზე. სამოქალაქო საპროცესო კოდექსის 199-ე მუხლის მე-2 ნაწილის </w:t>
      </w:r>
      <w:r w:rsidRPr="00254DCC">
        <w:rPr>
          <w:rFonts w:ascii="Sylfaen" w:hAnsi="Sylfaen"/>
          <w:sz w:val="24"/>
          <w:szCs w:val="24"/>
          <w:lang w:val="ka-GE"/>
        </w:rPr>
        <w:t xml:space="preserve">მოწესრიგების საგანს არ წარმოადგენს მოსალოდნელი ზარალის უზრუნველყოფის </w:t>
      </w:r>
      <w:r w:rsidR="00535991" w:rsidRPr="00254DCC">
        <w:rPr>
          <w:rFonts w:ascii="Sylfaen" w:hAnsi="Sylfaen"/>
          <w:sz w:val="24"/>
          <w:szCs w:val="24"/>
          <w:lang w:val="ka-GE"/>
        </w:rPr>
        <w:t xml:space="preserve">გამოყენების </w:t>
      </w:r>
      <w:r w:rsidRPr="00254DCC">
        <w:rPr>
          <w:rFonts w:ascii="Sylfaen" w:hAnsi="Sylfaen"/>
          <w:sz w:val="24"/>
          <w:szCs w:val="24"/>
          <w:lang w:val="ka-GE"/>
        </w:rPr>
        <w:t>შესახებ განჩინების გასაჩივრება</w:t>
      </w:r>
      <w:r w:rsidR="008E6F93" w:rsidRPr="00254DCC">
        <w:rPr>
          <w:rFonts w:ascii="Sylfaen" w:hAnsi="Sylfaen"/>
          <w:sz w:val="24"/>
          <w:szCs w:val="24"/>
          <w:lang w:val="ka-GE"/>
        </w:rPr>
        <w:t>სთან დაკავშირებული საკითხების რეგულირება. ამდენად,</w:t>
      </w:r>
      <w:r w:rsidRPr="00254DCC">
        <w:rPr>
          <w:rFonts w:ascii="Sylfaen" w:hAnsi="Sylfaen"/>
          <w:sz w:val="24"/>
          <w:szCs w:val="24"/>
          <w:lang w:val="ka-GE"/>
        </w:rPr>
        <w:t xml:space="preserve"> </w:t>
      </w:r>
      <w:r w:rsidR="0049666B" w:rsidRPr="00254DCC">
        <w:rPr>
          <w:rFonts w:ascii="Sylfaen" w:hAnsi="Sylfaen"/>
          <w:sz w:val="24"/>
          <w:szCs w:val="24"/>
          <w:lang w:val="ka-GE"/>
        </w:rPr>
        <w:t>სადავო ნორმას</w:t>
      </w:r>
      <w:r w:rsidRPr="00254DCC">
        <w:rPr>
          <w:rFonts w:ascii="Sylfaen" w:hAnsi="Sylfaen"/>
          <w:sz w:val="24"/>
          <w:szCs w:val="24"/>
          <w:lang w:val="ka-GE"/>
        </w:rPr>
        <w:t xml:space="preserve"> არ აქვს ის შინაარსი, რომელიც მოსარჩელეს მიანიჭებდა ან შეუზღუდავდა </w:t>
      </w:r>
      <w:r w:rsidR="0049666B" w:rsidRPr="00254DCC">
        <w:rPr>
          <w:rFonts w:ascii="Sylfaen" w:hAnsi="Sylfaen"/>
          <w:sz w:val="24"/>
          <w:szCs w:val="24"/>
          <w:lang w:val="ka-GE"/>
        </w:rPr>
        <w:t xml:space="preserve">მოსალოდნელი ზარალის უზრუნველყოფის </w:t>
      </w:r>
      <w:r w:rsidRPr="00254DCC">
        <w:rPr>
          <w:rFonts w:ascii="Sylfaen" w:hAnsi="Sylfaen"/>
          <w:sz w:val="24"/>
          <w:szCs w:val="24"/>
          <w:lang w:val="ka-GE"/>
        </w:rPr>
        <w:t xml:space="preserve"> </w:t>
      </w:r>
      <w:r w:rsidR="0049666B" w:rsidRPr="00254DCC">
        <w:rPr>
          <w:rFonts w:ascii="Sylfaen" w:hAnsi="Sylfaen"/>
          <w:sz w:val="24"/>
          <w:szCs w:val="24"/>
          <w:lang w:val="ka-GE"/>
        </w:rPr>
        <w:t xml:space="preserve">ღონისძიების გამოყენების თაობაზე მიღებული გადაწყვეტილების </w:t>
      </w:r>
      <w:r w:rsidR="00BC67FC">
        <w:rPr>
          <w:rFonts w:ascii="Sylfaen" w:hAnsi="Sylfaen"/>
          <w:sz w:val="24"/>
          <w:szCs w:val="24"/>
          <w:lang w:val="ka-GE"/>
        </w:rPr>
        <w:t>გასაჩივრების უფლებას</w:t>
      </w:r>
      <w:r w:rsidR="0049666B" w:rsidRPr="00254DCC">
        <w:rPr>
          <w:rFonts w:ascii="Sylfaen" w:hAnsi="Sylfaen"/>
          <w:sz w:val="24"/>
          <w:szCs w:val="24"/>
          <w:lang w:val="ka-GE"/>
        </w:rPr>
        <w:t xml:space="preserve">. </w:t>
      </w:r>
      <w:r w:rsidR="00A268A7" w:rsidRPr="00254DCC">
        <w:rPr>
          <w:rFonts w:ascii="Sylfaen" w:hAnsi="Sylfaen"/>
          <w:sz w:val="24"/>
          <w:szCs w:val="24"/>
          <w:lang w:val="ka-GE"/>
        </w:rPr>
        <w:t>უფრო მეტიც</w:t>
      </w:r>
      <w:r w:rsidR="009E1CD4" w:rsidRPr="00254DCC">
        <w:rPr>
          <w:rFonts w:ascii="Sylfaen" w:hAnsi="Sylfaen"/>
          <w:sz w:val="24"/>
          <w:szCs w:val="24"/>
          <w:lang w:val="ka-GE"/>
        </w:rPr>
        <w:t>,</w:t>
      </w:r>
      <w:r w:rsidR="00A268A7" w:rsidRPr="00254DCC">
        <w:rPr>
          <w:rFonts w:ascii="Sylfaen" w:hAnsi="Sylfaen"/>
          <w:sz w:val="24"/>
          <w:szCs w:val="24"/>
          <w:lang w:val="ka-GE"/>
        </w:rPr>
        <w:t xml:space="preserve"> სადავო ნორმა ასევე არ წარმოადგენს </w:t>
      </w:r>
      <w:r w:rsidR="004522CC" w:rsidRPr="00254DCC">
        <w:rPr>
          <w:rFonts w:ascii="Sylfaen" w:hAnsi="Sylfaen"/>
          <w:sz w:val="24"/>
          <w:szCs w:val="24"/>
          <w:lang w:val="ka-GE"/>
        </w:rPr>
        <w:t xml:space="preserve">მოსალოდნელი </w:t>
      </w:r>
      <w:r w:rsidR="00A268A7" w:rsidRPr="00254DCC">
        <w:rPr>
          <w:rFonts w:ascii="Sylfaen" w:hAnsi="Sylfaen"/>
          <w:sz w:val="24"/>
          <w:szCs w:val="24"/>
          <w:lang w:val="ka-GE"/>
        </w:rPr>
        <w:t>ზარალის უზრუნველყოფის თაობაზე განჩინების ინსტიტუტის ან</w:t>
      </w:r>
      <w:r w:rsidR="00BC67FC">
        <w:rPr>
          <w:rFonts w:ascii="Sylfaen" w:hAnsi="Sylfaen"/>
          <w:sz w:val="24"/>
          <w:szCs w:val="24"/>
          <w:lang w:val="ka-GE"/>
        </w:rPr>
        <w:t>/</w:t>
      </w:r>
      <w:r w:rsidR="00A268A7" w:rsidRPr="00254DCC">
        <w:rPr>
          <w:rFonts w:ascii="Sylfaen" w:hAnsi="Sylfaen"/>
          <w:sz w:val="24"/>
          <w:szCs w:val="24"/>
          <w:lang w:val="ka-GE"/>
        </w:rPr>
        <w:t xml:space="preserve">და მისი გამოყენების უფლებამოსილების </w:t>
      </w:r>
      <w:r w:rsidR="00BC67FC">
        <w:rPr>
          <w:rFonts w:ascii="Sylfaen" w:hAnsi="Sylfaen"/>
          <w:sz w:val="24"/>
          <w:szCs w:val="24"/>
          <w:lang w:val="ka-GE"/>
        </w:rPr>
        <w:t>განმსაზღვრელ</w:t>
      </w:r>
      <w:r w:rsidR="00A268A7" w:rsidRPr="00254DCC">
        <w:rPr>
          <w:rFonts w:ascii="Sylfaen" w:hAnsi="Sylfaen"/>
          <w:sz w:val="24"/>
          <w:szCs w:val="24"/>
          <w:lang w:val="ka-GE"/>
        </w:rPr>
        <w:t xml:space="preserve"> წესს. </w:t>
      </w:r>
    </w:p>
    <w:p w14:paraId="7D479FA8" w14:textId="7B4E630D" w:rsidR="00430334" w:rsidRPr="00254DCC" w:rsidRDefault="00B15DC9" w:rsidP="00562865">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აღნიშნულიდან </w:t>
      </w:r>
      <w:r w:rsidR="00BE2A6B" w:rsidRPr="00254DCC">
        <w:rPr>
          <w:rFonts w:ascii="Sylfaen" w:hAnsi="Sylfaen"/>
          <w:sz w:val="24"/>
          <w:szCs w:val="24"/>
          <w:lang w:val="ka-GE"/>
        </w:rPr>
        <w:t xml:space="preserve">გამომდინარე, №746 კონსტიტუციური სარჩელი, სასარჩელო მოთხოვნის იმ ნაწილში, რომელიც შეეხება </w:t>
      </w:r>
      <w:r w:rsidR="00B819DE" w:rsidRPr="00254DCC">
        <w:rPr>
          <w:rFonts w:ascii="Sylfaen" w:hAnsi="Sylfaen"/>
          <w:sz w:val="24"/>
          <w:szCs w:val="24"/>
          <w:lang w:val="ka-GE"/>
        </w:rPr>
        <w:t>საქართველოს სამოქალაქო საპროცესო კოდექსის 199-ე მუხლის მე-2 ნაწილის მე-2 წინადადების არაკონსტიტუციურად ცნობას საქართველოს კონსტიტუციის 42-ე მუხლის პირველ პუნქტთან მიმართებით, არ უნდა დაკმაყოფილდეს.</w:t>
      </w:r>
    </w:p>
    <w:p w14:paraId="013E1FC1" w14:textId="77777777" w:rsidR="00430334" w:rsidRPr="00254DCC" w:rsidRDefault="00430334" w:rsidP="00430334">
      <w:pPr>
        <w:pStyle w:val="ListParagraph1"/>
        <w:tabs>
          <w:tab w:val="left" w:pos="900"/>
        </w:tabs>
        <w:spacing w:after="0"/>
        <w:jc w:val="both"/>
        <w:rPr>
          <w:rFonts w:ascii="Sylfaen" w:hAnsi="Sylfaen"/>
          <w:sz w:val="24"/>
          <w:szCs w:val="24"/>
          <w:lang w:val="ka-GE"/>
        </w:rPr>
      </w:pPr>
    </w:p>
    <w:p w14:paraId="4754CDD5" w14:textId="77777777" w:rsidR="00430334" w:rsidRPr="00254DCC" w:rsidRDefault="00430334" w:rsidP="00430334">
      <w:pPr>
        <w:pStyle w:val="ListParagraph1"/>
        <w:tabs>
          <w:tab w:val="left" w:pos="900"/>
        </w:tabs>
        <w:spacing w:after="0"/>
        <w:jc w:val="both"/>
        <w:rPr>
          <w:rFonts w:ascii="Sylfaen" w:hAnsi="Sylfaen"/>
          <w:sz w:val="24"/>
          <w:szCs w:val="24"/>
          <w:lang w:val="ka-GE"/>
        </w:rPr>
      </w:pPr>
    </w:p>
    <w:p w14:paraId="323C682F" w14:textId="55CB2BA8" w:rsidR="00430334" w:rsidRPr="00254DCC" w:rsidRDefault="001608E4" w:rsidP="001608E4">
      <w:pPr>
        <w:pStyle w:val="ListParagraph1"/>
        <w:numPr>
          <w:ilvl w:val="0"/>
          <w:numId w:val="11"/>
        </w:numPr>
        <w:tabs>
          <w:tab w:val="left" w:pos="900"/>
        </w:tabs>
        <w:spacing w:after="0"/>
        <w:jc w:val="both"/>
        <w:rPr>
          <w:rFonts w:ascii="Sylfaen" w:hAnsi="Sylfaen"/>
          <w:b/>
          <w:sz w:val="24"/>
          <w:szCs w:val="24"/>
          <w:lang w:val="ka-GE"/>
        </w:rPr>
      </w:pPr>
      <w:r w:rsidRPr="00254DCC">
        <w:rPr>
          <w:rFonts w:ascii="Sylfaen" w:hAnsi="Sylfaen"/>
          <w:b/>
          <w:sz w:val="24"/>
          <w:szCs w:val="24"/>
          <w:lang w:val="ka-GE"/>
        </w:rPr>
        <w:t>გადაწყვეტილების აღსრულების გადავადება</w:t>
      </w:r>
    </w:p>
    <w:p w14:paraId="122809E5" w14:textId="0944AC48" w:rsidR="00562865" w:rsidRPr="00254DCC" w:rsidRDefault="00562865" w:rsidP="00430334">
      <w:pPr>
        <w:pStyle w:val="ListParagraph1"/>
        <w:tabs>
          <w:tab w:val="left" w:pos="900"/>
        </w:tabs>
        <w:spacing w:after="0"/>
        <w:jc w:val="both"/>
        <w:rPr>
          <w:rFonts w:ascii="Sylfaen" w:hAnsi="Sylfaen"/>
          <w:b/>
          <w:sz w:val="24"/>
          <w:szCs w:val="24"/>
          <w:lang w:val="ka-GE"/>
        </w:rPr>
      </w:pPr>
    </w:p>
    <w:p w14:paraId="69DF6676" w14:textId="5B85F124" w:rsidR="009F33D4" w:rsidRPr="00254DCC" w:rsidRDefault="001608E4" w:rsidP="00562865">
      <w:pPr>
        <w:pStyle w:val="ListParagraph1"/>
        <w:numPr>
          <w:ilvl w:val="0"/>
          <w:numId w:val="4"/>
        </w:numPr>
        <w:tabs>
          <w:tab w:val="left" w:pos="900"/>
        </w:tabs>
        <w:spacing w:after="0"/>
        <w:ind w:left="0" w:firstLine="360"/>
        <w:jc w:val="both"/>
        <w:rPr>
          <w:rFonts w:ascii="Sylfaen" w:hAnsi="Sylfaen"/>
          <w:sz w:val="24"/>
          <w:szCs w:val="24"/>
          <w:lang w:val="ka-GE"/>
        </w:rPr>
      </w:pPr>
      <w:r w:rsidRPr="00254DCC">
        <w:rPr>
          <w:rFonts w:ascii="Sylfaen" w:hAnsi="Sylfaen"/>
          <w:sz w:val="24"/>
          <w:szCs w:val="24"/>
          <w:lang w:val="ka-GE"/>
        </w:rPr>
        <w:t xml:space="preserve">სამოქალაქო სამართალწარმოების ფარგლებში </w:t>
      </w:r>
      <w:r w:rsidR="00094CFE" w:rsidRPr="00254DCC">
        <w:rPr>
          <w:rFonts w:ascii="Sylfaen" w:hAnsi="Sylfaen"/>
          <w:sz w:val="24"/>
          <w:szCs w:val="24"/>
          <w:lang w:val="ka-GE"/>
        </w:rPr>
        <w:t>სარჩელის უზრუნველყოფის ღონისძიებიდან მომდინარე საფრთხისაგან</w:t>
      </w:r>
      <w:r w:rsidRPr="00254DCC">
        <w:rPr>
          <w:rFonts w:ascii="Sylfaen" w:hAnsi="Sylfaen"/>
          <w:sz w:val="24"/>
          <w:szCs w:val="24"/>
          <w:lang w:val="ka-GE"/>
        </w:rPr>
        <w:t xml:space="preserve"> მოპასუხის  დაცვა</w:t>
      </w:r>
      <w:r w:rsidR="00094CFE" w:rsidRPr="00254DCC">
        <w:rPr>
          <w:rFonts w:ascii="Sylfaen" w:hAnsi="Sylfaen"/>
          <w:sz w:val="24"/>
          <w:szCs w:val="24"/>
          <w:lang w:val="ka-GE"/>
        </w:rPr>
        <w:t xml:space="preserve"> მნიშვნელოვან ლეგიტიმურ მიზანს</w:t>
      </w:r>
      <w:r w:rsidRPr="00254DCC">
        <w:rPr>
          <w:rFonts w:ascii="Sylfaen" w:hAnsi="Sylfaen"/>
          <w:sz w:val="24"/>
          <w:szCs w:val="24"/>
          <w:lang w:val="ka-GE"/>
        </w:rPr>
        <w:t xml:space="preserve"> წარმოადგენს</w:t>
      </w:r>
      <w:r w:rsidR="00094CFE" w:rsidRPr="00254DCC">
        <w:rPr>
          <w:rFonts w:ascii="Sylfaen" w:hAnsi="Sylfaen"/>
          <w:sz w:val="24"/>
          <w:szCs w:val="24"/>
          <w:lang w:val="ka-GE"/>
        </w:rPr>
        <w:t>. იმის მიუხედავად, რომ სადავო ნორმა ეწინააღმდეგება საქართველოს კონსტიტუციის 42-ე მუხლის პირველი პუნქტით დაცულ სამართლიანი სასამართლოს უფლებას, მისი დაუყოვნებლივ ძალადაკარგულად გამოცხადების შემთხვევაში საკითხი დარჩება მოწესრიგების გარეშე</w:t>
      </w:r>
      <w:r w:rsidR="009D5F2D" w:rsidRPr="00254DCC">
        <w:rPr>
          <w:rFonts w:ascii="Sylfaen" w:hAnsi="Sylfaen"/>
          <w:sz w:val="24"/>
          <w:szCs w:val="24"/>
          <w:lang w:val="ka-GE"/>
        </w:rPr>
        <w:t>, და იმავდროულად</w:t>
      </w:r>
      <w:r w:rsidR="00B819DE" w:rsidRPr="00254DCC">
        <w:rPr>
          <w:rFonts w:ascii="Sylfaen" w:hAnsi="Sylfaen"/>
          <w:sz w:val="24"/>
          <w:szCs w:val="24"/>
          <w:lang w:val="ka-GE"/>
        </w:rPr>
        <w:t>,</w:t>
      </w:r>
      <w:r w:rsidR="009D5F2D" w:rsidRPr="00254DCC">
        <w:rPr>
          <w:rFonts w:ascii="Sylfaen" w:hAnsi="Sylfaen"/>
          <w:sz w:val="24"/>
          <w:szCs w:val="24"/>
          <w:lang w:val="ka-GE"/>
        </w:rPr>
        <w:t xml:space="preserve"> </w:t>
      </w:r>
      <w:r w:rsidR="00094CFE" w:rsidRPr="00254DCC">
        <w:rPr>
          <w:rFonts w:ascii="Sylfaen" w:hAnsi="Sylfaen"/>
          <w:sz w:val="24"/>
          <w:szCs w:val="24"/>
          <w:lang w:val="ka-GE"/>
        </w:rPr>
        <w:t>სასამართლოს არ ექნება შესაძლებლობა</w:t>
      </w:r>
      <w:r w:rsidR="00B819DE" w:rsidRPr="00254DCC">
        <w:rPr>
          <w:rFonts w:ascii="Sylfaen" w:hAnsi="Sylfaen"/>
          <w:sz w:val="24"/>
          <w:szCs w:val="24"/>
          <w:lang w:val="ka-GE"/>
        </w:rPr>
        <w:t>,</w:t>
      </w:r>
      <w:r w:rsidR="00094CFE" w:rsidRPr="00254DCC">
        <w:rPr>
          <w:rFonts w:ascii="Sylfaen" w:hAnsi="Sylfaen"/>
          <w:sz w:val="24"/>
          <w:szCs w:val="24"/>
          <w:lang w:val="ka-GE"/>
        </w:rPr>
        <w:t xml:space="preserve"> განსაზღვროს მოსალოდნელი ზარალის ანაზღაურების </w:t>
      </w:r>
      <w:r w:rsidR="009E1CD4" w:rsidRPr="00254DCC">
        <w:rPr>
          <w:rFonts w:ascii="Sylfaen" w:hAnsi="Sylfaen"/>
          <w:sz w:val="24"/>
          <w:szCs w:val="24"/>
          <w:lang w:val="ka-GE"/>
        </w:rPr>
        <w:t xml:space="preserve">უზრუნველყოფის </w:t>
      </w:r>
      <w:r w:rsidR="00094CFE" w:rsidRPr="00254DCC">
        <w:rPr>
          <w:rFonts w:ascii="Sylfaen" w:hAnsi="Sylfaen"/>
          <w:sz w:val="24"/>
          <w:szCs w:val="24"/>
          <w:lang w:val="ka-GE"/>
        </w:rPr>
        <w:t>ვადა</w:t>
      </w:r>
      <w:r w:rsidR="009D5F2D" w:rsidRPr="00254DCC">
        <w:rPr>
          <w:rFonts w:ascii="Sylfaen" w:hAnsi="Sylfaen"/>
          <w:sz w:val="24"/>
          <w:szCs w:val="24"/>
          <w:lang w:val="ka-GE"/>
        </w:rPr>
        <w:t xml:space="preserve">. </w:t>
      </w:r>
      <w:r w:rsidR="00094CFE" w:rsidRPr="00254DCC">
        <w:rPr>
          <w:rFonts w:ascii="Sylfaen" w:hAnsi="Sylfaen"/>
          <w:sz w:val="24"/>
          <w:szCs w:val="24"/>
          <w:lang w:val="ka-GE"/>
        </w:rPr>
        <w:t>საკითხის სამართლებრივი რეგულაციის გარეშე დატოვებამ, შესაძლოა, გამოიწვიოს მნიშვნელოვანი კერძო და საჯარო ინტერესების დარღვევა</w:t>
      </w:r>
      <w:r w:rsidR="00C52350" w:rsidRPr="00254DCC">
        <w:rPr>
          <w:rFonts w:ascii="Sylfaen" w:hAnsi="Sylfaen"/>
          <w:sz w:val="24"/>
          <w:szCs w:val="24"/>
          <w:lang w:val="ka-GE"/>
        </w:rPr>
        <w:t xml:space="preserve">. </w:t>
      </w:r>
      <w:r w:rsidR="00562865" w:rsidRPr="00254DCC">
        <w:rPr>
          <w:rFonts w:ascii="Sylfaen" w:hAnsi="Sylfaen"/>
          <w:bCs/>
          <w:sz w:val="24"/>
          <w:szCs w:val="24"/>
          <w:lang w:val="ka-GE"/>
        </w:rPr>
        <w:t xml:space="preserve">შესაბამისად, საკონსტიტუციო სასამართლო მიზანშეწონილად მიიჩნევს „საქართველოს საკონსტიტუციო სასამართლოს შესახებ" საქართველოს ორგანული კანონის 25-ე მუხლის მე-3 პუნქტის საფუძველზე გადაავადოს </w:t>
      </w:r>
      <w:r w:rsidR="00B51F72" w:rsidRPr="00254DCC">
        <w:rPr>
          <w:rFonts w:ascii="Sylfaen" w:hAnsi="Sylfaen"/>
          <w:bCs/>
          <w:sz w:val="24"/>
          <w:szCs w:val="24"/>
          <w:lang w:val="ka-GE"/>
        </w:rPr>
        <w:t xml:space="preserve">სადავო </w:t>
      </w:r>
      <w:r w:rsidR="00562865" w:rsidRPr="00254DCC">
        <w:rPr>
          <w:rFonts w:ascii="Sylfaen" w:hAnsi="Sylfaen"/>
          <w:bCs/>
          <w:sz w:val="24"/>
          <w:szCs w:val="24"/>
          <w:lang w:val="ka-GE"/>
        </w:rPr>
        <w:t xml:space="preserve">ნორმის ძალადაკარგულად გამოცხადება </w:t>
      </w:r>
      <w:r w:rsidR="00E74CA9" w:rsidRPr="00254DCC">
        <w:rPr>
          <w:rFonts w:ascii="Sylfaen" w:hAnsi="Sylfaen"/>
          <w:bCs/>
          <w:sz w:val="24"/>
          <w:szCs w:val="24"/>
          <w:lang w:val="ka-GE"/>
        </w:rPr>
        <w:t xml:space="preserve">2018 </w:t>
      </w:r>
      <w:r w:rsidR="00562865" w:rsidRPr="00254DCC">
        <w:rPr>
          <w:rFonts w:ascii="Sylfaen" w:hAnsi="Sylfaen"/>
          <w:bCs/>
          <w:sz w:val="24"/>
          <w:szCs w:val="24"/>
          <w:lang w:val="ka-GE"/>
        </w:rPr>
        <w:t xml:space="preserve">წლის </w:t>
      </w:r>
      <w:r w:rsidR="00E74CA9" w:rsidRPr="00254DCC">
        <w:rPr>
          <w:rFonts w:ascii="Sylfaen" w:hAnsi="Sylfaen"/>
          <w:bCs/>
          <w:sz w:val="24"/>
          <w:szCs w:val="24"/>
          <w:lang w:val="ka-GE"/>
        </w:rPr>
        <w:t>3</w:t>
      </w:r>
      <w:r w:rsidR="00562865" w:rsidRPr="00254DCC">
        <w:rPr>
          <w:rFonts w:ascii="Sylfaen" w:hAnsi="Sylfaen"/>
          <w:bCs/>
          <w:sz w:val="24"/>
          <w:szCs w:val="24"/>
          <w:lang w:val="ka-GE"/>
        </w:rPr>
        <w:t xml:space="preserve">1 </w:t>
      </w:r>
      <w:r w:rsidR="00E74CA9" w:rsidRPr="00254DCC">
        <w:rPr>
          <w:rFonts w:ascii="Sylfaen" w:hAnsi="Sylfaen"/>
          <w:bCs/>
          <w:sz w:val="24"/>
          <w:szCs w:val="24"/>
          <w:lang w:val="ka-GE"/>
        </w:rPr>
        <w:t xml:space="preserve">მარტამდე, </w:t>
      </w:r>
      <w:r w:rsidR="00562865" w:rsidRPr="00254DCC">
        <w:rPr>
          <w:rFonts w:ascii="Sylfaen" w:hAnsi="Sylfaen"/>
          <w:bCs/>
          <w:sz w:val="24"/>
          <w:szCs w:val="24"/>
          <w:lang w:val="ka-GE"/>
        </w:rPr>
        <w:t xml:space="preserve">რათა საქართველოს პარლამენტს მიეცეს გონივრული შესაძლებლობა, საქართველოს საკონსტიტუციო სასამართლოს გადაწყვეტილებით დადგენილი სტანდარტების შესაბამისად მოაწესრიგოს აღნიშნული საკითხი და დაიცვას გონივრული ბალანსი </w:t>
      </w:r>
      <w:r w:rsidR="00CC012F" w:rsidRPr="00254DCC">
        <w:rPr>
          <w:rFonts w:ascii="Sylfaen" w:hAnsi="Sylfaen"/>
          <w:bCs/>
          <w:sz w:val="24"/>
          <w:szCs w:val="24"/>
          <w:lang w:val="ka-GE"/>
        </w:rPr>
        <w:t>პროცესის მონაწილეთა</w:t>
      </w:r>
      <w:r w:rsidR="00562865" w:rsidRPr="00254DCC">
        <w:rPr>
          <w:rFonts w:ascii="Sylfaen" w:hAnsi="Sylfaen"/>
          <w:bCs/>
          <w:sz w:val="24"/>
          <w:szCs w:val="24"/>
          <w:lang w:val="ka-GE"/>
        </w:rPr>
        <w:t xml:space="preserve"> ინტერესებს შორის.</w:t>
      </w:r>
    </w:p>
    <w:p w14:paraId="732C5977" w14:textId="77777777" w:rsidR="00562865" w:rsidRPr="00254DCC" w:rsidRDefault="00562865" w:rsidP="00562865">
      <w:pPr>
        <w:pStyle w:val="ListParagraph"/>
        <w:spacing w:after="0"/>
        <w:ind w:left="360"/>
        <w:jc w:val="both"/>
        <w:rPr>
          <w:rFonts w:ascii="Sylfaen" w:hAnsi="Sylfaen"/>
          <w:bCs/>
          <w:color w:val="000000"/>
          <w:sz w:val="24"/>
          <w:szCs w:val="24"/>
        </w:rPr>
      </w:pPr>
    </w:p>
    <w:p w14:paraId="3EE4FD62" w14:textId="77777777" w:rsidR="00B60A2B" w:rsidRPr="00254DCC" w:rsidRDefault="00B60A2B" w:rsidP="00F22AAD">
      <w:pPr>
        <w:pStyle w:val="ListParagraph1"/>
        <w:tabs>
          <w:tab w:val="left" w:pos="900"/>
        </w:tabs>
        <w:spacing w:after="0"/>
        <w:ind w:firstLine="360"/>
        <w:jc w:val="both"/>
        <w:rPr>
          <w:rFonts w:ascii="Sylfaen" w:hAnsi="Sylfaen"/>
          <w:sz w:val="24"/>
          <w:szCs w:val="24"/>
          <w:lang w:val="ka-GE"/>
        </w:rPr>
      </w:pPr>
    </w:p>
    <w:p w14:paraId="5AB06396" w14:textId="77777777" w:rsidR="00F22AAD" w:rsidRPr="00254DCC" w:rsidRDefault="00F22AAD" w:rsidP="00F22AAD">
      <w:pPr>
        <w:pStyle w:val="ListParagraph1"/>
        <w:tabs>
          <w:tab w:val="left" w:pos="900"/>
        </w:tabs>
        <w:spacing w:after="0"/>
        <w:ind w:firstLine="360"/>
        <w:jc w:val="both"/>
        <w:rPr>
          <w:rFonts w:ascii="Sylfaen" w:hAnsi="Sylfaen"/>
          <w:sz w:val="24"/>
          <w:szCs w:val="24"/>
          <w:lang w:val="ka-GE"/>
        </w:rPr>
      </w:pPr>
    </w:p>
    <w:p w14:paraId="3D944E9C" w14:textId="761A3254" w:rsidR="00B60A2B" w:rsidRPr="00C97694" w:rsidRDefault="00B60A2B" w:rsidP="00C97694">
      <w:pPr>
        <w:pStyle w:val="Heading1"/>
      </w:pPr>
      <w:r w:rsidRPr="00254DCC">
        <w:t>III</w:t>
      </w:r>
      <w:r w:rsidR="00C97694">
        <w:br/>
      </w:r>
      <w:bookmarkStart w:id="0" w:name="_GoBack"/>
      <w:bookmarkEnd w:id="0"/>
      <w:r w:rsidRPr="00254DCC">
        <w:t>სარეზოლუციო ნაწილი</w:t>
      </w:r>
    </w:p>
    <w:p w14:paraId="7D9885F1" w14:textId="77777777" w:rsidR="00B60A2B" w:rsidRPr="00254DCC" w:rsidRDefault="00B60A2B" w:rsidP="00F22AAD">
      <w:pPr>
        <w:tabs>
          <w:tab w:val="left" w:pos="900"/>
        </w:tabs>
        <w:spacing w:after="0"/>
        <w:ind w:firstLine="360"/>
        <w:jc w:val="both"/>
        <w:rPr>
          <w:rFonts w:ascii="Sylfaen" w:hAnsi="Sylfaen"/>
          <w:sz w:val="24"/>
          <w:szCs w:val="24"/>
        </w:rPr>
      </w:pPr>
    </w:p>
    <w:p w14:paraId="5F57757F" w14:textId="31C85400" w:rsidR="00B60A2B" w:rsidRPr="00254DCC" w:rsidRDefault="00B60A2B" w:rsidP="00F22AAD">
      <w:pPr>
        <w:tabs>
          <w:tab w:val="left" w:pos="900"/>
        </w:tabs>
        <w:spacing w:after="0"/>
        <w:ind w:firstLine="360"/>
        <w:jc w:val="both"/>
        <w:rPr>
          <w:rFonts w:ascii="Sylfaen" w:hAnsi="Sylfaen"/>
          <w:sz w:val="24"/>
          <w:szCs w:val="24"/>
        </w:rPr>
      </w:pPr>
      <w:r w:rsidRPr="00254DCC">
        <w:rPr>
          <w:rFonts w:ascii="Sylfaen" w:hAnsi="Sylfaen"/>
          <w:sz w:val="24"/>
          <w:szCs w:val="24"/>
        </w:rPr>
        <w:t xml:space="preserve">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4A4777" w:rsidRPr="00254DCC">
        <w:rPr>
          <w:rFonts w:ascii="Sylfaen" w:hAnsi="Sylfaen"/>
          <w:sz w:val="24"/>
          <w:szCs w:val="24"/>
        </w:rPr>
        <w:t>მეორე</w:t>
      </w:r>
      <w:r w:rsidRPr="00254DCC">
        <w:rPr>
          <w:rFonts w:ascii="Sylfaen" w:hAnsi="Sylfaen"/>
          <w:sz w:val="24"/>
          <w:szCs w:val="24"/>
        </w:rPr>
        <w:t xml:space="preserve">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w:t>
      </w:r>
      <w:r w:rsidR="004A4777" w:rsidRPr="00254DCC">
        <w:rPr>
          <w:rFonts w:ascii="Sylfaen" w:hAnsi="Sylfaen"/>
          <w:sz w:val="24"/>
          <w:szCs w:val="24"/>
        </w:rPr>
        <w:t xml:space="preserve">, </w:t>
      </w:r>
      <w:r w:rsidR="004A4777" w:rsidRPr="00254DCC">
        <w:rPr>
          <w:rFonts w:ascii="Sylfaen" w:hAnsi="Sylfaen"/>
          <w:sz w:val="24"/>
          <w:szCs w:val="24"/>
        </w:rPr>
        <w:lastRenderedPageBreak/>
        <w:t>45</w:t>
      </w:r>
      <w:r w:rsidRPr="00254DCC">
        <w:rPr>
          <w:rFonts w:ascii="Sylfaen" w:hAnsi="Sylfaen"/>
          <w:sz w:val="24"/>
          <w:szCs w:val="24"/>
        </w:rPr>
        <w:t>-ე მუხლის, „საკონსტიტუციო სამართალწარმოების შესახებ“ საქართველოს კანონის მე-7 მუხლის, 30-ე, 31-ე, 32-ე და 33-ე მუხლების საფუძველზე,</w:t>
      </w:r>
    </w:p>
    <w:p w14:paraId="39436839" w14:textId="77777777" w:rsidR="00B60A2B" w:rsidRPr="00254DCC" w:rsidRDefault="00B60A2B" w:rsidP="00F22AAD">
      <w:pPr>
        <w:tabs>
          <w:tab w:val="left" w:pos="900"/>
        </w:tabs>
        <w:spacing w:after="0"/>
        <w:ind w:firstLine="360"/>
        <w:jc w:val="both"/>
        <w:rPr>
          <w:rFonts w:ascii="Sylfaen" w:hAnsi="Sylfaen"/>
          <w:sz w:val="24"/>
          <w:szCs w:val="24"/>
        </w:rPr>
      </w:pPr>
    </w:p>
    <w:p w14:paraId="3BE95659" w14:textId="77777777" w:rsidR="00F22AAD" w:rsidRPr="00254DCC" w:rsidRDefault="00F22AAD" w:rsidP="00F22AAD">
      <w:pPr>
        <w:tabs>
          <w:tab w:val="left" w:pos="900"/>
        </w:tabs>
        <w:spacing w:after="0"/>
        <w:ind w:firstLine="360"/>
        <w:jc w:val="both"/>
        <w:rPr>
          <w:rFonts w:ascii="Sylfaen" w:hAnsi="Sylfaen"/>
          <w:sz w:val="24"/>
          <w:szCs w:val="24"/>
        </w:rPr>
      </w:pPr>
    </w:p>
    <w:p w14:paraId="6A021970" w14:textId="77777777" w:rsidR="00B60A2B" w:rsidRPr="00254DCC" w:rsidRDefault="00B60A2B" w:rsidP="00F22AAD">
      <w:pPr>
        <w:pStyle w:val="ListParagraph1"/>
        <w:tabs>
          <w:tab w:val="left" w:pos="900"/>
        </w:tabs>
        <w:spacing w:after="0"/>
        <w:ind w:left="0" w:firstLine="360"/>
        <w:jc w:val="center"/>
        <w:rPr>
          <w:rFonts w:ascii="Sylfaen" w:hAnsi="Sylfaen"/>
          <w:b/>
          <w:bCs/>
          <w:sz w:val="24"/>
          <w:szCs w:val="24"/>
          <w:lang w:val="ka-GE"/>
        </w:rPr>
      </w:pPr>
      <w:r w:rsidRPr="00254DCC">
        <w:rPr>
          <w:rFonts w:ascii="Sylfaen" w:hAnsi="Sylfaen"/>
          <w:b/>
          <w:bCs/>
          <w:sz w:val="24"/>
          <w:szCs w:val="24"/>
          <w:lang w:val="ka-GE"/>
        </w:rPr>
        <w:t>საქართველოს საკონსტიტუციო სასამართლო</w:t>
      </w:r>
    </w:p>
    <w:p w14:paraId="01295945" w14:textId="7CB6F494" w:rsidR="00B60A2B" w:rsidRPr="00254DCC" w:rsidRDefault="00B60A2B" w:rsidP="00F22AAD">
      <w:pPr>
        <w:tabs>
          <w:tab w:val="left" w:pos="900"/>
        </w:tabs>
        <w:spacing w:after="0"/>
        <w:ind w:firstLine="360"/>
        <w:jc w:val="center"/>
        <w:rPr>
          <w:rFonts w:ascii="Sylfaen" w:hAnsi="Sylfaen"/>
          <w:b/>
          <w:bCs/>
          <w:spacing w:val="20"/>
          <w:sz w:val="24"/>
          <w:szCs w:val="24"/>
        </w:rPr>
      </w:pPr>
      <w:r w:rsidRPr="00254DCC">
        <w:rPr>
          <w:rFonts w:ascii="Sylfaen" w:hAnsi="Sylfaen"/>
          <w:b/>
          <w:bCs/>
          <w:spacing w:val="140"/>
          <w:sz w:val="24"/>
          <w:szCs w:val="24"/>
        </w:rPr>
        <w:t>ადგენ</w:t>
      </w:r>
      <w:r w:rsidRPr="00254DCC">
        <w:rPr>
          <w:rFonts w:ascii="Sylfaen" w:hAnsi="Sylfaen"/>
          <w:b/>
          <w:bCs/>
          <w:spacing w:val="20"/>
          <w:sz w:val="24"/>
          <w:szCs w:val="24"/>
        </w:rPr>
        <w:t>ს:</w:t>
      </w:r>
    </w:p>
    <w:p w14:paraId="11D1D2AF" w14:textId="77777777" w:rsidR="00B60A2B" w:rsidRPr="00254DCC" w:rsidRDefault="00B60A2B" w:rsidP="00F22AAD">
      <w:pPr>
        <w:tabs>
          <w:tab w:val="left" w:pos="900"/>
        </w:tabs>
        <w:spacing w:after="0"/>
        <w:ind w:firstLine="360"/>
        <w:jc w:val="both"/>
        <w:rPr>
          <w:rFonts w:ascii="Sylfaen" w:hAnsi="Sylfaen"/>
          <w:b/>
          <w:bCs/>
          <w:spacing w:val="20"/>
          <w:sz w:val="24"/>
          <w:szCs w:val="24"/>
        </w:rPr>
      </w:pPr>
    </w:p>
    <w:p w14:paraId="2A524FBC" w14:textId="67EFA9FE" w:rsidR="00B60A2B" w:rsidRPr="00254DCC" w:rsidRDefault="00B60A2B"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sz w:val="24"/>
          <w:szCs w:val="24"/>
        </w:rPr>
        <w:t>კონსტიტუციური სარჩელი №746</w:t>
      </w:r>
      <w:r w:rsidR="00B95159" w:rsidRPr="00254DCC">
        <w:rPr>
          <w:rFonts w:ascii="Sylfaen" w:hAnsi="Sylfaen"/>
          <w:sz w:val="24"/>
          <w:szCs w:val="24"/>
        </w:rPr>
        <w:t xml:space="preserve"> (</w:t>
      </w:r>
      <w:r w:rsidR="00AD335D" w:rsidRPr="00254DCC">
        <w:rPr>
          <w:rFonts w:ascii="Sylfaen" w:hAnsi="Sylfaen"/>
          <w:sz w:val="24"/>
          <w:szCs w:val="24"/>
        </w:rPr>
        <w:t>„შპს „</w:t>
      </w:r>
      <w:proofErr w:type="spellStart"/>
      <w:r w:rsidR="00AD335D" w:rsidRPr="00254DCC">
        <w:rPr>
          <w:rFonts w:ascii="Sylfaen" w:hAnsi="Sylfaen"/>
          <w:sz w:val="24"/>
          <w:szCs w:val="24"/>
        </w:rPr>
        <w:t>ჯორჯიან</w:t>
      </w:r>
      <w:proofErr w:type="spellEnd"/>
      <w:r w:rsidR="00AD335D" w:rsidRPr="00254DCC">
        <w:rPr>
          <w:rFonts w:ascii="Sylfaen" w:hAnsi="Sylfaen"/>
          <w:sz w:val="24"/>
          <w:szCs w:val="24"/>
        </w:rPr>
        <w:t xml:space="preserve"> </w:t>
      </w:r>
      <w:proofErr w:type="spellStart"/>
      <w:r w:rsidR="00AD335D" w:rsidRPr="00254DCC">
        <w:rPr>
          <w:rFonts w:ascii="Sylfaen" w:hAnsi="Sylfaen"/>
          <w:sz w:val="24"/>
          <w:szCs w:val="24"/>
        </w:rPr>
        <w:t>მანგანეზი</w:t>
      </w:r>
      <w:proofErr w:type="spellEnd"/>
      <w:r w:rsidR="00AD335D" w:rsidRPr="00254DCC">
        <w:rPr>
          <w:rFonts w:ascii="Sylfaen" w:hAnsi="Sylfaen"/>
          <w:sz w:val="24"/>
          <w:szCs w:val="24"/>
        </w:rPr>
        <w:t>“ საქართველოს პარლამენტის წინააღმდეგ)</w:t>
      </w:r>
      <w:r w:rsidR="00B95159" w:rsidRPr="00254DCC">
        <w:rPr>
          <w:rFonts w:ascii="Sylfaen" w:hAnsi="Sylfaen"/>
          <w:sz w:val="24"/>
          <w:szCs w:val="24"/>
        </w:rPr>
        <w:t xml:space="preserve"> </w:t>
      </w:r>
      <w:r w:rsidRPr="00254DCC">
        <w:rPr>
          <w:rFonts w:ascii="Sylfaen" w:hAnsi="Sylfaen"/>
          <w:sz w:val="24"/>
          <w:szCs w:val="24"/>
        </w:rPr>
        <w:t xml:space="preserve"> დაკმაყოფილდეს ნაწილობრივ და </w:t>
      </w:r>
      <w:r w:rsidR="00762E5A" w:rsidRPr="00254DCC">
        <w:rPr>
          <w:rFonts w:ascii="Sylfaen" w:hAnsi="Sylfaen"/>
          <w:sz w:val="24"/>
          <w:szCs w:val="24"/>
        </w:rPr>
        <w:t>არაკონსტიტუციურად</w:t>
      </w:r>
      <w:r w:rsidRPr="00254DCC">
        <w:rPr>
          <w:rFonts w:ascii="Sylfaen" w:hAnsi="Sylfaen"/>
          <w:sz w:val="24"/>
          <w:szCs w:val="24"/>
        </w:rPr>
        <w:t xml:space="preserve"> იქნეს ცნობილი</w:t>
      </w:r>
      <w:r w:rsidR="006017CF">
        <w:rPr>
          <w:rFonts w:ascii="Sylfaen" w:hAnsi="Sylfaen"/>
          <w:sz w:val="24"/>
          <w:szCs w:val="24"/>
        </w:rPr>
        <w:t xml:space="preserve"> საქართველოს</w:t>
      </w:r>
      <w:r w:rsidR="00AD335D" w:rsidRPr="00254DCC">
        <w:rPr>
          <w:rFonts w:ascii="Sylfaen" w:hAnsi="Sylfaen"/>
          <w:sz w:val="24"/>
          <w:szCs w:val="24"/>
        </w:rPr>
        <w:t xml:space="preserve"> სამოქალაქო საპროცესო კოდექსის 199-ე მუხლის მე-2 ნაწილის </w:t>
      </w:r>
      <w:r w:rsidR="00562865" w:rsidRPr="00254DCC">
        <w:rPr>
          <w:rFonts w:ascii="Sylfaen" w:hAnsi="Sylfaen"/>
          <w:sz w:val="24"/>
          <w:szCs w:val="24"/>
        </w:rPr>
        <w:t xml:space="preserve">პირველი წინადადება  </w:t>
      </w:r>
      <w:r w:rsidR="00255D40" w:rsidRPr="00254DCC">
        <w:rPr>
          <w:rFonts w:ascii="Sylfaen" w:hAnsi="Sylfaen"/>
          <w:sz w:val="24"/>
          <w:szCs w:val="24"/>
        </w:rPr>
        <w:t>საქართველოს კონსტიტუციის 42-ე მუხლის პირველ პუნქტთან მიმართებით.</w:t>
      </w:r>
    </w:p>
    <w:p w14:paraId="78E9CEAF" w14:textId="363D0DB7" w:rsidR="00255D40" w:rsidRPr="00254DCC" w:rsidRDefault="00255D4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sz w:val="24"/>
          <w:szCs w:val="24"/>
        </w:rPr>
        <w:t>კონსტიტუციური სარჩელი №746 („შპს „</w:t>
      </w:r>
      <w:proofErr w:type="spellStart"/>
      <w:r w:rsidRPr="00254DCC">
        <w:rPr>
          <w:rFonts w:ascii="Sylfaen" w:hAnsi="Sylfaen"/>
          <w:sz w:val="24"/>
          <w:szCs w:val="24"/>
        </w:rPr>
        <w:t>ჯორჯიან</w:t>
      </w:r>
      <w:proofErr w:type="spellEnd"/>
      <w:r w:rsidRPr="00254DCC">
        <w:rPr>
          <w:rFonts w:ascii="Sylfaen" w:hAnsi="Sylfaen"/>
          <w:sz w:val="24"/>
          <w:szCs w:val="24"/>
        </w:rPr>
        <w:t xml:space="preserve"> </w:t>
      </w:r>
      <w:proofErr w:type="spellStart"/>
      <w:r w:rsidRPr="00254DCC">
        <w:rPr>
          <w:rFonts w:ascii="Sylfaen" w:hAnsi="Sylfaen"/>
          <w:sz w:val="24"/>
          <w:szCs w:val="24"/>
        </w:rPr>
        <w:t>მანგანეზი</w:t>
      </w:r>
      <w:proofErr w:type="spellEnd"/>
      <w:r w:rsidRPr="00254DCC">
        <w:rPr>
          <w:rFonts w:ascii="Sylfaen" w:hAnsi="Sylfaen"/>
          <w:sz w:val="24"/>
          <w:szCs w:val="24"/>
        </w:rPr>
        <w:t xml:space="preserve">“ საქართველოს პარლამენტის წინააღმდეგ) არ დაკმაყოფილდეს სასარჩელო მოთხოვნის იმ ნაწილში, რომელიც </w:t>
      </w:r>
      <w:r w:rsidR="007F1CDC" w:rsidRPr="00254DCC">
        <w:rPr>
          <w:rFonts w:ascii="Sylfaen" w:hAnsi="Sylfaen"/>
          <w:sz w:val="24"/>
          <w:szCs w:val="24"/>
        </w:rPr>
        <w:t>შე</w:t>
      </w:r>
      <w:r w:rsidRPr="00254DCC">
        <w:rPr>
          <w:rFonts w:ascii="Sylfaen" w:hAnsi="Sylfaen"/>
          <w:sz w:val="24"/>
          <w:szCs w:val="24"/>
        </w:rPr>
        <w:t xml:space="preserve">ეხება </w:t>
      </w:r>
      <w:r w:rsidR="006017CF">
        <w:rPr>
          <w:rFonts w:ascii="Sylfaen" w:hAnsi="Sylfaen"/>
          <w:sz w:val="24"/>
          <w:szCs w:val="24"/>
        </w:rPr>
        <w:t xml:space="preserve">საქართველოს </w:t>
      </w:r>
      <w:r w:rsidRPr="00254DCC">
        <w:rPr>
          <w:rFonts w:ascii="Sylfaen" w:hAnsi="Sylfaen"/>
          <w:sz w:val="24"/>
          <w:szCs w:val="24"/>
        </w:rPr>
        <w:t xml:space="preserve">სამოქალაქო საპროცესო კოდექსის 199-ე მუხლის </w:t>
      </w:r>
      <w:r w:rsidR="00645CC5">
        <w:rPr>
          <w:rFonts w:ascii="Sylfaen" w:hAnsi="Sylfaen"/>
          <w:sz w:val="24"/>
          <w:szCs w:val="24"/>
        </w:rPr>
        <w:t xml:space="preserve">    </w:t>
      </w:r>
      <w:r w:rsidRPr="00254DCC">
        <w:rPr>
          <w:rFonts w:ascii="Sylfaen" w:hAnsi="Sylfaen"/>
          <w:sz w:val="24"/>
          <w:szCs w:val="24"/>
        </w:rPr>
        <w:t xml:space="preserve">მე-2 ნაწილის </w:t>
      </w:r>
      <w:r w:rsidR="00E32116" w:rsidRPr="00254DCC">
        <w:rPr>
          <w:rFonts w:ascii="Sylfaen" w:hAnsi="Sylfaen"/>
          <w:sz w:val="24"/>
          <w:szCs w:val="24"/>
        </w:rPr>
        <w:t>მე</w:t>
      </w:r>
      <w:r w:rsidR="006524EA">
        <w:rPr>
          <w:rFonts w:ascii="Sylfaen" w:hAnsi="Sylfaen"/>
          <w:sz w:val="24"/>
          <w:szCs w:val="24"/>
        </w:rPr>
        <w:t>ორე</w:t>
      </w:r>
      <w:r w:rsidR="00E32116" w:rsidRPr="00254DCC">
        <w:rPr>
          <w:rFonts w:ascii="Sylfaen" w:hAnsi="Sylfaen"/>
          <w:sz w:val="24"/>
          <w:szCs w:val="24"/>
        </w:rPr>
        <w:t xml:space="preserve"> წინადადების კონსტიტუციურობა</w:t>
      </w:r>
      <w:r w:rsidR="007F1CDC" w:rsidRPr="00254DCC">
        <w:rPr>
          <w:rFonts w:ascii="Sylfaen" w:hAnsi="Sylfaen"/>
          <w:sz w:val="24"/>
          <w:szCs w:val="24"/>
        </w:rPr>
        <w:t>ს</w:t>
      </w:r>
      <w:r w:rsidR="00E32116" w:rsidRPr="00254DCC">
        <w:rPr>
          <w:rFonts w:ascii="Sylfaen" w:hAnsi="Sylfaen"/>
          <w:sz w:val="24"/>
          <w:szCs w:val="24"/>
        </w:rPr>
        <w:t xml:space="preserve"> </w:t>
      </w:r>
      <w:r w:rsidRPr="00254DCC">
        <w:rPr>
          <w:rFonts w:ascii="Sylfaen" w:hAnsi="Sylfaen"/>
          <w:sz w:val="24"/>
          <w:szCs w:val="24"/>
        </w:rPr>
        <w:t>საქართველოს კონსტიტუციის 42-ე მუხლის პირველ პუნქტთან მიმართებით.</w:t>
      </w:r>
    </w:p>
    <w:p w14:paraId="7872E769" w14:textId="6BB07D7B" w:rsidR="00C81270" w:rsidRPr="00254DCC" w:rsidRDefault="00C8127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sz w:val="24"/>
          <w:szCs w:val="24"/>
        </w:rPr>
        <w:t xml:space="preserve">სამოქალაქო საპროცესო კოდექსის 199-ე მუხლის მე-2 ნაწილის პირველი წინადადება ძალადაკარგულად იქნეს ცნობილი </w:t>
      </w:r>
      <w:r w:rsidR="00E74CA9" w:rsidRPr="00254DCC">
        <w:rPr>
          <w:rFonts w:ascii="Sylfaen" w:hAnsi="Sylfaen"/>
          <w:sz w:val="24"/>
          <w:szCs w:val="24"/>
        </w:rPr>
        <w:t xml:space="preserve">2018 </w:t>
      </w:r>
      <w:r w:rsidRPr="00254DCC">
        <w:rPr>
          <w:rFonts w:ascii="Sylfaen" w:hAnsi="Sylfaen"/>
          <w:sz w:val="24"/>
          <w:szCs w:val="24"/>
        </w:rPr>
        <w:t xml:space="preserve">წლის </w:t>
      </w:r>
      <w:r w:rsidR="00E74CA9" w:rsidRPr="00254DCC">
        <w:rPr>
          <w:rFonts w:ascii="Sylfaen" w:hAnsi="Sylfaen"/>
          <w:sz w:val="24"/>
          <w:szCs w:val="24"/>
        </w:rPr>
        <w:t>3</w:t>
      </w:r>
      <w:r w:rsidR="001608E4" w:rsidRPr="00254DCC">
        <w:rPr>
          <w:rFonts w:ascii="Sylfaen" w:hAnsi="Sylfaen"/>
          <w:sz w:val="24"/>
          <w:szCs w:val="24"/>
        </w:rPr>
        <w:t xml:space="preserve">1 </w:t>
      </w:r>
      <w:r w:rsidR="00E74CA9" w:rsidRPr="00254DCC">
        <w:rPr>
          <w:rFonts w:ascii="Sylfaen" w:hAnsi="Sylfaen"/>
          <w:sz w:val="24"/>
          <w:szCs w:val="24"/>
        </w:rPr>
        <w:t>მარტიდან.</w:t>
      </w:r>
    </w:p>
    <w:p w14:paraId="7D7ECAE7" w14:textId="0CB78B97" w:rsidR="00255D40" w:rsidRPr="00254DCC" w:rsidRDefault="00255D4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cs="Sylfaen"/>
          <w:bCs/>
          <w:sz w:val="24"/>
          <w:szCs w:val="24"/>
        </w:rPr>
        <w:t xml:space="preserve">გადაწყვეტილება ძალაშია საკონსტიტუციო სასამართლოს ვებგვერდზე გამოქვეყნების მომენტიდან. </w:t>
      </w:r>
    </w:p>
    <w:p w14:paraId="6323B69D" w14:textId="77777777" w:rsidR="00255D40" w:rsidRPr="00254DCC" w:rsidRDefault="00255D4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cs="Sylfaen"/>
          <w:bCs/>
          <w:sz w:val="24"/>
          <w:szCs w:val="24"/>
        </w:rPr>
        <w:t>გადაწყვეტილება საბოლოოა და გასაჩივრებას ან გადასინჯვას არ ექვემდებარება.</w:t>
      </w:r>
    </w:p>
    <w:p w14:paraId="30646A37" w14:textId="77777777" w:rsidR="00255D40" w:rsidRPr="00254DCC" w:rsidRDefault="00255D4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cs="Sylfaen"/>
          <w:bCs/>
          <w:sz w:val="24"/>
          <w:szCs w:val="24"/>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14:paraId="4EF7C982" w14:textId="174B7CAD" w:rsidR="00255D40" w:rsidRPr="00254DCC" w:rsidRDefault="00255D40" w:rsidP="00F22AAD">
      <w:pPr>
        <w:pStyle w:val="ListParagraph"/>
        <w:numPr>
          <w:ilvl w:val="0"/>
          <w:numId w:val="7"/>
        </w:numPr>
        <w:tabs>
          <w:tab w:val="left" w:pos="900"/>
        </w:tabs>
        <w:spacing w:after="0"/>
        <w:ind w:left="0" w:firstLine="360"/>
        <w:jc w:val="both"/>
        <w:rPr>
          <w:rFonts w:ascii="Sylfaen" w:hAnsi="Sylfaen"/>
          <w:sz w:val="24"/>
          <w:szCs w:val="24"/>
        </w:rPr>
      </w:pPr>
      <w:r w:rsidRPr="00254DCC">
        <w:rPr>
          <w:rFonts w:ascii="Sylfaen" w:hAnsi="Sylfaen" w:cs="Sylfaen"/>
          <w:bCs/>
          <w:sz w:val="24"/>
          <w:szCs w:val="24"/>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068689BC" w14:textId="77777777" w:rsidR="00B477AE" w:rsidRPr="00254DCC" w:rsidRDefault="00B477AE" w:rsidP="00F22AAD">
      <w:pPr>
        <w:tabs>
          <w:tab w:val="left" w:pos="900"/>
        </w:tabs>
        <w:spacing w:after="0"/>
        <w:ind w:firstLine="360"/>
        <w:jc w:val="both"/>
        <w:rPr>
          <w:rFonts w:ascii="Sylfaen" w:hAnsi="Sylfaen"/>
          <w:sz w:val="24"/>
          <w:szCs w:val="24"/>
        </w:rPr>
      </w:pPr>
    </w:p>
    <w:p w14:paraId="7ECB6DC2" w14:textId="77777777" w:rsidR="00B477AE" w:rsidRPr="00254DCC" w:rsidRDefault="00B477AE" w:rsidP="00F22AAD">
      <w:pPr>
        <w:tabs>
          <w:tab w:val="left" w:pos="900"/>
        </w:tabs>
        <w:spacing w:after="0"/>
        <w:ind w:firstLine="360"/>
        <w:jc w:val="both"/>
        <w:rPr>
          <w:rFonts w:ascii="Sylfaen" w:hAnsi="Sylfaen"/>
          <w:sz w:val="24"/>
          <w:szCs w:val="24"/>
        </w:rPr>
      </w:pPr>
    </w:p>
    <w:p w14:paraId="47D1228B" w14:textId="77777777" w:rsidR="00255D40" w:rsidRPr="00254DCC" w:rsidRDefault="00255D40" w:rsidP="00F22AAD">
      <w:pPr>
        <w:tabs>
          <w:tab w:val="left" w:pos="900"/>
        </w:tabs>
        <w:spacing w:after="0"/>
        <w:ind w:firstLine="360"/>
        <w:jc w:val="both"/>
        <w:rPr>
          <w:rFonts w:ascii="Sylfaen" w:hAnsi="Sylfaen" w:cs="AcadNusx"/>
          <w:b/>
          <w:bCs/>
          <w:sz w:val="24"/>
          <w:szCs w:val="24"/>
        </w:rPr>
      </w:pPr>
      <w:r w:rsidRPr="00254DCC">
        <w:rPr>
          <w:rFonts w:ascii="Sylfaen" w:hAnsi="Sylfaen" w:cs="Sylfaen"/>
          <w:b/>
          <w:bCs/>
          <w:sz w:val="24"/>
          <w:szCs w:val="24"/>
        </w:rPr>
        <w:t>კოლეგიის წევრები</w:t>
      </w:r>
      <w:r w:rsidRPr="00254DCC">
        <w:rPr>
          <w:rFonts w:ascii="Sylfaen" w:hAnsi="Sylfaen" w:cs="AcadNusx"/>
          <w:b/>
          <w:bCs/>
          <w:sz w:val="24"/>
          <w:szCs w:val="24"/>
        </w:rPr>
        <w:t>:</w:t>
      </w:r>
    </w:p>
    <w:p w14:paraId="01A25A8B" w14:textId="77777777" w:rsidR="00F22AAD" w:rsidRPr="00254DCC" w:rsidRDefault="00F22AAD" w:rsidP="00F22AAD">
      <w:pPr>
        <w:tabs>
          <w:tab w:val="left" w:pos="900"/>
        </w:tabs>
        <w:spacing w:after="0"/>
        <w:ind w:firstLine="360"/>
        <w:jc w:val="both"/>
        <w:rPr>
          <w:rFonts w:ascii="Sylfaen" w:eastAsia="MS Mincho" w:hAnsi="Sylfaen" w:cs="AcadNusx"/>
          <w:b/>
          <w:bCs/>
          <w:sz w:val="24"/>
          <w:szCs w:val="24"/>
        </w:rPr>
      </w:pPr>
    </w:p>
    <w:p w14:paraId="3D6F754A" w14:textId="194FF504" w:rsidR="00255D40" w:rsidRPr="00254DCC" w:rsidRDefault="00B477AE" w:rsidP="00F22AAD">
      <w:pPr>
        <w:tabs>
          <w:tab w:val="left" w:pos="900"/>
        </w:tabs>
        <w:spacing w:after="0"/>
        <w:ind w:firstLine="360"/>
        <w:jc w:val="both"/>
        <w:rPr>
          <w:rFonts w:ascii="Sylfaen" w:hAnsi="Sylfaen"/>
          <w:sz w:val="24"/>
          <w:szCs w:val="24"/>
        </w:rPr>
      </w:pPr>
      <w:r w:rsidRPr="00254DCC">
        <w:rPr>
          <w:rFonts w:ascii="Sylfaen" w:hAnsi="Sylfaen"/>
          <w:sz w:val="24"/>
          <w:szCs w:val="24"/>
        </w:rPr>
        <w:t>თეიმურაზ ტუღუში</w:t>
      </w:r>
    </w:p>
    <w:p w14:paraId="5A8772E7" w14:textId="77777777" w:rsidR="00B477AE" w:rsidRPr="00254DCC" w:rsidRDefault="00B477AE" w:rsidP="00F22AAD">
      <w:pPr>
        <w:tabs>
          <w:tab w:val="left" w:pos="900"/>
        </w:tabs>
        <w:spacing w:after="0"/>
        <w:ind w:firstLine="360"/>
        <w:jc w:val="both"/>
        <w:rPr>
          <w:rFonts w:ascii="Sylfaen" w:hAnsi="Sylfaen"/>
          <w:sz w:val="24"/>
          <w:szCs w:val="24"/>
        </w:rPr>
      </w:pPr>
    </w:p>
    <w:p w14:paraId="2B775FEA" w14:textId="379EB880" w:rsidR="00B477AE" w:rsidRPr="00254DCC" w:rsidRDefault="00B477AE" w:rsidP="00F22AAD">
      <w:pPr>
        <w:tabs>
          <w:tab w:val="left" w:pos="900"/>
        </w:tabs>
        <w:spacing w:after="0"/>
        <w:ind w:firstLine="360"/>
        <w:jc w:val="both"/>
        <w:rPr>
          <w:rFonts w:ascii="Sylfaen" w:hAnsi="Sylfaen"/>
          <w:sz w:val="24"/>
          <w:szCs w:val="24"/>
        </w:rPr>
      </w:pPr>
      <w:r w:rsidRPr="00254DCC">
        <w:rPr>
          <w:rFonts w:ascii="Sylfaen" w:hAnsi="Sylfaen"/>
          <w:sz w:val="24"/>
          <w:szCs w:val="24"/>
        </w:rPr>
        <w:t>ირინე იმერლიშვილი</w:t>
      </w:r>
    </w:p>
    <w:p w14:paraId="1DA75619" w14:textId="77777777" w:rsidR="00B477AE" w:rsidRPr="00254DCC" w:rsidRDefault="00B477AE" w:rsidP="00F22AAD">
      <w:pPr>
        <w:tabs>
          <w:tab w:val="left" w:pos="900"/>
        </w:tabs>
        <w:spacing w:after="0"/>
        <w:ind w:firstLine="360"/>
        <w:jc w:val="both"/>
        <w:rPr>
          <w:rFonts w:ascii="Sylfaen" w:hAnsi="Sylfaen"/>
          <w:sz w:val="24"/>
          <w:szCs w:val="24"/>
        </w:rPr>
      </w:pPr>
    </w:p>
    <w:p w14:paraId="5F18E1E9" w14:textId="7DAC9BE2" w:rsidR="00B477AE" w:rsidRPr="00254DCC" w:rsidRDefault="00B477AE" w:rsidP="00F22AAD">
      <w:pPr>
        <w:tabs>
          <w:tab w:val="left" w:pos="900"/>
        </w:tabs>
        <w:spacing w:after="0"/>
        <w:ind w:firstLine="360"/>
        <w:jc w:val="both"/>
        <w:rPr>
          <w:rFonts w:ascii="Sylfaen" w:hAnsi="Sylfaen"/>
          <w:sz w:val="24"/>
          <w:szCs w:val="24"/>
        </w:rPr>
      </w:pPr>
      <w:r w:rsidRPr="00254DCC">
        <w:rPr>
          <w:rFonts w:ascii="Sylfaen" w:hAnsi="Sylfaen"/>
          <w:sz w:val="24"/>
          <w:szCs w:val="24"/>
        </w:rPr>
        <w:t>მანანა კობახიძე</w:t>
      </w:r>
    </w:p>
    <w:p w14:paraId="589F988F" w14:textId="77777777" w:rsidR="00B477AE" w:rsidRPr="00254DCC" w:rsidRDefault="00B477AE" w:rsidP="00F22AAD">
      <w:pPr>
        <w:tabs>
          <w:tab w:val="left" w:pos="900"/>
        </w:tabs>
        <w:spacing w:after="0"/>
        <w:ind w:firstLine="360"/>
        <w:jc w:val="both"/>
        <w:rPr>
          <w:rFonts w:ascii="Sylfaen" w:hAnsi="Sylfaen"/>
          <w:sz w:val="24"/>
          <w:szCs w:val="24"/>
        </w:rPr>
      </w:pPr>
    </w:p>
    <w:p w14:paraId="61E5298E" w14:textId="2F78218D" w:rsidR="00B477AE" w:rsidRPr="00254DCC" w:rsidRDefault="00B477AE" w:rsidP="00F22AAD">
      <w:pPr>
        <w:tabs>
          <w:tab w:val="left" w:pos="900"/>
        </w:tabs>
        <w:spacing w:after="0"/>
        <w:ind w:firstLine="360"/>
        <w:jc w:val="both"/>
        <w:rPr>
          <w:rFonts w:ascii="Sylfaen" w:hAnsi="Sylfaen"/>
          <w:sz w:val="24"/>
          <w:szCs w:val="24"/>
        </w:rPr>
      </w:pPr>
      <w:r w:rsidRPr="00254DCC">
        <w:rPr>
          <w:rFonts w:ascii="Sylfaen" w:hAnsi="Sylfaen"/>
          <w:sz w:val="24"/>
          <w:szCs w:val="24"/>
        </w:rPr>
        <w:t>თამაზ ცაბუტაშვილი</w:t>
      </w:r>
    </w:p>
    <w:p w14:paraId="15DE8DA9" w14:textId="77777777" w:rsidR="00255D40" w:rsidRPr="00254DCC" w:rsidRDefault="00255D40" w:rsidP="00F22AAD">
      <w:pPr>
        <w:pStyle w:val="ListParagraph"/>
        <w:tabs>
          <w:tab w:val="left" w:pos="900"/>
        </w:tabs>
        <w:spacing w:after="0"/>
        <w:ind w:left="360" w:firstLine="360"/>
        <w:jc w:val="both"/>
        <w:rPr>
          <w:rFonts w:ascii="Sylfaen" w:hAnsi="Sylfaen"/>
          <w:sz w:val="24"/>
          <w:szCs w:val="24"/>
        </w:rPr>
      </w:pPr>
    </w:p>
    <w:p w14:paraId="537F2768" w14:textId="77777777" w:rsidR="00B60A2B" w:rsidRPr="00254DCC" w:rsidRDefault="00B60A2B" w:rsidP="00F22AAD">
      <w:pPr>
        <w:pStyle w:val="ListParagraph1"/>
        <w:tabs>
          <w:tab w:val="left" w:pos="900"/>
        </w:tabs>
        <w:spacing w:after="0"/>
        <w:ind w:firstLine="360"/>
        <w:jc w:val="both"/>
        <w:rPr>
          <w:rFonts w:ascii="Sylfaen" w:hAnsi="Sylfaen"/>
          <w:sz w:val="24"/>
          <w:szCs w:val="24"/>
          <w:lang w:val="ka-GE"/>
        </w:rPr>
      </w:pPr>
    </w:p>
    <w:sectPr w:rsidR="00B60A2B" w:rsidRPr="00254DCC" w:rsidSect="00F22AAD">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AF949" w16cid:durableId="1D2C509B"/>
  <w16cid:commentId w16cid:paraId="24F1C5E9" w16cid:durableId="1D2F79A0"/>
  <w16cid:commentId w16cid:paraId="73620D6F" w16cid:durableId="1D2DD8BF"/>
  <w16cid:commentId w16cid:paraId="11296BC9" w16cid:durableId="1D2F58AD"/>
  <w16cid:commentId w16cid:paraId="76E16499" w16cid:durableId="1D2F58AE"/>
  <w16cid:commentId w16cid:paraId="73108AFB" w16cid:durableId="1D2F58B2"/>
  <w16cid:commentId w16cid:paraId="6690B7DD" w16cid:durableId="1D2F7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B11AC" w14:textId="77777777" w:rsidR="00884E6E" w:rsidRDefault="00884E6E" w:rsidP="00787431">
      <w:pPr>
        <w:spacing w:after="0" w:line="240" w:lineRule="auto"/>
      </w:pPr>
      <w:r>
        <w:separator/>
      </w:r>
    </w:p>
  </w:endnote>
  <w:endnote w:type="continuationSeparator" w:id="0">
    <w:p w14:paraId="1B4BE11B" w14:textId="77777777" w:rsidR="00884E6E" w:rsidRDefault="00884E6E" w:rsidP="0078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817276"/>
      <w:docPartObj>
        <w:docPartGallery w:val="Page Numbers (Bottom of Page)"/>
        <w:docPartUnique/>
      </w:docPartObj>
    </w:sdtPr>
    <w:sdtEndPr>
      <w:rPr>
        <w:noProof/>
      </w:rPr>
    </w:sdtEndPr>
    <w:sdtContent>
      <w:p w14:paraId="38AE313F" w14:textId="68382E62" w:rsidR="0083464F" w:rsidRDefault="0083464F">
        <w:pPr>
          <w:pStyle w:val="Footer"/>
          <w:jc w:val="right"/>
        </w:pPr>
        <w:r>
          <w:fldChar w:fldCharType="begin"/>
        </w:r>
        <w:r>
          <w:instrText xml:space="preserve"> PAGE   \* MERGEFORMAT </w:instrText>
        </w:r>
        <w:r>
          <w:fldChar w:fldCharType="separate"/>
        </w:r>
        <w:r w:rsidR="00C97694">
          <w:rPr>
            <w:noProof/>
          </w:rPr>
          <w:t>21</w:t>
        </w:r>
        <w:r>
          <w:rPr>
            <w:noProof/>
          </w:rPr>
          <w:fldChar w:fldCharType="end"/>
        </w:r>
      </w:p>
    </w:sdtContent>
  </w:sdt>
  <w:p w14:paraId="719A91F7" w14:textId="77777777" w:rsidR="0083464F" w:rsidRDefault="0083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E290" w14:textId="77777777" w:rsidR="00884E6E" w:rsidRDefault="00884E6E" w:rsidP="00787431">
      <w:pPr>
        <w:spacing w:after="0" w:line="240" w:lineRule="auto"/>
      </w:pPr>
      <w:r>
        <w:separator/>
      </w:r>
    </w:p>
  </w:footnote>
  <w:footnote w:type="continuationSeparator" w:id="0">
    <w:p w14:paraId="4793EA4C" w14:textId="77777777" w:rsidR="00884E6E" w:rsidRDefault="00884E6E" w:rsidP="0078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389"/>
    <w:multiLevelType w:val="hybridMultilevel"/>
    <w:tmpl w:val="BDEA3C88"/>
    <w:lvl w:ilvl="0" w:tplc="FFFAA6E2">
      <w:start w:val="1"/>
      <w:numFmt w:val="decimal"/>
      <w:lvlText w:val="%1."/>
      <w:lvlJc w:val="left"/>
      <w:pPr>
        <w:ind w:left="84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89508E"/>
    <w:multiLevelType w:val="hybridMultilevel"/>
    <w:tmpl w:val="06C88692"/>
    <w:lvl w:ilvl="0" w:tplc="64BE46C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471A"/>
    <w:multiLevelType w:val="hybridMultilevel"/>
    <w:tmpl w:val="DDE8911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F61619"/>
    <w:multiLevelType w:val="hybridMultilevel"/>
    <w:tmpl w:val="C2582AAE"/>
    <w:styleLink w:val="ImportedStyle2"/>
    <w:lvl w:ilvl="0" w:tplc="A6A47704">
      <w:start w:val="1"/>
      <w:numFmt w:val="decimal"/>
      <w:lvlText w:val="%1."/>
      <w:lvlJc w:val="left"/>
      <w:pPr>
        <w:tabs>
          <w:tab w:val="num" w:pos="990"/>
        </w:tabs>
        <w:ind w:left="270" w:firstLine="450"/>
      </w:pPr>
      <w:rPr>
        <w:rFonts w:hAnsi="Arial Unicode MS"/>
        <w:caps w:val="0"/>
        <w:smallCaps w:val="0"/>
        <w:strike w:val="0"/>
        <w:dstrike w:val="0"/>
        <w:color w:val="000000"/>
        <w:spacing w:val="0"/>
        <w:w w:val="100"/>
        <w:kern w:val="0"/>
        <w:position w:val="0"/>
        <w:highlight w:val="none"/>
        <w:vertAlign w:val="baseline"/>
      </w:rPr>
    </w:lvl>
    <w:lvl w:ilvl="1" w:tplc="5BFE8BD6">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38F4759E">
      <w:start w:val="1"/>
      <w:numFmt w:val="lowerRoman"/>
      <w:lvlText w:val="%3."/>
      <w:lvlJc w:val="left"/>
      <w:pPr>
        <w:tabs>
          <w:tab w:val="left" w:pos="990"/>
          <w:tab w:val="num" w:pos="1980"/>
        </w:tabs>
        <w:ind w:left="1260" w:firstLine="78"/>
      </w:pPr>
      <w:rPr>
        <w:rFonts w:hAnsi="Arial Unicode MS"/>
        <w:caps w:val="0"/>
        <w:smallCaps w:val="0"/>
        <w:strike w:val="0"/>
        <w:dstrike w:val="0"/>
        <w:color w:val="000000"/>
        <w:spacing w:val="0"/>
        <w:w w:val="100"/>
        <w:kern w:val="0"/>
        <w:position w:val="0"/>
        <w:highlight w:val="none"/>
        <w:vertAlign w:val="baseline"/>
      </w:rPr>
    </w:lvl>
    <w:lvl w:ilvl="3" w:tplc="CF962790">
      <w:start w:val="1"/>
      <w:numFmt w:val="decimal"/>
      <w:lvlText w:val="%4."/>
      <w:lvlJc w:val="left"/>
      <w:pPr>
        <w:tabs>
          <w:tab w:val="left" w:pos="990"/>
          <w:tab w:val="num" w:pos="2700"/>
        </w:tabs>
        <w:ind w:left="1980" w:firstLine="0"/>
      </w:pPr>
      <w:rPr>
        <w:rFonts w:hAnsi="Arial Unicode MS"/>
        <w:caps w:val="0"/>
        <w:smallCaps w:val="0"/>
        <w:strike w:val="0"/>
        <w:dstrike w:val="0"/>
        <w:color w:val="000000"/>
        <w:spacing w:val="0"/>
        <w:w w:val="100"/>
        <w:kern w:val="0"/>
        <w:position w:val="0"/>
        <w:highlight w:val="none"/>
        <w:vertAlign w:val="baseline"/>
      </w:rPr>
    </w:lvl>
    <w:lvl w:ilvl="4" w:tplc="07E8AE9E">
      <w:start w:val="1"/>
      <w:numFmt w:val="lowerLetter"/>
      <w:lvlText w:val="%5."/>
      <w:lvlJc w:val="left"/>
      <w:pPr>
        <w:tabs>
          <w:tab w:val="left" w:pos="990"/>
          <w:tab w:val="num" w:pos="3420"/>
        </w:tabs>
        <w:ind w:left="2700" w:firstLine="0"/>
      </w:pPr>
      <w:rPr>
        <w:rFonts w:hAnsi="Arial Unicode MS"/>
        <w:caps w:val="0"/>
        <w:smallCaps w:val="0"/>
        <w:strike w:val="0"/>
        <w:dstrike w:val="0"/>
        <w:color w:val="000000"/>
        <w:spacing w:val="0"/>
        <w:w w:val="100"/>
        <w:kern w:val="0"/>
        <w:position w:val="0"/>
        <w:highlight w:val="none"/>
        <w:vertAlign w:val="baseline"/>
      </w:rPr>
    </w:lvl>
    <w:lvl w:ilvl="5" w:tplc="8350FE44">
      <w:start w:val="1"/>
      <w:numFmt w:val="lowerRoman"/>
      <w:lvlText w:val="%6."/>
      <w:lvlJc w:val="left"/>
      <w:pPr>
        <w:tabs>
          <w:tab w:val="left" w:pos="990"/>
          <w:tab w:val="num" w:pos="4140"/>
        </w:tabs>
        <w:ind w:left="3420" w:firstLine="78"/>
      </w:pPr>
      <w:rPr>
        <w:rFonts w:hAnsi="Arial Unicode MS"/>
        <w:caps w:val="0"/>
        <w:smallCaps w:val="0"/>
        <w:strike w:val="0"/>
        <w:dstrike w:val="0"/>
        <w:color w:val="000000"/>
        <w:spacing w:val="0"/>
        <w:w w:val="100"/>
        <w:kern w:val="0"/>
        <w:position w:val="0"/>
        <w:highlight w:val="none"/>
        <w:vertAlign w:val="baseline"/>
      </w:rPr>
    </w:lvl>
    <w:lvl w:ilvl="6" w:tplc="1AE890B0">
      <w:start w:val="1"/>
      <w:numFmt w:val="decimal"/>
      <w:lvlText w:val="%7."/>
      <w:lvlJc w:val="left"/>
      <w:pPr>
        <w:tabs>
          <w:tab w:val="left" w:pos="990"/>
          <w:tab w:val="num" w:pos="4860"/>
        </w:tabs>
        <w:ind w:left="4140" w:firstLine="0"/>
      </w:pPr>
      <w:rPr>
        <w:rFonts w:hAnsi="Arial Unicode MS"/>
        <w:caps w:val="0"/>
        <w:smallCaps w:val="0"/>
        <w:strike w:val="0"/>
        <w:dstrike w:val="0"/>
        <w:color w:val="000000"/>
        <w:spacing w:val="0"/>
        <w:w w:val="100"/>
        <w:kern w:val="0"/>
        <w:position w:val="0"/>
        <w:highlight w:val="none"/>
        <w:vertAlign w:val="baseline"/>
      </w:rPr>
    </w:lvl>
    <w:lvl w:ilvl="7" w:tplc="306E5AC4">
      <w:start w:val="1"/>
      <w:numFmt w:val="lowerLetter"/>
      <w:lvlText w:val="%8."/>
      <w:lvlJc w:val="left"/>
      <w:pPr>
        <w:tabs>
          <w:tab w:val="left" w:pos="990"/>
          <w:tab w:val="num" w:pos="5580"/>
        </w:tabs>
        <w:ind w:left="4860" w:firstLine="0"/>
      </w:pPr>
      <w:rPr>
        <w:rFonts w:hAnsi="Arial Unicode MS"/>
        <w:caps w:val="0"/>
        <w:smallCaps w:val="0"/>
        <w:strike w:val="0"/>
        <w:dstrike w:val="0"/>
        <w:color w:val="000000"/>
        <w:spacing w:val="0"/>
        <w:w w:val="100"/>
        <w:kern w:val="0"/>
        <w:position w:val="0"/>
        <w:highlight w:val="none"/>
        <w:vertAlign w:val="baseline"/>
      </w:rPr>
    </w:lvl>
    <w:lvl w:ilvl="8" w:tplc="7056FC6A">
      <w:start w:val="1"/>
      <w:numFmt w:val="lowerRoman"/>
      <w:lvlText w:val="%9."/>
      <w:lvlJc w:val="left"/>
      <w:pPr>
        <w:tabs>
          <w:tab w:val="left" w:pos="990"/>
          <w:tab w:val="num" w:pos="6300"/>
        </w:tabs>
        <w:ind w:left="5580" w:firstLine="78"/>
      </w:pPr>
      <w:rPr>
        <w:rFonts w:hAnsi="Arial Unicode MS"/>
        <w:caps w:val="0"/>
        <w:smallCaps w:val="0"/>
        <w:strike w:val="0"/>
        <w:dstrike w:val="0"/>
        <w:color w:val="000000"/>
        <w:spacing w:val="0"/>
        <w:w w:val="100"/>
        <w:kern w:val="0"/>
        <w:position w:val="0"/>
        <w:highlight w:val="none"/>
        <w:vertAlign w:val="baseline"/>
      </w:rPr>
    </w:lvl>
  </w:abstractNum>
  <w:abstractNum w:abstractNumId="4">
    <w:nsid w:val="47110937"/>
    <w:multiLevelType w:val="hybridMultilevel"/>
    <w:tmpl w:val="5FB04EB0"/>
    <w:lvl w:ilvl="0" w:tplc="388CB784">
      <w:start w:val="1"/>
      <w:numFmt w:val="decimal"/>
      <w:pStyle w:val="Heading2"/>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4F621D7"/>
    <w:multiLevelType w:val="hybridMultilevel"/>
    <w:tmpl w:val="EB6E8A58"/>
    <w:lvl w:ilvl="0" w:tplc="DCFE7D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5B7ADA"/>
    <w:multiLevelType w:val="hybridMultilevel"/>
    <w:tmpl w:val="62E69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8A7A2F"/>
    <w:multiLevelType w:val="multilevel"/>
    <w:tmpl w:val="6E8A7A2F"/>
    <w:lvl w:ilvl="0">
      <w:start w:val="1"/>
      <w:numFmt w:val="decimal"/>
      <w:lvlText w:val="%1."/>
      <w:lvlJc w:val="left"/>
      <w:pPr>
        <w:ind w:left="1080" w:hanging="360"/>
      </w:pPr>
      <w:rPr>
        <w:rFonts w:ascii="Sylfaen" w:hAnsi="Sylfaen" w:cs="Times New Roman" w:hint="default"/>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6F10084D"/>
    <w:multiLevelType w:val="multilevel"/>
    <w:tmpl w:val="B9D6BFA0"/>
    <w:lvl w:ilvl="0">
      <w:start w:val="1"/>
      <w:numFmt w:val="decimal"/>
      <w:lvlText w:val="%1."/>
      <w:lvlJc w:val="left"/>
      <w:pPr>
        <w:ind w:left="420" w:hanging="420"/>
      </w:pPr>
      <w:rPr>
        <w:rFonts w:hint="default"/>
      </w:rPr>
    </w:lvl>
    <w:lvl w:ilvl="1">
      <w:start w:val="1"/>
      <w:numFmt w:val="decimal"/>
      <w:pStyle w:val="Heading3"/>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721C6026"/>
    <w:multiLevelType w:val="hybridMultilevel"/>
    <w:tmpl w:val="EB6E8A58"/>
    <w:lvl w:ilvl="0" w:tplc="DCFE7D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893603"/>
    <w:multiLevelType w:val="hybridMultilevel"/>
    <w:tmpl w:val="2CA073EC"/>
    <w:lvl w:ilvl="0" w:tplc="8228BCD2">
      <w:start w:val="1"/>
      <w:numFmt w:val="decimal"/>
      <w:lvlText w:val="%1."/>
      <w:lvlJc w:val="left"/>
      <w:pPr>
        <w:ind w:left="900" w:hanging="360"/>
      </w:pPr>
      <w:rPr>
        <w:rFonts w:ascii="Sylfaen" w:eastAsia="Times New Roman" w:hAnsi="Sylfaen" w:cs="Sylfae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A0272A8"/>
    <w:multiLevelType w:val="hybridMultilevel"/>
    <w:tmpl w:val="C2582AAE"/>
    <w:numStyleLink w:val="ImportedStyle2"/>
  </w:abstractNum>
  <w:num w:numId="1">
    <w:abstractNumId w:val="5"/>
  </w:num>
  <w:num w:numId="2">
    <w:abstractNumId w:val="9"/>
  </w:num>
  <w:num w:numId="3">
    <w:abstractNumId w:val="3"/>
  </w:num>
  <w:num w:numId="4">
    <w:abstractNumId w:val="11"/>
    <w:lvlOverride w:ilvl="0">
      <w:lvl w:ilvl="0" w:tplc="7F961680">
        <w:start w:val="1"/>
        <w:numFmt w:val="decimal"/>
        <w:lvlText w:val="%1."/>
        <w:lvlJc w:val="left"/>
        <w:pPr>
          <w:tabs>
            <w:tab w:val="num" w:pos="990"/>
          </w:tabs>
          <w:ind w:left="270" w:firstLine="450"/>
        </w:pPr>
        <w:rPr>
          <w:rFonts w:ascii="Sylfaen" w:hAnsi="Sylfaen" w:hint="default"/>
          <w:caps w:val="0"/>
          <w:smallCaps w:val="0"/>
          <w:strike w:val="0"/>
          <w:dstrike w:val="0"/>
          <w:color w:val="000000"/>
          <w:spacing w:val="0"/>
          <w:w w:val="100"/>
          <w:kern w:val="0"/>
          <w:position w:val="0"/>
          <w:highlight w:val="none"/>
          <w:vertAlign w:val="baseline"/>
        </w:rPr>
      </w:lvl>
    </w:lvlOverride>
  </w:num>
  <w:num w:numId="5">
    <w:abstractNumId w:val="10"/>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76"/>
    <w:rsid w:val="000060D8"/>
    <w:rsid w:val="00007FCE"/>
    <w:rsid w:val="00027A5F"/>
    <w:rsid w:val="00032269"/>
    <w:rsid w:val="000437B0"/>
    <w:rsid w:val="00043BB4"/>
    <w:rsid w:val="00044416"/>
    <w:rsid w:val="000457ED"/>
    <w:rsid w:val="00050718"/>
    <w:rsid w:val="000537DF"/>
    <w:rsid w:val="00054734"/>
    <w:rsid w:val="00060035"/>
    <w:rsid w:val="0006307B"/>
    <w:rsid w:val="000707AD"/>
    <w:rsid w:val="00076691"/>
    <w:rsid w:val="00087BB1"/>
    <w:rsid w:val="00091983"/>
    <w:rsid w:val="000925B9"/>
    <w:rsid w:val="00094CFE"/>
    <w:rsid w:val="000A1D26"/>
    <w:rsid w:val="000A24BA"/>
    <w:rsid w:val="000B0657"/>
    <w:rsid w:val="000B0758"/>
    <w:rsid w:val="000B0823"/>
    <w:rsid w:val="000B2F42"/>
    <w:rsid w:val="000B5456"/>
    <w:rsid w:val="000B7E9A"/>
    <w:rsid w:val="000C0260"/>
    <w:rsid w:val="000C7802"/>
    <w:rsid w:val="000E247E"/>
    <w:rsid w:val="000E3142"/>
    <w:rsid w:val="000E354E"/>
    <w:rsid w:val="000E3CD4"/>
    <w:rsid w:val="000E6AC5"/>
    <w:rsid w:val="000F5D04"/>
    <w:rsid w:val="00100A95"/>
    <w:rsid w:val="00107391"/>
    <w:rsid w:val="001123B8"/>
    <w:rsid w:val="00116275"/>
    <w:rsid w:val="0012063E"/>
    <w:rsid w:val="001251CE"/>
    <w:rsid w:val="00127647"/>
    <w:rsid w:val="0013495F"/>
    <w:rsid w:val="001367B4"/>
    <w:rsid w:val="00136A23"/>
    <w:rsid w:val="0013788E"/>
    <w:rsid w:val="00137CA1"/>
    <w:rsid w:val="0014157B"/>
    <w:rsid w:val="001473A4"/>
    <w:rsid w:val="001608E4"/>
    <w:rsid w:val="00170190"/>
    <w:rsid w:val="00171C21"/>
    <w:rsid w:val="0017663A"/>
    <w:rsid w:val="001829F1"/>
    <w:rsid w:val="001848AB"/>
    <w:rsid w:val="001912D8"/>
    <w:rsid w:val="001B247B"/>
    <w:rsid w:val="001B56DB"/>
    <w:rsid w:val="001B6552"/>
    <w:rsid w:val="001C2469"/>
    <w:rsid w:val="001D1F0B"/>
    <w:rsid w:val="001D3253"/>
    <w:rsid w:val="001E1260"/>
    <w:rsid w:val="001F7B5E"/>
    <w:rsid w:val="00201029"/>
    <w:rsid w:val="00206BAB"/>
    <w:rsid w:val="0022143D"/>
    <w:rsid w:val="002225D0"/>
    <w:rsid w:val="002338DB"/>
    <w:rsid w:val="00241F54"/>
    <w:rsid w:val="00245BA2"/>
    <w:rsid w:val="00247A55"/>
    <w:rsid w:val="00252ADE"/>
    <w:rsid w:val="00253DAB"/>
    <w:rsid w:val="00254DCC"/>
    <w:rsid w:val="00255D40"/>
    <w:rsid w:val="002565E1"/>
    <w:rsid w:val="00262A32"/>
    <w:rsid w:val="00264392"/>
    <w:rsid w:val="002651C0"/>
    <w:rsid w:val="00267DB1"/>
    <w:rsid w:val="0027207C"/>
    <w:rsid w:val="00276576"/>
    <w:rsid w:val="00276800"/>
    <w:rsid w:val="00282533"/>
    <w:rsid w:val="00285A14"/>
    <w:rsid w:val="00286D0D"/>
    <w:rsid w:val="00290D51"/>
    <w:rsid w:val="00291FBE"/>
    <w:rsid w:val="00296A54"/>
    <w:rsid w:val="002973E7"/>
    <w:rsid w:val="002A00D3"/>
    <w:rsid w:val="002A0672"/>
    <w:rsid w:val="002A2D3A"/>
    <w:rsid w:val="002A3AE8"/>
    <w:rsid w:val="002A3CF3"/>
    <w:rsid w:val="002A5132"/>
    <w:rsid w:val="002B1E6C"/>
    <w:rsid w:val="002B4F81"/>
    <w:rsid w:val="002C7BB2"/>
    <w:rsid w:val="002D2084"/>
    <w:rsid w:val="002D4DAF"/>
    <w:rsid w:val="002D7B62"/>
    <w:rsid w:val="002E011F"/>
    <w:rsid w:val="002F07C4"/>
    <w:rsid w:val="00300847"/>
    <w:rsid w:val="003053EB"/>
    <w:rsid w:val="00315A57"/>
    <w:rsid w:val="00317FD3"/>
    <w:rsid w:val="0032751A"/>
    <w:rsid w:val="00340560"/>
    <w:rsid w:val="00341BDB"/>
    <w:rsid w:val="00344E00"/>
    <w:rsid w:val="003461AE"/>
    <w:rsid w:val="00357122"/>
    <w:rsid w:val="003601D1"/>
    <w:rsid w:val="00363DFD"/>
    <w:rsid w:val="00370C7B"/>
    <w:rsid w:val="003754A4"/>
    <w:rsid w:val="00381D75"/>
    <w:rsid w:val="0038264D"/>
    <w:rsid w:val="0038526C"/>
    <w:rsid w:val="00386DEC"/>
    <w:rsid w:val="003938BF"/>
    <w:rsid w:val="003A0A4B"/>
    <w:rsid w:val="003A16D5"/>
    <w:rsid w:val="003A25C1"/>
    <w:rsid w:val="003A6367"/>
    <w:rsid w:val="003A6D4C"/>
    <w:rsid w:val="003A7462"/>
    <w:rsid w:val="003B2785"/>
    <w:rsid w:val="003B4F7F"/>
    <w:rsid w:val="003B556F"/>
    <w:rsid w:val="003B73F0"/>
    <w:rsid w:val="003C0856"/>
    <w:rsid w:val="003C203C"/>
    <w:rsid w:val="003C3193"/>
    <w:rsid w:val="003C7AB2"/>
    <w:rsid w:val="003C7ECE"/>
    <w:rsid w:val="003D1250"/>
    <w:rsid w:val="003E19D2"/>
    <w:rsid w:val="003E30E0"/>
    <w:rsid w:val="003F271C"/>
    <w:rsid w:val="003F2A6A"/>
    <w:rsid w:val="003F4015"/>
    <w:rsid w:val="004028AE"/>
    <w:rsid w:val="0041585C"/>
    <w:rsid w:val="00417292"/>
    <w:rsid w:val="004213EF"/>
    <w:rsid w:val="00423E1D"/>
    <w:rsid w:val="00424FC6"/>
    <w:rsid w:val="00430334"/>
    <w:rsid w:val="00430A66"/>
    <w:rsid w:val="004374DE"/>
    <w:rsid w:val="00446EE7"/>
    <w:rsid w:val="0045047F"/>
    <w:rsid w:val="004522CC"/>
    <w:rsid w:val="004603A6"/>
    <w:rsid w:val="00463996"/>
    <w:rsid w:val="00465ED3"/>
    <w:rsid w:val="0046756C"/>
    <w:rsid w:val="0047080D"/>
    <w:rsid w:val="00470A55"/>
    <w:rsid w:val="004727FD"/>
    <w:rsid w:val="00473343"/>
    <w:rsid w:val="0048346F"/>
    <w:rsid w:val="0048730B"/>
    <w:rsid w:val="00494E52"/>
    <w:rsid w:val="0049666B"/>
    <w:rsid w:val="004A03A7"/>
    <w:rsid w:val="004A141C"/>
    <w:rsid w:val="004A2ECD"/>
    <w:rsid w:val="004A4777"/>
    <w:rsid w:val="004A551E"/>
    <w:rsid w:val="004B29CC"/>
    <w:rsid w:val="004B7065"/>
    <w:rsid w:val="004C36CD"/>
    <w:rsid w:val="004C73D0"/>
    <w:rsid w:val="004D1BFF"/>
    <w:rsid w:val="004E3075"/>
    <w:rsid w:val="004E53A2"/>
    <w:rsid w:val="004E5ABA"/>
    <w:rsid w:val="004F6F53"/>
    <w:rsid w:val="004F766A"/>
    <w:rsid w:val="005003A7"/>
    <w:rsid w:val="00504497"/>
    <w:rsid w:val="00507C87"/>
    <w:rsid w:val="005261EB"/>
    <w:rsid w:val="00531D46"/>
    <w:rsid w:val="00532CA3"/>
    <w:rsid w:val="00533F1B"/>
    <w:rsid w:val="0053457C"/>
    <w:rsid w:val="00535991"/>
    <w:rsid w:val="0054073F"/>
    <w:rsid w:val="0054357F"/>
    <w:rsid w:val="00553463"/>
    <w:rsid w:val="005534BB"/>
    <w:rsid w:val="0055511E"/>
    <w:rsid w:val="00562865"/>
    <w:rsid w:val="005632B9"/>
    <w:rsid w:val="00566617"/>
    <w:rsid w:val="00572F43"/>
    <w:rsid w:val="00575C6F"/>
    <w:rsid w:val="00576DC6"/>
    <w:rsid w:val="00580348"/>
    <w:rsid w:val="005814AE"/>
    <w:rsid w:val="00584643"/>
    <w:rsid w:val="00595518"/>
    <w:rsid w:val="00595B2D"/>
    <w:rsid w:val="005970D3"/>
    <w:rsid w:val="005A030F"/>
    <w:rsid w:val="005A33B0"/>
    <w:rsid w:val="005A6EBA"/>
    <w:rsid w:val="005B57A9"/>
    <w:rsid w:val="005B592B"/>
    <w:rsid w:val="005C447B"/>
    <w:rsid w:val="005D6084"/>
    <w:rsid w:val="005D7728"/>
    <w:rsid w:val="005E006A"/>
    <w:rsid w:val="005E020E"/>
    <w:rsid w:val="005E1C01"/>
    <w:rsid w:val="005E21BD"/>
    <w:rsid w:val="005F185F"/>
    <w:rsid w:val="005F2E75"/>
    <w:rsid w:val="006017CF"/>
    <w:rsid w:val="0060211C"/>
    <w:rsid w:val="00602221"/>
    <w:rsid w:val="00604FD2"/>
    <w:rsid w:val="00605F16"/>
    <w:rsid w:val="00606676"/>
    <w:rsid w:val="006069C2"/>
    <w:rsid w:val="00607E62"/>
    <w:rsid w:val="00615AAA"/>
    <w:rsid w:val="00615C6F"/>
    <w:rsid w:val="00626FB5"/>
    <w:rsid w:val="00632C84"/>
    <w:rsid w:val="006369B1"/>
    <w:rsid w:val="00636AB0"/>
    <w:rsid w:val="0064105F"/>
    <w:rsid w:val="006428FE"/>
    <w:rsid w:val="006430A2"/>
    <w:rsid w:val="00645CC5"/>
    <w:rsid w:val="006524EA"/>
    <w:rsid w:val="00654305"/>
    <w:rsid w:val="006551E3"/>
    <w:rsid w:val="006567EB"/>
    <w:rsid w:val="0065784B"/>
    <w:rsid w:val="006638FF"/>
    <w:rsid w:val="00670122"/>
    <w:rsid w:val="0067558E"/>
    <w:rsid w:val="006800BC"/>
    <w:rsid w:val="0069601B"/>
    <w:rsid w:val="006A1FB2"/>
    <w:rsid w:val="006A7F64"/>
    <w:rsid w:val="006B1AE0"/>
    <w:rsid w:val="006B77FF"/>
    <w:rsid w:val="006C18D2"/>
    <w:rsid w:val="006C75F6"/>
    <w:rsid w:val="006D51A4"/>
    <w:rsid w:val="006F0396"/>
    <w:rsid w:val="006F04C4"/>
    <w:rsid w:val="006F2B94"/>
    <w:rsid w:val="007065CE"/>
    <w:rsid w:val="00707C11"/>
    <w:rsid w:val="007151EB"/>
    <w:rsid w:val="00717B78"/>
    <w:rsid w:val="00720580"/>
    <w:rsid w:val="007225C7"/>
    <w:rsid w:val="007235E7"/>
    <w:rsid w:val="007238EC"/>
    <w:rsid w:val="00734349"/>
    <w:rsid w:val="007345FF"/>
    <w:rsid w:val="00734EE4"/>
    <w:rsid w:val="00740D21"/>
    <w:rsid w:val="0074601D"/>
    <w:rsid w:val="007502BD"/>
    <w:rsid w:val="007522C2"/>
    <w:rsid w:val="00762E5A"/>
    <w:rsid w:val="007637F6"/>
    <w:rsid w:val="00770512"/>
    <w:rsid w:val="0078201D"/>
    <w:rsid w:val="00787431"/>
    <w:rsid w:val="007876BB"/>
    <w:rsid w:val="00792DE6"/>
    <w:rsid w:val="00792F12"/>
    <w:rsid w:val="00794E0E"/>
    <w:rsid w:val="007B0785"/>
    <w:rsid w:val="007B53D7"/>
    <w:rsid w:val="007C042C"/>
    <w:rsid w:val="007C6596"/>
    <w:rsid w:val="007D3A53"/>
    <w:rsid w:val="007E2823"/>
    <w:rsid w:val="007E36D0"/>
    <w:rsid w:val="007E45B8"/>
    <w:rsid w:val="007F1585"/>
    <w:rsid w:val="007F1CDC"/>
    <w:rsid w:val="007F33FF"/>
    <w:rsid w:val="007F7D51"/>
    <w:rsid w:val="00802180"/>
    <w:rsid w:val="00814139"/>
    <w:rsid w:val="00821820"/>
    <w:rsid w:val="00827EF3"/>
    <w:rsid w:val="0083464F"/>
    <w:rsid w:val="00842C19"/>
    <w:rsid w:val="008506A7"/>
    <w:rsid w:val="00854D79"/>
    <w:rsid w:val="008568F5"/>
    <w:rsid w:val="00867BE3"/>
    <w:rsid w:val="0087030A"/>
    <w:rsid w:val="00874893"/>
    <w:rsid w:val="00877ECB"/>
    <w:rsid w:val="0088371F"/>
    <w:rsid w:val="0088409D"/>
    <w:rsid w:val="00884E6E"/>
    <w:rsid w:val="00885E1D"/>
    <w:rsid w:val="00890013"/>
    <w:rsid w:val="008908B4"/>
    <w:rsid w:val="00890DEB"/>
    <w:rsid w:val="00894648"/>
    <w:rsid w:val="00895973"/>
    <w:rsid w:val="008A54B1"/>
    <w:rsid w:val="008A6354"/>
    <w:rsid w:val="008A6E05"/>
    <w:rsid w:val="008B0AE8"/>
    <w:rsid w:val="008B2C6B"/>
    <w:rsid w:val="008B567F"/>
    <w:rsid w:val="008C3498"/>
    <w:rsid w:val="008D64AD"/>
    <w:rsid w:val="008D73DD"/>
    <w:rsid w:val="008E1015"/>
    <w:rsid w:val="008E2C2D"/>
    <w:rsid w:val="008E2FE7"/>
    <w:rsid w:val="008E42CF"/>
    <w:rsid w:val="008E6F93"/>
    <w:rsid w:val="008F1C0B"/>
    <w:rsid w:val="0091750C"/>
    <w:rsid w:val="00922748"/>
    <w:rsid w:val="00926E1A"/>
    <w:rsid w:val="009331A9"/>
    <w:rsid w:val="0093339D"/>
    <w:rsid w:val="0093579A"/>
    <w:rsid w:val="00940E7C"/>
    <w:rsid w:val="00947D00"/>
    <w:rsid w:val="00951B5A"/>
    <w:rsid w:val="009522C5"/>
    <w:rsid w:val="00953D28"/>
    <w:rsid w:val="00962423"/>
    <w:rsid w:val="00962814"/>
    <w:rsid w:val="00966C6A"/>
    <w:rsid w:val="00966DE1"/>
    <w:rsid w:val="009740DA"/>
    <w:rsid w:val="00974FAD"/>
    <w:rsid w:val="0098297E"/>
    <w:rsid w:val="009873CD"/>
    <w:rsid w:val="00987E1C"/>
    <w:rsid w:val="00990CAB"/>
    <w:rsid w:val="00996C35"/>
    <w:rsid w:val="009A01EA"/>
    <w:rsid w:val="009A5360"/>
    <w:rsid w:val="009A7AC9"/>
    <w:rsid w:val="009C1C29"/>
    <w:rsid w:val="009C57F5"/>
    <w:rsid w:val="009C5C51"/>
    <w:rsid w:val="009D1AC9"/>
    <w:rsid w:val="009D5F2D"/>
    <w:rsid w:val="009E1CD4"/>
    <w:rsid w:val="009F0188"/>
    <w:rsid w:val="009F2BEF"/>
    <w:rsid w:val="009F33D4"/>
    <w:rsid w:val="009F6E02"/>
    <w:rsid w:val="009F7126"/>
    <w:rsid w:val="00A009DD"/>
    <w:rsid w:val="00A06E64"/>
    <w:rsid w:val="00A12413"/>
    <w:rsid w:val="00A147BD"/>
    <w:rsid w:val="00A17750"/>
    <w:rsid w:val="00A228C9"/>
    <w:rsid w:val="00A2365A"/>
    <w:rsid w:val="00A268A7"/>
    <w:rsid w:val="00A26990"/>
    <w:rsid w:val="00A27071"/>
    <w:rsid w:val="00A37B3B"/>
    <w:rsid w:val="00A4159E"/>
    <w:rsid w:val="00A448A1"/>
    <w:rsid w:val="00A4554A"/>
    <w:rsid w:val="00A51545"/>
    <w:rsid w:val="00A5426F"/>
    <w:rsid w:val="00A60040"/>
    <w:rsid w:val="00A73621"/>
    <w:rsid w:val="00A75623"/>
    <w:rsid w:val="00A81CF9"/>
    <w:rsid w:val="00A843F7"/>
    <w:rsid w:val="00A909D5"/>
    <w:rsid w:val="00A92A07"/>
    <w:rsid w:val="00AA3041"/>
    <w:rsid w:val="00AA3403"/>
    <w:rsid w:val="00AB1B2B"/>
    <w:rsid w:val="00AC0016"/>
    <w:rsid w:val="00AC111F"/>
    <w:rsid w:val="00AC1DB3"/>
    <w:rsid w:val="00AC3E8E"/>
    <w:rsid w:val="00AC5B32"/>
    <w:rsid w:val="00AC6568"/>
    <w:rsid w:val="00AD335D"/>
    <w:rsid w:val="00AD4C72"/>
    <w:rsid w:val="00AD7936"/>
    <w:rsid w:val="00AE0C38"/>
    <w:rsid w:val="00AE7F05"/>
    <w:rsid w:val="00AF0C27"/>
    <w:rsid w:val="00AF64F2"/>
    <w:rsid w:val="00B0417C"/>
    <w:rsid w:val="00B04765"/>
    <w:rsid w:val="00B076C6"/>
    <w:rsid w:val="00B1193F"/>
    <w:rsid w:val="00B15DC9"/>
    <w:rsid w:val="00B162A8"/>
    <w:rsid w:val="00B20657"/>
    <w:rsid w:val="00B23A24"/>
    <w:rsid w:val="00B26D45"/>
    <w:rsid w:val="00B27415"/>
    <w:rsid w:val="00B31001"/>
    <w:rsid w:val="00B32B8E"/>
    <w:rsid w:val="00B34FBE"/>
    <w:rsid w:val="00B36875"/>
    <w:rsid w:val="00B40186"/>
    <w:rsid w:val="00B43889"/>
    <w:rsid w:val="00B447A6"/>
    <w:rsid w:val="00B4485E"/>
    <w:rsid w:val="00B477AE"/>
    <w:rsid w:val="00B51F72"/>
    <w:rsid w:val="00B535DC"/>
    <w:rsid w:val="00B552CC"/>
    <w:rsid w:val="00B5569D"/>
    <w:rsid w:val="00B60434"/>
    <w:rsid w:val="00B60A2B"/>
    <w:rsid w:val="00B63D22"/>
    <w:rsid w:val="00B63EB6"/>
    <w:rsid w:val="00B64CDB"/>
    <w:rsid w:val="00B656E9"/>
    <w:rsid w:val="00B70B22"/>
    <w:rsid w:val="00B70E08"/>
    <w:rsid w:val="00B7200A"/>
    <w:rsid w:val="00B72FE7"/>
    <w:rsid w:val="00B741FE"/>
    <w:rsid w:val="00B80B19"/>
    <w:rsid w:val="00B819DE"/>
    <w:rsid w:val="00B82C04"/>
    <w:rsid w:val="00B85502"/>
    <w:rsid w:val="00B857A8"/>
    <w:rsid w:val="00B87E7B"/>
    <w:rsid w:val="00B91943"/>
    <w:rsid w:val="00B9476D"/>
    <w:rsid w:val="00B95159"/>
    <w:rsid w:val="00B96E82"/>
    <w:rsid w:val="00BA316F"/>
    <w:rsid w:val="00BA3AF5"/>
    <w:rsid w:val="00BA4CF3"/>
    <w:rsid w:val="00BA7D62"/>
    <w:rsid w:val="00BB5769"/>
    <w:rsid w:val="00BC0796"/>
    <w:rsid w:val="00BC08E4"/>
    <w:rsid w:val="00BC2761"/>
    <w:rsid w:val="00BC2869"/>
    <w:rsid w:val="00BC67FC"/>
    <w:rsid w:val="00BD08AC"/>
    <w:rsid w:val="00BD4812"/>
    <w:rsid w:val="00BD5166"/>
    <w:rsid w:val="00BE0EE1"/>
    <w:rsid w:val="00BE2A6B"/>
    <w:rsid w:val="00BE58B1"/>
    <w:rsid w:val="00BF0177"/>
    <w:rsid w:val="00C03A45"/>
    <w:rsid w:val="00C1142C"/>
    <w:rsid w:val="00C22884"/>
    <w:rsid w:val="00C3281C"/>
    <w:rsid w:val="00C34159"/>
    <w:rsid w:val="00C37462"/>
    <w:rsid w:val="00C37D3F"/>
    <w:rsid w:val="00C414EE"/>
    <w:rsid w:val="00C45D4E"/>
    <w:rsid w:val="00C462E1"/>
    <w:rsid w:val="00C50500"/>
    <w:rsid w:val="00C52350"/>
    <w:rsid w:val="00C606A8"/>
    <w:rsid w:val="00C606CD"/>
    <w:rsid w:val="00C63E55"/>
    <w:rsid w:val="00C67860"/>
    <w:rsid w:val="00C67E0E"/>
    <w:rsid w:val="00C75434"/>
    <w:rsid w:val="00C76CAF"/>
    <w:rsid w:val="00C81270"/>
    <w:rsid w:val="00C84349"/>
    <w:rsid w:val="00C935F6"/>
    <w:rsid w:val="00C93FAC"/>
    <w:rsid w:val="00C9491B"/>
    <w:rsid w:val="00C95368"/>
    <w:rsid w:val="00C966E8"/>
    <w:rsid w:val="00C9675D"/>
    <w:rsid w:val="00C97694"/>
    <w:rsid w:val="00CA07A1"/>
    <w:rsid w:val="00CA322D"/>
    <w:rsid w:val="00CA32D1"/>
    <w:rsid w:val="00CA764D"/>
    <w:rsid w:val="00CB633F"/>
    <w:rsid w:val="00CB728D"/>
    <w:rsid w:val="00CB7773"/>
    <w:rsid w:val="00CC00B0"/>
    <w:rsid w:val="00CC012F"/>
    <w:rsid w:val="00CC09BF"/>
    <w:rsid w:val="00CC54A8"/>
    <w:rsid w:val="00CD12F8"/>
    <w:rsid w:val="00CD47F5"/>
    <w:rsid w:val="00CE640D"/>
    <w:rsid w:val="00CE697F"/>
    <w:rsid w:val="00CF32EC"/>
    <w:rsid w:val="00D0584C"/>
    <w:rsid w:val="00D061FA"/>
    <w:rsid w:val="00D07F87"/>
    <w:rsid w:val="00D12DAB"/>
    <w:rsid w:val="00D150C3"/>
    <w:rsid w:val="00D2365C"/>
    <w:rsid w:val="00D30ADF"/>
    <w:rsid w:val="00D30CAF"/>
    <w:rsid w:val="00D46619"/>
    <w:rsid w:val="00D467C8"/>
    <w:rsid w:val="00D5408E"/>
    <w:rsid w:val="00D54488"/>
    <w:rsid w:val="00D5581C"/>
    <w:rsid w:val="00D6018A"/>
    <w:rsid w:val="00D67D37"/>
    <w:rsid w:val="00D70388"/>
    <w:rsid w:val="00D85089"/>
    <w:rsid w:val="00D92957"/>
    <w:rsid w:val="00DA0A01"/>
    <w:rsid w:val="00DA2941"/>
    <w:rsid w:val="00DB31A4"/>
    <w:rsid w:val="00DB3C99"/>
    <w:rsid w:val="00DB40A7"/>
    <w:rsid w:val="00DB5108"/>
    <w:rsid w:val="00DB6AB2"/>
    <w:rsid w:val="00DC4058"/>
    <w:rsid w:val="00DD03DA"/>
    <w:rsid w:val="00DD4F25"/>
    <w:rsid w:val="00DE14B8"/>
    <w:rsid w:val="00DE1E5E"/>
    <w:rsid w:val="00DE3DC3"/>
    <w:rsid w:val="00DF07F0"/>
    <w:rsid w:val="00DF6E27"/>
    <w:rsid w:val="00DF7A8C"/>
    <w:rsid w:val="00E01C7A"/>
    <w:rsid w:val="00E02030"/>
    <w:rsid w:val="00E02153"/>
    <w:rsid w:val="00E02849"/>
    <w:rsid w:val="00E04659"/>
    <w:rsid w:val="00E204B9"/>
    <w:rsid w:val="00E26640"/>
    <w:rsid w:val="00E32116"/>
    <w:rsid w:val="00E32998"/>
    <w:rsid w:val="00E34837"/>
    <w:rsid w:val="00E42824"/>
    <w:rsid w:val="00E45786"/>
    <w:rsid w:val="00E504C5"/>
    <w:rsid w:val="00E5078F"/>
    <w:rsid w:val="00E52AB2"/>
    <w:rsid w:val="00E54BD7"/>
    <w:rsid w:val="00E63133"/>
    <w:rsid w:val="00E63CA4"/>
    <w:rsid w:val="00E7317A"/>
    <w:rsid w:val="00E74CA9"/>
    <w:rsid w:val="00E82D2A"/>
    <w:rsid w:val="00E858A8"/>
    <w:rsid w:val="00E875D5"/>
    <w:rsid w:val="00E87A56"/>
    <w:rsid w:val="00E93E48"/>
    <w:rsid w:val="00E9427F"/>
    <w:rsid w:val="00EA0B85"/>
    <w:rsid w:val="00EA2F8C"/>
    <w:rsid w:val="00EA3B78"/>
    <w:rsid w:val="00EA46F7"/>
    <w:rsid w:val="00EA54FA"/>
    <w:rsid w:val="00EB74FE"/>
    <w:rsid w:val="00EC2230"/>
    <w:rsid w:val="00EC2E47"/>
    <w:rsid w:val="00ED0917"/>
    <w:rsid w:val="00ED7981"/>
    <w:rsid w:val="00EE1E33"/>
    <w:rsid w:val="00EE4D2E"/>
    <w:rsid w:val="00EF48DE"/>
    <w:rsid w:val="00EF74FF"/>
    <w:rsid w:val="00F005DB"/>
    <w:rsid w:val="00F00DB4"/>
    <w:rsid w:val="00F01811"/>
    <w:rsid w:val="00F0670B"/>
    <w:rsid w:val="00F07945"/>
    <w:rsid w:val="00F12A91"/>
    <w:rsid w:val="00F1596E"/>
    <w:rsid w:val="00F20F8C"/>
    <w:rsid w:val="00F2179A"/>
    <w:rsid w:val="00F22AAD"/>
    <w:rsid w:val="00F24DE3"/>
    <w:rsid w:val="00F27C3A"/>
    <w:rsid w:val="00F30207"/>
    <w:rsid w:val="00F412E2"/>
    <w:rsid w:val="00F44448"/>
    <w:rsid w:val="00F45724"/>
    <w:rsid w:val="00F45F49"/>
    <w:rsid w:val="00F55CE3"/>
    <w:rsid w:val="00F60176"/>
    <w:rsid w:val="00F6559E"/>
    <w:rsid w:val="00F70702"/>
    <w:rsid w:val="00F75238"/>
    <w:rsid w:val="00F81C71"/>
    <w:rsid w:val="00F825B4"/>
    <w:rsid w:val="00F84686"/>
    <w:rsid w:val="00F84B58"/>
    <w:rsid w:val="00F86FC8"/>
    <w:rsid w:val="00F9265B"/>
    <w:rsid w:val="00F95DD8"/>
    <w:rsid w:val="00F96A55"/>
    <w:rsid w:val="00FA1DCA"/>
    <w:rsid w:val="00FA467D"/>
    <w:rsid w:val="00FA6246"/>
    <w:rsid w:val="00FA7929"/>
    <w:rsid w:val="00FB168E"/>
    <w:rsid w:val="00FC0BB3"/>
    <w:rsid w:val="00FC0D24"/>
    <w:rsid w:val="00FC2C76"/>
    <w:rsid w:val="00FC31DE"/>
    <w:rsid w:val="00FC67E1"/>
    <w:rsid w:val="00FC704B"/>
    <w:rsid w:val="00FD1213"/>
    <w:rsid w:val="00FE6B0D"/>
    <w:rsid w:val="00FF429D"/>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B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BD"/>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C97694"/>
    <w:pPr>
      <w:tabs>
        <w:tab w:val="left" w:pos="900"/>
      </w:tabs>
      <w:spacing w:after="0"/>
      <w:jc w:val="center"/>
      <w:outlineLvl w:val="0"/>
    </w:pPr>
    <w:rPr>
      <w:rFonts w:ascii="Sylfaen" w:hAnsi="Sylfaen"/>
      <w:b/>
      <w:sz w:val="24"/>
      <w:szCs w:val="24"/>
    </w:rPr>
  </w:style>
  <w:style w:type="paragraph" w:styleId="Heading2">
    <w:name w:val="heading 2"/>
    <w:basedOn w:val="ListParagraph1"/>
    <w:next w:val="Normal"/>
    <w:link w:val="Heading2Char"/>
    <w:uiPriority w:val="9"/>
    <w:unhideWhenUsed/>
    <w:qFormat/>
    <w:rsid w:val="00C97694"/>
    <w:pPr>
      <w:numPr>
        <w:numId w:val="12"/>
      </w:numPr>
      <w:tabs>
        <w:tab w:val="left" w:pos="900"/>
        <w:tab w:val="left" w:pos="1080"/>
      </w:tabs>
      <w:spacing w:after="0"/>
      <w:ind w:left="0" w:firstLine="786"/>
      <w:jc w:val="both"/>
      <w:outlineLvl w:val="1"/>
    </w:pPr>
    <w:rPr>
      <w:rFonts w:ascii="Sylfaen" w:hAnsi="Sylfaen"/>
      <w:b/>
      <w:sz w:val="24"/>
      <w:szCs w:val="24"/>
      <w:lang w:val="ka-GE"/>
    </w:rPr>
  </w:style>
  <w:style w:type="paragraph" w:styleId="Heading3">
    <w:name w:val="heading 3"/>
    <w:basedOn w:val="ListParagraph1"/>
    <w:next w:val="Normal"/>
    <w:link w:val="Heading3Char"/>
    <w:uiPriority w:val="9"/>
    <w:unhideWhenUsed/>
    <w:qFormat/>
    <w:rsid w:val="00C97694"/>
    <w:pPr>
      <w:numPr>
        <w:ilvl w:val="1"/>
        <w:numId w:val="11"/>
      </w:numPr>
      <w:tabs>
        <w:tab w:val="left" w:pos="900"/>
      </w:tabs>
      <w:spacing w:after="0"/>
      <w:jc w:val="both"/>
      <w:outlineLvl w:val="2"/>
    </w:pPr>
    <w:rPr>
      <w:rFonts w:ascii="Sylfaen" w:hAnsi="Sylfaen"/>
      <w:b/>
      <w:sz w:val="24"/>
      <w:szCs w:val="24"/>
      <w:lang w:val="ka-GE"/>
    </w:rPr>
  </w:style>
  <w:style w:type="paragraph" w:styleId="Heading4">
    <w:name w:val="heading 4"/>
    <w:basedOn w:val="ListParagraph1"/>
    <w:next w:val="Normal"/>
    <w:link w:val="Heading4Char"/>
    <w:uiPriority w:val="9"/>
    <w:unhideWhenUsed/>
    <w:qFormat/>
    <w:rsid w:val="00C97694"/>
    <w:pPr>
      <w:tabs>
        <w:tab w:val="left" w:pos="900"/>
      </w:tabs>
      <w:spacing w:after="0"/>
      <w:ind w:left="360"/>
      <w:jc w:val="both"/>
      <w:outlineLvl w:val="3"/>
    </w:pPr>
    <w:rPr>
      <w:rFonts w:ascii="Sylfaen" w:hAnsi="Sylfaen" w:cs="Sylfaen"/>
      <w:b/>
      <w:sz w:val="24"/>
      <w:szCs w:val="24"/>
      <w:lang w:val="ka-GE"/>
    </w:rPr>
  </w:style>
  <w:style w:type="paragraph" w:styleId="Heading5">
    <w:name w:val="heading 5"/>
    <w:basedOn w:val="ListParagraph1"/>
    <w:next w:val="Normal"/>
    <w:link w:val="Heading5Char"/>
    <w:uiPriority w:val="9"/>
    <w:unhideWhenUsed/>
    <w:qFormat/>
    <w:rsid w:val="00C97694"/>
    <w:pPr>
      <w:tabs>
        <w:tab w:val="left" w:pos="900"/>
      </w:tabs>
      <w:spacing w:after="0"/>
      <w:jc w:val="both"/>
      <w:outlineLvl w:val="4"/>
    </w:pPr>
    <w:rPr>
      <w:rFonts w:ascii="Sylfaen" w:hAnsi="Sylfaen" w:cs="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A3"/>
    <w:pPr>
      <w:ind w:left="720"/>
      <w:contextualSpacing/>
    </w:pPr>
  </w:style>
  <w:style w:type="paragraph" w:customStyle="1" w:styleId="BodyA">
    <w:name w:val="Body A"/>
    <w:rsid w:val="003938B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Heading">
    <w:name w:val="Heading"/>
    <w:next w:val="BodyA"/>
    <w:rsid w:val="003938BF"/>
    <w:pPr>
      <w:pBdr>
        <w:top w:val="nil"/>
        <w:left w:val="nil"/>
        <w:bottom w:val="nil"/>
        <w:right w:val="nil"/>
        <w:between w:val="nil"/>
        <w:bar w:val="nil"/>
      </w:pBdr>
      <w:tabs>
        <w:tab w:val="left" w:pos="900"/>
      </w:tabs>
      <w:spacing w:after="200" w:line="276" w:lineRule="auto"/>
      <w:jc w:val="center"/>
      <w:outlineLvl w:val="0"/>
    </w:pPr>
    <w:rPr>
      <w:rFonts w:ascii="Sylfaen" w:eastAsia="Sylfaen" w:hAnsi="Sylfaen" w:cs="Sylfaen"/>
      <w:b/>
      <w:bCs/>
      <w:color w:val="000000"/>
      <w:sz w:val="24"/>
      <w:szCs w:val="24"/>
      <w:u w:color="000000"/>
      <w:bdr w:val="nil"/>
    </w:rPr>
  </w:style>
  <w:style w:type="paragraph" w:customStyle="1" w:styleId="ListParagraph1">
    <w:name w:val="List Paragraph1"/>
    <w:uiPriority w:val="34"/>
    <w:qFormat/>
    <w:rsid w:val="003938BF"/>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2">
    <w:name w:val="Imported Style 2"/>
    <w:rsid w:val="003938BF"/>
    <w:pPr>
      <w:numPr>
        <w:numId w:val="3"/>
      </w:numPr>
    </w:pPr>
  </w:style>
  <w:style w:type="character" w:styleId="CommentReference">
    <w:name w:val="annotation reference"/>
    <w:basedOn w:val="DefaultParagraphFont"/>
    <w:uiPriority w:val="99"/>
    <w:semiHidden/>
    <w:unhideWhenUsed/>
    <w:rsid w:val="000E247E"/>
    <w:rPr>
      <w:sz w:val="16"/>
      <w:szCs w:val="16"/>
    </w:rPr>
  </w:style>
  <w:style w:type="paragraph" w:styleId="CommentText">
    <w:name w:val="annotation text"/>
    <w:basedOn w:val="Normal"/>
    <w:link w:val="CommentTextChar"/>
    <w:uiPriority w:val="99"/>
    <w:semiHidden/>
    <w:unhideWhenUsed/>
    <w:rsid w:val="000E247E"/>
    <w:pPr>
      <w:spacing w:line="240" w:lineRule="auto"/>
    </w:pPr>
    <w:rPr>
      <w:sz w:val="20"/>
      <w:szCs w:val="20"/>
    </w:rPr>
  </w:style>
  <w:style w:type="character" w:customStyle="1" w:styleId="CommentTextChar">
    <w:name w:val="Comment Text Char"/>
    <w:basedOn w:val="DefaultParagraphFont"/>
    <w:link w:val="CommentText"/>
    <w:uiPriority w:val="99"/>
    <w:semiHidden/>
    <w:rsid w:val="000E247E"/>
    <w:rPr>
      <w:rFonts w:ascii="Calibri" w:eastAsia="Calibri" w:hAnsi="Calibri" w:cs="Times New Roman"/>
      <w:sz w:val="20"/>
      <w:szCs w:val="20"/>
      <w:lang w:val="ka-GE"/>
    </w:rPr>
  </w:style>
  <w:style w:type="paragraph" w:styleId="CommentSubject">
    <w:name w:val="annotation subject"/>
    <w:basedOn w:val="CommentText"/>
    <w:next w:val="CommentText"/>
    <w:link w:val="CommentSubjectChar"/>
    <w:uiPriority w:val="99"/>
    <w:semiHidden/>
    <w:unhideWhenUsed/>
    <w:rsid w:val="000E247E"/>
    <w:rPr>
      <w:b/>
      <w:bCs/>
    </w:rPr>
  </w:style>
  <w:style w:type="character" w:customStyle="1" w:styleId="CommentSubjectChar">
    <w:name w:val="Comment Subject Char"/>
    <w:basedOn w:val="CommentTextChar"/>
    <w:link w:val="CommentSubject"/>
    <w:uiPriority w:val="99"/>
    <w:semiHidden/>
    <w:rsid w:val="000E247E"/>
    <w:rPr>
      <w:rFonts w:ascii="Calibri" w:eastAsia="Calibri" w:hAnsi="Calibri" w:cs="Times New Roman"/>
      <w:b/>
      <w:bCs/>
      <w:sz w:val="20"/>
      <w:szCs w:val="20"/>
      <w:lang w:val="ka-GE"/>
    </w:rPr>
  </w:style>
  <w:style w:type="paragraph" w:styleId="BalloonText">
    <w:name w:val="Balloon Text"/>
    <w:basedOn w:val="Normal"/>
    <w:link w:val="BalloonTextChar"/>
    <w:uiPriority w:val="99"/>
    <w:semiHidden/>
    <w:unhideWhenUsed/>
    <w:rsid w:val="000E2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7E"/>
    <w:rPr>
      <w:rFonts w:ascii="Segoe UI" w:eastAsia="Calibri" w:hAnsi="Segoe UI" w:cs="Segoe UI"/>
      <w:sz w:val="18"/>
      <w:szCs w:val="18"/>
      <w:lang w:val="ka-GE"/>
    </w:rPr>
  </w:style>
  <w:style w:type="character" w:customStyle="1" w:styleId="Heading1Char">
    <w:name w:val="Heading 1 Char"/>
    <w:basedOn w:val="DefaultParagraphFont"/>
    <w:link w:val="Heading1"/>
    <w:uiPriority w:val="9"/>
    <w:rsid w:val="00C97694"/>
    <w:rPr>
      <w:rFonts w:ascii="Sylfaen" w:eastAsia="Calibri" w:hAnsi="Sylfaen" w:cs="Times New Roman"/>
      <w:b/>
      <w:sz w:val="24"/>
      <w:szCs w:val="24"/>
      <w:lang w:val="ka-GE"/>
    </w:rPr>
  </w:style>
  <w:style w:type="paragraph" w:styleId="Header">
    <w:name w:val="header"/>
    <w:basedOn w:val="Normal"/>
    <w:link w:val="HeaderChar"/>
    <w:uiPriority w:val="99"/>
    <w:unhideWhenUsed/>
    <w:rsid w:val="0078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431"/>
    <w:rPr>
      <w:rFonts w:ascii="Calibri" w:eastAsia="Calibri" w:hAnsi="Calibri" w:cs="Times New Roman"/>
      <w:lang w:val="ka-GE"/>
    </w:rPr>
  </w:style>
  <w:style w:type="paragraph" w:styleId="Footer">
    <w:name w:val="footer"/>
    <w:basedOn w:val="Normal"/>
    <w:link w:val="FooterChar"/>
    <w:uiPriority w:val="99"/>
    <w:unhideWhenUsed/>
    <w:rsid w:val="0078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31"/>
    <w:rPr>
      <w:rFonts w:ascii="Calibri" w:eastAsia="Calibri" w:hAnsi="Calibri" w:cs="Times New Roman"/>
      <w:lang w:val="ka-GE"/>
    </w:rPr>
  </w:style>
  <w:style w:type="character" w:customStyle="1" w:styleId="Heading2Char">
    <w:name w:val="Heading 2 Char"/>
    <w:basedOn w:val="DefaultParagraphFont"/>
    <w:link w:val="Heading2"/>
    <w:uiPriority w:val="9"/>
    <w:rsid w:val="00C97694"/>
    <w:rPr>
      <w:rFonts w:ascii="Sylfaen" w:eastAsia="Calibri" w:hAnsi="Sylfaen" w:cs="Calibri"/>
      <w:b/>
      <w:color w:val="000000"/>
      <w:sz w:val="24"/>
      <w:szCs w:val="24"/>
      <w:u w:color="000000"/>
      <w:bdr w:val="nil"/>
      <w:lang w:val="ka-GE"/>
    </w:rPr>
  </w:style>
  <w:style w:type="character" w:customStyle="1" w:styleId="Heading3Char">
    <w:name w:val="Heading 3 Char"/>
    <w:basedOn w:val="DefaultParagraphFont"/>
    <w:link w:val="Heading3"/>
    <w:uiPriority w:val="9"/>
    <w:rsid w:val="00C97694"/>
    <w:rPr>
      <w:rFonts w:ascii="Sylfaen" w:eastAsia="Calibri" w:hAnsi="Sylfaen" w:cs="Calibri"/>
      <w:b/>
      <w:color w:val="000000"/>
      <w:sz w:val="24"/>
      <w:szCs w:val="24"/>
      <w:u w:color="000000"/>
      <w:bdr w:val="nil"/>
      <w:lang w:val="ka-GE"/>
    </w:rPr>
  </w:style>
  <w:style w:type="character" w:customStyle="1" w:styleId="Heading4Char">
    <w:name w:val="Heading 4 Char"/>
    <w:basedOn w:val="DefaultParagraphFont"/>
    <w:link w:val="Heading4"/>
    <w:uiPriority w:val="9"/>
    <w:rsid w:val="00C97694"/>
    <w:rPr>
      <w:rFonts w:ascii="Sylfaen" w:eastAsia="Calibri" w:hAnsi="Sylfaen" w:cs="Sylfaen"/>
      <w:b/>
      <w:color w:val="000000"/>
      <w:sz w:val="24"/>
      <w:szCs w:val="24"/>
      <w:u w:color="000000"/>
      <w:bdr w:val="nil"/>
      <w:lang w:val="ka-GE"/>
    </w:rPr>
  </w:style>
  <w:style w:type="character" w:customStyle="1" w:styleId="Heading5Char">
    <w:name w:val="Heading 5 Char"/>
    <w:basedOn w:val="DefaultParagraphFont"/>
    <w:link w:val="Heading5"/>
    <w:uiPriority w:val="9"/>
    <w:rsid w:val="00C97694"/>
    <w:rPr>
      <w:rFonts w:ascii="Sylfaen" w:eastAsia="Calibri" w:hAnsi="Sylfaen" w:cs="Sylfaen"/>
      <w:b/>
      <w:color w:val="000000"/>
      <w:sz w:val="24"/>
      <w:szCs w:val="24"/>
      <w:u w:color="000000"/>
      <w:bdr w:val="nil"/>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7587">
      <w:bodyDiv w:val="1"/>
      <w:marLeft w:val="0"/>
      <w:marRight w:val="0"/>
      <w:marTop w:val="0"/>
      <w:marBottom w:val="0"/>
      <w:divBdr>
        <w:top w:val="none" w:sz="0" w:space="0" w:color="auto"/>
        <w:left w:val="none" w:sz="0" w:space="0" w:color="auto"/>
        <w:bottom w:val="none" w:sz="0" w:space="0" w:color="auto"/>
        <w:right w:val="none" w:sz="0" w:space="0" w:color="auto"/>
      </w:divBdr>
    </w:div>
    <w:div w:id="718289556">
      <w:bodyDiv w:val="1"/>
      <w:marLeft w:val="0"/>
      <w:marRight w:val="0"/>
      <w:marTop w:val="0"/>
      <w:marBottom w:val="0"/>
      <w:divBdr>
        <w:top w:val="none" w:sz="0" w:space="0" w:color="auto"/>
        <w:left w:val="none" w:sz="0" w:space="0" w:color="auto"/>
        <w:bottom w:val="none" w:sz="0" w:space="0" w:color="auto"/>
        <w:right w:val="none" w:sz="0" w:space="0" w:color="auto"/>
      </w:divBdr>
    </w:div>
    <w:div w:id="920258418">
      <w:bodyDiv w:val="1"/>
      <w:marLeft w:val="0"/>
      <w:marRight w:val="0"/>
      <w:marTop w:val="0"/>
      <w:marBottom w:val="0"/>
      <w:divBdr>
        <w:top w:val="none" w:sz="0" w:space="0" w:color="auto"/>
        <w:left w:val="none" w:sz="0" w:space="0" w:color="auto"/>
        <w:bottom w:val="none" w:sz="0" w:space="0" w:color="auto"/>
        <w:right w:val="none" w:sz="0" w:space="0" w:color="auto"/>
      </w:divBdr>
    </w:div>
    <w:div w:id="1151214717">
      <w:bodyDiv w:val="1"/>
      <w:marLeft w:val="0"/>
      <w:marRight w:val="0"/>
      <w:marTop w:val="0"/>
      <w:marBottom w:val="0"/>
      <w:divBdr>
        <w:top w:val="none" w:sz="0" w:space="0" w:color="auto"/>
        <w:left w:val="none" w:sz="0" w:space="0" w:color="auto"/>
        <w:bottom w:val="none" w:sz="0" w:space="0" w:color="auto"/>
        <w:right w:val="none" w:sz="0" w:space="0" w:color="auto"/>
      </w:divBdr>
    </w:div>
    <w:div w:id="1319574216">
      <w:bodyDiv w:val="1"/>
      <w:marLeft w:val="0"/>
      <w:marRight w:val="0"/>
      <w:marTop w:val="0"/>
      <w:marBottom w:val="0"/>
      <w:divBdr>
        <w:top w:val="none" w:sz="0" w:space="0" w:color="auto"/>
        <w:left w:val="none" w:sz="0" w:space="0" w:color="auto"/>
        <w:bottom w:val="none" w:sz="0" w:space="0" w:color="auto"/>
        <w:right w:val="none" w:sz="0" w:space="0" w:color="auto"/>
      </w:divBdr>
    </w:div>
    <w:div w:id="1572158373">
      <w:bodyDiv w:val="1"/>
      <w:marLeft w:val="0"/>
      <w:marRight w:val="0"/>
      <w:marTop w:val="0"/>
      <w:marBottom w:val="0"/>
      <w:divBdr>
        <w:top w:val="none" w:sz="0" w:space="0" w:color="auto"/>
        <w:left w:val="none" w:sz="0" w:space="0" w:color="auto"/>
        <w:bottom w:val="none" w:sz="0" w:space="0" w:color="auto"/>
        <w:right w:val="none" w:sz="0" w:space="0" w:color="auto"/>
      </w:divBdr>
    </w:div>
    <w:div w:id="16702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EB729-AA09-4747-BB5F-6746E39F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6712</Words>
  <Characters>38265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2017-11-22T14:39:00Z</dcterms:created>
  <dcterms:modified xsi:type="dcterms:W3CDTF">2019-12-12T07:46:00Z</dcterms:modified>
</cp:coreProperties>
</file>