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94" w:rsidRDefault="00BC4694" w:rsidP="00884387">
      <w:pPr>
        <w:jc w:val="both"/>
      </w:pPr>
    </w:p>
    <w:p w:rsidR="00BC4694" w:rsidRPr="00E62E5A" w:rsidRDefault="00BC4694" w:rsidP="00884387">
      <w:pPr>
        <w:jc w:val="both"/>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BC4694" w:rsidRPr="000C0133" w:rsidTr="00884387">
        <w:trPr>
          <w:trHeight w:val="2203"/>
        </w:trPr>
        <w:tc>
          <w:tcPr>
            <w:tcW w:w="3258" w:type="dxa"/>
            <w:shd w:val="clear" w:color="auto" w:fill="C0C0C0"/>
          </w:tcPr>
          <w:p w:rsidR="00BC4694" w:rsidRPr="00B564E2" w:rsidRDefault="00BC4694" w:rsidP="00884387">
            <w:pPr>
              <w:spacing w:after="0" w:line="240" w:lineRule="auto"/>
              <w:jc w:val="both"/>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BC4694" w:rsidRPr="000C0133" w:rsidRDefault="00BC4694" w:rsidP="00884387">
            <w:pPr>
              <w:spacing w:after="0" w:line="240" w:lineRule="auto"/>
              <w:jc w:val="both"/>
              <w:rPr>
                <w:color w:val="000000"/>
              </w:rPr>
            </w:pPr>
          </w:p>
        </w:tc>
        <w:tc>
          <w:tcPr>
            <w:tcW w:w="4050" w:type="dxa"/>
            <w:shd w:val="clear" w:color="auto" w:fill="C0C0C0"/>
          </w:tcPr>
          <w:p w:rsidR="00BC4694" w:rsidRPr="000C0133" w:rsidRDefault="00BC4694" w:rsidP="00884387">
            <w:pPr>
              <w:spacing w:after="0" w:line="240" w:lineRule="auto"/>
              <w:jc w:val="both"/>
              <w:rPr>
                <w:rFonts w:ascii="Sylfaen" w:hAnsi="Sylfaen"/>
                <w:b/>
                <w:bCs/>
                <w:color w:val="000080"/>
                <w:sz w:val="20"/>
                <w:szCs w:val="20"/>
              </w:rPr>
            </w:pPr>
          </w:p>
          <w:p w:rsidR="00BC4694" w:rsidRPr="000C0133" w:rsidRDefault="00BC4694" w:rsidP="00884387">
            <w:pPr>
              <w:spacing w:after="0" w:line="240" w:lineRule="auto"/>
              <w:jc w:val="both"/>
              <w:rPr>
                <w:rFonts w:ascii="Sylfaen" w:hAnsi="Sylfaen"/>
                <w:b/>
                <w:bCs/>
                <w:color w:val="000080"/>
                <w:sz w:val="20"/>
                <w:szCs w:val="20"/>
              </w:rPr>
            </w:pPr>
          </w:p>
          <w:p w:rsidR="00BC4694" w:rsidRPr="000C0133" w:rsidRDefault="00BC4694" w:rsidP="00884387">
            <w:pPr>
              <w:spacing w:after="0" w:line="240" w:lineRule="auto"/>
              <w:jc w:val="both"/>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BC4694" w:rsidRPr="000C0133" w:rsidRDefault="00BC4694" w:rsidP="00884387">
            <w:pPr>
              <w:spacing w:after="0" w:line="240" w:lineRule="auto"/>
              <w:jc w:val="both"/>
              <w:rPr>
                <w:rFonts w:ascii="Sylfaen" w:hAnsi="Sylfaen"/>
                <w:b/>
                <w:bCs/>
                <w:color w:val="000080"/>
                <w:sz w:val="20"/>
                <w:szCs w:val="20"/>
              </w:rPr>
            </w:pPr>
          </w:p>
          <w:p w:rsidR="00BC4694" w:rsidRPr="000C0133" w:rsidRDefault="00BC4694" w:rsidP="00884387">
            <w:pPr>
              <w:spacing w:after="0" w:line="240" w:lineRule="auto"/>
              <w:jc w:val="both"/>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BC4694" w:rsidRPr="000C0133" w:rsidRDefault="00BC4694" w:rsidP="00884387">
            <w:pPr>
              <w:spacing w:after="0" w:line="240" w:lineRule="auto"/>
              <w:jc w:val="both"/>
              <w:rPr>
                <w:rFonts w:ascii="Sylfaen" w:hAnsi="Sylfaen"/>
                <w:b/>
                <w:bCs/>
                <w:color w:val="000080"/>
                <w:sz w:val="20"/>
                <w:szCs w:val="20"/>
              </w:rPr>
            </w:pPr>
          </w:p>
        </w:tc>
      </w:tr>
      <w:tr w:rsidR="00BC4694" w:rsidRPr="00593908" w:rsidTr="00884387">
        <w:trPr>
          <w:trHeight w:val="890"/>
        </w:trPr>
        <w:tc>
          <w:tcPr>
            <w:tcW w:w="10998" w:type="dxa"/>
            <w:gridSpan w:val="3"/>
            <w:shd w:val="clear" w:color="auto" w:fill="808080"/>
            <w:vAlign w:val="center"/>
          </w:tcPr>
          <w:p w:rsidR="00BC4694" w:rsidRPr="00593908" w:rsidRDefault="00BC4694" w:rsidP="00884387">
            <w:pPr>
              <w:spacing w:after="0" w:line="240" w:lineRule="auto"/>
              <w:jc w:val="both"/>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BC4694" w:rsidRPr="000C0133" w:rsidTr="00884387">
        <w:trPr>
          <w:trHeight w:val="1682"/>
        </w:trPr>
        <w:tc>
          <w:tcPr>
            <w:tcW w:w="10998" w:type="dxa"/>
            <w:gridSpan w:val="3"/>
            <w:tcBorders>
              <w:left w:val="nil"/>
              <w:right w:val="nil"/>
            </w:tcBorders>
            <w:shd w:val="clear" w:color="auto" w:fill="BFBFBF"/>
            <w:vAlign w:val="center"/>
          </w:tcPr>
          <w:p w:rsidR="00BC4694" w:rsidRPr="000C0133" w:rsidRDefault="00BC4694" w:rsidP="00884387">
            <w:pPr>
              <w:spacing w:after="0" w:line="240" w:lineRule="auto"/>
              <w:jc w:val="both"/>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BC4694" w:rsidRPr="000C0133" w:rsidTr="00884387">
        <w:trPr>
          <w:trHeight w:val="1340"/>
        </w:trPr>
        <w:tc>
          <w:tcPr>
            <w:tcW w:w="10998" w:type="dxa"/>
            <w:gridSpan w:val="3"/>
            <w:shd w:val="clear" w:color="auto" w:fill="BFBFBF"/>
            <w:vAlign w:val="center"/>
          </w:tcPr>
          <w:p w:rsidR="00BC4694" w:rsidRPr="000C0133" w:rsidRDefault="00BC4694" w:rsidP="00884387">
            <w:pPr>
              <w:spacing w:after="0" w:line="240" w:lineRule="auto"/>
              <w:jc w:val="both"/>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BC4694" w:rsidRPr="000C0133" w:rsidTr="00884387">
        <w:tc>
          <w:tcPr>
            <w:tcW w:w="10998" w:type="dxa"/>
            <w:gridSpan w:val="3"/>
            <w:tcBorders>
              <w:left w:val="nil"/>
              <w:right w:val="nil"/>
            </w:tcBorders>
            <w:shd w:val="clear" w:color="auto" w:fill="BFBFBF"/>
          </w:tcPr>
          <w:p w:rsidR="00BC4694" w:rsidRPr="000C0133" w:rsidRDefault="00BC4694" w:rsidP="00884387">
            <w:pPr>
              <w:spacing w:after="0" w:line="240" w:lineRule="auto"/>
              <w:jc w:val="both"/>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BC4694" w:rsidRDefault="00BC4694" w:rsidP="00884387">
      <w:pPr>
        <w:jc w:val="both"/>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p>
    <w:p w:rsidR="00BC4694" w:rsidRDefault="00BC4694" w:rsidP="00884387">
      <w:pPr>
        <w:jc w:val="both"/>
        <w:rPr>
          <w:rFonts w:ascii="Sylfaen" w:hAnsi="Sylfaen" w:cs="Sylfaen"/>
        </w:rPr>
      </w:pPr>
      <w:r>
        <w:rPr>
          <w:rFonts w:ascii="Sylfaen" w:hAnsi="Sylfaen" w:cs="Sylfaen"/>
        </w:rPr>
        <w:br w:type="page"/>
      </w:r>
    </w:p>
    <w:p w:rsidR="00BC4694" w:rsidRDefault="00BC4694" w:rsidP="00884387">
      <w:pPr>
        <w:jc w:val="both"/>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C4694" w:rsidRPr="000C0133" w:rsidTr="00884387">
        <w:tc>
          <w:tcPr>
            <w:tcW w:w="11016" w:type="dxa"/>
            <w:gridSpan w:val="3"/>
            <w:tcBorders>
              <w:left w:val="nil"/>
              <w:right w:val="nil"/>
            </w:tcBorders>
            <w:shd w:val="clear" w:color="auto" w:fill="D9D9D9"/>
          </w:tcPr>
          <w:p w:rsidR="00BC4694" w:rsidRPr="000C0133" w:rsidRDefault="00BC4694" w:rsidP="00884387">
            <w:pPr>
              <w:spacing w:before="360" w:after="360" w:line="240" w:lineRule="auto"/>
              <w:jc w:val="both"/>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C4694" w:rsidRPr="000C0133" w:rsidTr="00884387">
        <w:tc>
          <w:tcPr>
            <w:tcW w:w="3672" w:type="dxa"/>
          </w:tcPr>
          <w:p w:rsidR="00BC4694" w:rsidRPr="000C0133" w:rsidRDefault="00BC4694" w:rsidP="00884387">
            <w:pPr>
              <w:spacing w:after="0" w:line="240" w:lineRule="auto"/>
              <w:jc w:val="both"/>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C4694" w:rsidRPr="000C0133" w:rsidRDefault="00BC4694" w:rsidP="00884387">
            <w:pPr>
              <w:spacing w:after="0" w:line="240" w:lineRule="auto"/>
              <w:jc w:val="both"/>
              <w:rPr>
                <w:color w:val="000000"/>
              </w:rPr>
            </w:pPr>
          </w:p>
        </w:tc>
        <w:tc>
          <w:tcPr>
            <w:tcW w:w="3672" w:type="dxa"/>
          </w:tcPr>
          <w:p w:rsidR="00BC4694" w:rsidRPr="000C0133" w:rsidRDefault="00BC4694" w:rsidP="00884387">
            <w:pPr>
              <w:spacing w:after="0" w:line="240" w:lineRule="auto"/>
              <w:jc w:val="both"/>
              <w:rPr>
                <w:color w:val="000000"/>
              </w:rPr>
            </w:pPr>
          </w:p>
        </w:tc>
      </w:tr>
      <w:tr w:rsidR="00BC4694" w:rsidRPr="000C0133" w:rsidTr="00884387">
        <w:tc>
          <w:tcPr>
            <w:tcW w:w="3672" w:type="dxa"/>
            <w:tcBorders>
              <w:left w:val="nil"/>
              <w:right w:val="nil"/>
            </w:tcBorders>
            <w:shd w:val="clear" w:color="auto" w:fill="D9D9D9"/>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C4694" w:rsidRPr="00B04FC9" w:rsidRDefault="00BC4694" w:rsidP="00884387">
            <w:pPr>
              <w:spacing w:after="0" w:line="240" w:lineRule="auto"/>
              <w:jc w:val="both"/>
              <w:rPr>
                <w:rFonts w:ascii="Sylfaen" w:hAnsi="Sylfaen"/>
                <w:color w:val="000000"/>
                <w:lang w:val="ka-GE"/>
              </w:rPr>
            </w:pPr>
          </w:p>
        </w:tc>
        <w:tc>
          <w:tcPr>
            <w:tcW w:w="3672" w:type="dxa"/>
            <w:tcBorders>
              <w:left w:val="nil"/>
              <w:right w:val="nil"/>
            </w:tcBorders>
            <w:shd w:val="clear" w:color="auto" w:fill="D9D9D9"/>
          </w:tcPr>
          <w:p w:rsidR="00BC4694" w:rsidRPr="000C0133" w:rsidRDefault="00BC4694" w:rsidP="00884387">
            <w:pPr>
              <w:spacing w:after="0" w:line="240" w:lineRule="auto"/>
              <w:jc w:val="both"/>
              <w:rPr>
                <w:color w:val="000000"/>
              </w:rPr>
            </w:pPr>
          </w:p>
        </w:tc>
      </w:tr>
      <w:tr w:rsidR="00BC4694" w:rsidRPr="000C0133" w:rsidTr="00884387">
        <w:tc>
          <w:tcPr>
            <w:tcW w:w="3672" w:type="dxa"/>
            <w:tcBorders>
              <w:right w:val="single" w:sz="4" w:space="0" w:color="auto"/>
            </w:tcBorders>
          </w:tcPr>
          <w:p w:rsidR="00BC4694" w:rsidRPr="000C0133" w:rsidRDefault="00BC4694" w:rsidP="00884387">
            <w:pPr>
              <w:spacing w:after="0" w:line="240" w:lineRule="auto"/>
              <w:jc w:val="both"/>
              <w:rPr>
                <w:rFonts w:ascii="Sylfaen" w:hAnsi="Sylfaen"/>
                <w:color w:val="000000"/>
                <w:lang w:val="ka-GE"/>
              </w:rPr>
            </w:pPr>
            <w:r>
              <w:rPr>
                <w:rFonts w:ascii="Sylfaen" w:hAnsi="Sylfaen"/>
                <w:color w:val="000000"/>
                <w:lang w:val="ka-GE"/>
              </w:rPr>
              <w:t>საქართველოს სახალხო დამცველი</w:t>
            </w:r>
          </w:p>
        </w:tc>
        <w:tc>
          <w:tcPr>
            <w:tcW w:w="3672" w:type="dxa"/>
            <w:tcBorders>
              <w:top w:val="nil"/>
              <w:left w:val="single" w:sz="4" w:space="0" w:color="auto"/>
              <w:bottom w:val="nil"/>
              <w:right w:val="single" w:sz="4" w:space="0" w:color="auto"/>
            </w:tcBorders>
          </w:tcPr>
          <w:p w:rsidR="00BC4694" w:rsidRPr="000C0133" w:rsidRDefault="00AD47DC" w:rsidP="00884387">
            <w:pPr>
              <w:spacing w:after="0" w:line="240" w:lineRule="auto"/>
              <w:jc w:val="both"/>
              <w:rPr>
                <w:color w:val="000000"/>
              </w:rPr>
            </w:pPr>
            <w:r>
              <w:rPr>
                <w:color w:val="000000"/>
              </w:rPr>
              <w:fldChar w:fldCharType="begin">
                <w:ffData>
                  <w:name w:val="Text2"/>
                  <w:enabled/>
                  <w:calcOnExit w:val="0"/>
                  <w:textInput/>
                </w:ffData>
              </w:fldChar>
            </w:r>
            <w:bookmarkStart w:id="0" w:name="Text2"/>
            <w:r w:rsidR="00BC4694">
              <w:rPr>
                <w:color w:val="000000"/>
              </w:rPr>
              <w:instrText xml:space="preserve"> FORMTEXT </w:instrText>
            </w:r>
            <w:r>
              <w:rPr>
                <w:color w:val="000000"/>
              </w:rPr>
            </w:r>
            <w:r>
              <w:rPr>
                <w:color w:val="000000"/>
              </w:rPr>
              <w:fldChar w:fldCharType="separate"/>
            </w:r>
            <w:r w:rsidR="00BC4694">
              <w:rPr>
                <w:noProof/>
                <w:color w:val="000000"/>
              </w:rPr>
              <w:t> </w:t>
            </w:r>
            <w:r w:rsidR="00BC4694">
              <w:rPr>
                <w:noProof/>
                <w:color w:val="000000"/>
              </w:rPr>
              <w:t> </w:t>
            </w:r>
            <w:r w:rsidR="00BC4694">
              <w:rPr>
                <w:noProof/>
                <w:color w:val="000000"/>
              </w:rPr>
              <w:t> </w:t>
            </w:r>
            <w:r w:rsidR="00BC4694">
              <w:rPr>
                <w:noProof/>
                <w:color w:val="000000"/>
              </w:rPr>
              <w:t> </w:t>
            </w:r>
            <w:r w:rsidR="00BC4694">
              <w:rPr>
                <w:noProof/>
                <w:color w:val="000000"/>
              </w:rPr>
              <w:t> </w:t>
            </w:r>
            <w:r>
              <w:rPr>
                <w:color w:val="000000"/>
              </w:rPr>
              <w:fldChar w:fldCharType="end"/>
            </w:r>
            <w:bookmarkEnd w:id="0"/>
          </w:p>
        </w:tc>
        <w:tc>
          <w:tcPr>
            <w:tcW w:w="3672" w:type="dxa"/>
            <w:tcBorders>
              <w:left w:val="single" w:sz="4" w:space="0" w:color="auto"/>
            </w:tcBorders>
          </w:tcPr>
          <w:p w:rsidR="00BC4694" w:rsidRPr="000C0133" w:rsidRDefault="00BC4694" w:rsidP="00884387">
            <w:pPr>
              <w:spacing w:after="0" w:line="240" w:lineRule="auto"/>
              <w:jc w:val="both"/>
              <w:rPr>
                <w:color w:val="000000"/>
              </w:rPr>
            </w:pPr>
          </w:p>
        </w:tc>
      </w:tr>
      <w:tr w:rsidR="00BC4694" w:rsidRPr="000C0133" w:rsidTr="00884387">
        <w:tc>
          <w:tcPr>
            <w:tcW w:w="3672" w:type="dxa"/>
            <w:tcBorders>
              <w:left w:val="nil"/>
              <w:right w:val="nil"/>
            </w:tcBorders>
            <w:shd w:val="clear" w:color="auto" w:fill="D9D9D9"/>
          </w:tcPr>
          <w:p w:rsidR="00BC4694" w:rsidRPr="000C0133" w:rsidRDefault="00BC4694" w:rsidP="00884387">
            <w:pPr>
              <w:spacing w:after="0" w:line="240" w:lineRule="auto"/>
              <w:jc w:val="both"/>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021D86" w:rsidRPr="000C0133" w:rsidTr="00884387">
        <w:tc>
          <w:tcPr>
            <w:tcW w:w="3672" w:type="dxa"/>
            <w:tcBorders>
              <w:right w:val="single" w:sz="4" w:space="0" w:color="auto"/>
            </w:tcBorders>
          </w:tcPr>
          <w:p w:rsidR="00021D86" w:rsidRPr="000C0133" w:rsidRDefault="00021D86" w:rsidP="00884387">
            <w:pPr>
              <w:spacing w:after="0" w:line="240" w:lineRule="auto"/>
              <w:jc w:val="both"/>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021D86" w:rsidRPr="000C0133" w:rsidRDefault="00021D86" w:rsidP="002D3342">
            <w:pPr>
              <w:spacing w:after="0" w:line="240" w:lineRule="auto"/>
              <w:rPr>
                <w:color w:val="000000"/>
              </w:rPr>
            </w:pPr>
          </w:p>
        </w:tc>
        <w:tc>
          <w:tcPr>
            <w:tcW w:w="3672" w:type="dxa"/>
            <w:tcBorders>
              <w:left w:val="single" w:sz="4" w:space="0" w:color="auto"/>
            </w:tcBorders>
          </w:tcPr>
          <w:p w:rsidR="00021D86" w:rsidRPr="000C0133" w:rsidRDefault="00021D86" w:rsidP="00884387">
            <w:pPr>
              <w:spacing w:after="0" w:line="240" w:lineRule="auto"/>
              <w:jc w:val="both"/>
              <w:rPr>
                <w:color w:val="000000"/>
              </w:rPr>
            </w:pPr>
          </w:p>
        </w:tc>
      </w:tr>
      <w:tr w:rsidR="00021D86" w:rsidRPr="000C0133" w:rsidTr="00884387">
        <w:tc>
          <w:tcPr>
            <w:tcW w:w="3672" w:type="dxa"/>
            <w:tcBorders>
              <w:left w:val="nil"/>
              <w:right w:val="nil"/>
            </w:tcBorders>
            <w:shd w:val="clear" w:color="auto" w:fill="D9D9D9"/>
          </w:tcPr>
          <w:p w:rsidR="00021D86" w:rsidRPr="000C0133" w:rsidRDefault="00021D86"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021D86" w:rsidRPr="000C0133" w:rsidRDefault="00021D86"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021D86" w:rsidRPr="000C0133" w:rsidRDefault="00021D86"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BC4694" w:rsidRPr="008F6EB3" w:rsidRDefault="00BC4694" w:rsidP="00884387">
      <w:pPr>
        <w:spacing w:after="0"/>
        <w:jc w:val="both"/>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2642"/>
      </w:tblGrid>
      <w:tr w:rsidR="00BC4694" w:rsidRPr="000C0133" w:rsidTr="002017A3">
        <w:tc>
          <w:tcPr>
            <w:tcW w:w="7344" w:type="dxa"/>
            <w:gridSpan w:val="2"/>
            <w:tcBorders>
              <w:left w:val="nil"/>
              <w:right w:val="nil"/>
            </w:tcBorders>
            <w:shd w:val="clear" w:color="auto" w:fill="D9D9D9"/>
          </w:tcPr>
          <w:p w:rsidR="00BC4694" w:rsidRPr="000C0133" w:rsidRDefault="00BC4694" w:rsidP="00884387">
            <w:pPr>
              <w:spacing w:after="0" w:line="240" w:lineRule="auto"/>
              <w:jc w:val="both"/>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2642" w:type="dxa"/>
            <w:tcBorders>
              <w:left w:val="nil"/>
              <w:right w:val="nil"/>
            </w:tcBorders>
            <w:shd w:val="clear" w:color="auto" w:fill="D9D9D9"/>
          </w:tcPr>
          <w:p w:rsidR="00BC4694" w:rsidRPr="000C0133" w:rsidRDefault="00BC4694" w:rsidP="00884387">
            <w:pPr>
              <w:spacing w:after="0" w:line="240" w:lineRule="auto"/>
              <w:jc w:val="both"/>
              <w:rPr>
                <w:color w:val="000000"/>
              </w:rPr>
            </w:pPr>
          </w:p>
        </w:tc>
      </w:tr>
      <w:tr w:rsidR="00BC4694" w:rsidRPr="000C0133" w:rsidTr="002017A3">
        <w:tc>
          <w:tcPr>
            <w:tcW w:w="3672" w:type="dxa"/>
            <w:tcBorders>
              <w:right w:val="single" w:sz="4" w:space="0" w:color="auto"/>
            </w:tcBorders>
          </w:tcPr>
          <w:p w:rsidR="00004246" w:rsidRDefault="00004246" w:rsidP="00884387">
            <w:pPr>
              <w:spacing w:after="0" w:line="240" w:lineRule="auto"/>
              <w:jc w:val="both"/>
              <w:rPr>
                <w:rFonts w:ascii="Sylfaen" w:hAnsi="Sylfaen"/>
                <w:color w:val="000000"/>
                <w:lang w:val="ka-GE"/>
              </w:rPr>
            </w:pPr>
            <w:r>
              <w:rPr>
                <w:rFonts w:ascii="Sylfaen" w:hAnsi="Sylfaen"/>
                <w:color w:val="000000"/>
                <w:lang w:val="ka-GE"/>
              </w:rPr>
              <w:t>გიორგი ბერაია</w:t>
            </w:r>
          </w:p>
          <w:p w:rsidR="00004246" w:rsidRDefault="00004246" w:rsidP="00884387">
            <w:pPr>
              <w:spacing w:after="0" w:line="240" w:lineRule="auto"/>
              <w:jc w:val="both"/>
              <w:rPr>
                <w:rFonts w:ascii="Sylfaen" w:hAnsi="Sylfaen"/>
                <w:color w:val="000000"/>
                <w:lang w:val="ka-GE"/>
              </w:rPr>
            </w:pPr>
            <w:r>
              <w:rPr>
                <w:rFonts w:ascii="Sylfaen" w:hAnsi="Sylfaen"/>
                <w:color w:val="000000"/>
                <w:lang w:val="ka-GE"/>
              </w:rPr>
              <w:t>ანანო ჭიაბრიშვილი</w:t>
            </w:r>
          </w:p>
          <w:p w:rsidR="00A97A04" w:rsidRDefault="00004246" w:rsidP="00884387">
            <w:pPr>
              <w:spacing w:after="0" w:line="240" w:lineRule="auto"/>
              <w:jc w:val="both"/>
              <w:rPr>
                <w:rFonts w:ascii="Sylfaen" w:hAnsi="Sylfaen"/>
                <w:color w:val="000000"/>
                <w:lang w:val="ka-GE"/>
              </w:rPr>
            </w:pPr>
            <w:r>
              <w:rPr>
                <w:rFonts w:ascii="Sylfaen" w:hAnsi="Sylfaen"/>
                <w:color w:val="000000"/>
                <w:lang w:val="ka-GE"/>
              </w:rPr>
              <w:t>მარიამ მხატვარი</w:t>
            </w:r>
          </w:p>
          <w:p w:rsidR="001E724A" w:rsidRPr="000C0133" w:rsidRDefault="001E724A" w:rsidP="00884387">
            <w:pPr>
              <w:spacing w:after="0" w:line="240" w:lineRule="auto"/>
              <w:jc w:val="both"/>
              <w:rPr>
                <w:rFonts w:ascii="Sylfaen" w:hAnsi="Sylfaen"/>
                <w:color w:val="000000"/>
                <w:lang w:val="ka-GE"/>
              </w:rPr>
            </w:pPr>
            <w:r>
              <w:rPr>
                <w:rFonts w:ascii="Sylfaen" w:hAnsi="Sylfaen"/>
                <w:color w:val="000000"/>
                <w:lang w:val="ka-GE"/>
              </w:rPr>
              <w:t>მიხეილ შარაშიძე</w:t>
            </w:r>
          </w:p>
        </w:tc>
        <w:tc>
          <w:tcPr>
            <w:tcW w:w="3672" w:type="dxa"/>
            <w:tcBorders>
              <w:top w:val="nil"/>
              <w:left w:val="single" w:sz="4" w:space="0" w:color="auto"/>
              <w:bottom w:val="nil"/>
              <w:right w:val="single" w:sz="4" w:space="0" w:color="auto"/>
            </w:tcBorders>
          </w:tcPr>
          <w:p w:rsidR="002017A3" w:rsidRPr="000C0133" w:rsidRDefault="002017A3" w:rsidP="00884387">
            <w:pPr>
              <w:spacing w:after="0" w:line="240" w:lineRule="auto"/>
              <w:jc w:val="both"/>
              <w:rPr>
                <w:color w:val="000000"/>
              </w:rPr>
            </w:pPr>
          </w:p>
        </w:tc>
        <w:tc>
          <w:tcPr>
            <w:tcW w:w="2642" w:type="dxa"/>
            <w:tcBorders>
              <w:left w:val="single" w:sz="4" w:space="0" w:color="auto"/>
            </w:tcBorders>
          </w:tcPr>
          <w:p w:rsidR="00B16093" w:rsidRPr="00A97A04" w:rsidRDefault="00B16093" w:rsidP="00884387">
            <w:pPr>
              <w:spacing w:after="0" w:line="240" w:lineRule="auto"/>
              <w:jc w:val="both"/>
              <w:rPr>
                <w:rFonts w:ascii="Helvetica" w:hAnsi="Helvetica" w:cs="Helvetica"/>
                <w:color w:val="000000"/>
                <w:lang w:val="ka-GE"/>
              </w:rPr>
            </w:pPr>
          </w:p>
        </w:tc>
      </w:tr>
      <w:tr w:rsidR="00BC4694" w:rsidRPr="000C0133" w:rsidTr="002017A3">
        <w:tc>
          <w:tcPr>
            <w:tcW w:w="3672" w:type="dxa"/>
            <w:tcBorders>
              <w:left w:val="nil"/>
              <w:right w:val="nil"/>
            </w:tcBorders>
            <w:shd w:val="clear" w:color="auto" w:fill="D9D9D9"/>
          </w:tcPr>
          <w:p w:rsidR="00BC4694" w:rsidRPr="000C0133" w:rsidRDefault="00BC4694" w:rsidP="00884387">
            <w:pPr>
              <w:spacing w:after="0" w:line="240" w:lineRule="auto"/>
              <w:jc w:val="both"/>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2642" w:type="dxa"/>
            <w:tcBorders>
              <w:left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BC4694" w:rsidRPr="000C0133" w:rsidTr="002017A3">
        <w:tc>
          <w:tcPr>
            <w:tcW w:w="3672" w:type="dxa"/>
            <w:tcBorders>
              <w:bottom w:val="nil"/>
              <w:right w:val="single" w:sz="4" w:space="0" w:color="auto"/>
            </w:tcBorders>
          </w:tcPr>
          <w:p w:rsidR="00BC4694" w:rsidRPr="000C0133" w:rsidRDefault="00BC4694" w:rsidP="00884387">
            <w:pPr>
              <w:spacing w:after="0" w:line="240" w:lineRule="auto"/>
              <w:jc w:val="both"/>
              <w:rPr>
                <w:rFonts w:ascii="Sylfaen" w:hAnsi="Sylfaen"/>
                <w:color w:val="000000"/>
                <w:lang w:val="ka-GE"/>
              </w:rPr>
            </w:pPr>
          </w:p>
        </w:tc>
        <w:tc>
          <w:tcPr>
            <w:tcW w:w="3672" w:type="dxa"/>
            <w:tcBorders>
              <w:top w:val="nil"/>
              <w:left w:val="single" w:sz="4" w:space="0" w:color="auto"/>
              <w:bottom w:val="nil"/>
              <w:right w:val="single" w:sz="4" w:space="0" w:color="auto"/>
            </w:tcBorders>
          </w:tcPr>
          <w:p w:rsidR="00BC4694" w:rsidRPr="000C0133" w:rsidRDefault="00BC4694" w:rsidP="00884387">
            <w:pPr>
              <w:spacing w:after="0" w:line="240" w:lineRule="auto"/>
              <w:jc w:val="both"/>
              <w:rPr>
                <w:color w:val="000000"/>
              </w:rPr>
            </w:pPr>
          </w:p>
        </w:tc>
        <w:tc>
          <w:tcPr>
            <w:tcW w:w="2642" w:type="dxa"/>
            <w:tcBorders>
              <w:left w:val="single" w:sz="4" w:space="0" w:color="auto"/>
              <w:bottom w:val="nil"/>
            </w:tcBorders>
          </w:tcPr>
          <w:p w:rsidR="00BC4694" w:rsidRPr="000C0133" w:rsidRDefault="00BC4694" w:rsidP="00884387">
            <w:pPr>
              <w:spacing w:after="0" w:line="240" w:lineRule="auto"/>
              <w:jc w:val="both"/>
              <w:rPr>
                <w:color w:val="000000"/>
              </w:rPr>
            </w:pPr>
          </w:p>
        </w:tc>
      </w:tr>
      <w:tr w:rsidR="00BC4694" w:rsidRPr="000C0133" w:rsidTr="002017A3">
        <w:tc>
          <w:tcPr>
            <w:tcW w:w="3672" w:type="dxa"/>
            <w:tcBorders>
              <w:top w:val="nil"/>
              <w:left w:val="nil"/>
              <w:bottom w:val="single" w:sz="4" w:space="0" w:color="auto"/>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2642" w:type="dxa"/>
            <w:tcBorders>
              <w:top w:val="nil"/>
              <w:left w:val="nil"/>
              <w:bottom w:val="single" w:sz="4" w:space="0" w:color="auto"/>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BC4694" w:rsidRPr="005D1233" w:rsidTr="002017A3">
        <w:tc>
          <w:tcPr>
            <w:tcW w:w="3672" w:type="dxa"/>
            <w:tcBorders>
              <w:top w:val="single" w:sz="4" w:space="0" w:color="auto"/>
              <w:bottom w:val="single" w:sz="4" w:space="0" w:color="auto"/>
            </w:tcBorders>
          </w:tcPr>
          <w:p w:rsidR="00BC4694" w:rsidRPr="001E724A" w:rsidRDefault="00BC4694" w:rsidP="00884387">
            <w:pPr>
              <w:spacing w:after="0" w:line="240" w:lineRule="auto"/>
              <w:jc w:val="both"/>
              <w:rPr>
                <w:rFonts w:ascii="Sylfaen" w:hAnsi="Sylfaen"/>
                <w:color w:val="000000"/>
                <w:lang w:val="ka-GE"/>
              </w:rPr>
            </w:pPr>
          </w:p>
        </w:tc>
        <w:tc>
          <w:tcPr>
            <w:tcW w:w="3672" w:type="dxa"/>
            <w:tcBorders>
              <w:top w:val="single" w:sz="4" w:space="0" w:color="auto"/>
              <w:bottom w:val="single" w:sz="4" w:space="0" w:color="auto"/>
            </w:tcBorders>
          </w:tcPr>
          <w:p w:rsidR="00B16093" w:rsidRPr="001E724A" w:rsidRDefault="00B16093" w:rsidP="002017A3">
            <w:pPr>
              <w:spacing w:after="0" w:line="240" w:lineRule="auto"/>
              <w:rPr>
                <w:rFonts w:ascii="Sylfaen" w:hAnsi="Sylfaen"/>
                <w:color w:val="000000"/>
                <w:lang w:val="ka-GE"/>
              </w:rPr>
            </w:pPr>
          </w:p>
        </w:tc>
        <w:tc>
          <w:tcPr>
            <w:tcW w:w="2642" w:type="dxa"/>
            <w:tcBorders>
              <w:top w:val="single" w:sz="4" w:space="0" w:color="auto"/>
              <w:bottom w:val="single" w:sz="4" w:space="0" w:color="auto"/>
            </w:tcBorders>
          </w:tcPr>
          <w:p w:rsidR="002017A3" w:rsidRPr="001E724A" w:rsidRDefault="002017A3" w:rsidP="00884387">
            <w:pPr>
              <w:spacing w:after="0" w:line="240" w:lineRule="auto"/>
              <w:jc w:val="both"/>
              <w:rPr>
                <w:rFonts w:ascii="Sylfaen" w:hAnsi="Sylfaen"/>
                <w:color w:val="000000"/>
                <w:lang w:val="ka-GE"/>
              </w:rPr>
            </w:pPr>
            <w:bookmarkStart w:id="2" w:name="_GoBack"/>
            <w:bookmarkEnd w:id="2"/>
          </w:p>
        </w:tc>
      </w:tr>
      <w:tr w:rsidR="00BC4694" w:rsidRPr="000C0133" w:rsidTr="002017A3">
        <w:tc>
          <w:tcPr>
            <w:tcW w:w="3672" w:type="dxa"/>
            <w:tcBorders>
              <w:top w:val="single" w:sz="4" w:space="0" w:color="auto"/>
              <w:left w:val="nil"/>
              <w:bottom w:val="nil"/>
              <w:right w:val="nil"/>
            </w:tcBorders>
            <w:shd w:val="clear" w:color="auto" w:fill="D9D9D9"/>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p>
        </w:tc>
        <w:tc>
          <w:tcPr>
            <w:tcW w:w="2642" w:type="dxa"/>
            <w:tcBorders>
              <w:top w:val="single" w:sz="4" w:space="0" w:color="auto"/>
              <w:left w:val="nil"/>
              <w:bottom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p>
        </w:tc>
      </w:tr>
      <w:tr w:rsidR="00BC4694" w:rsidRPr="000C0133" w:rsidTr="002017A3">
        <w:tc>
          <w:tcPr>
            <w:tcW w:w="3672" w:type="dxa"/>
            <w:tcBorders>
              <w:top w:val="nil"/>
              <w:right w:val="single" w:sz="4" w:space="0" w:color="auto"/>
            </w:tcBorders>
          </w:tcPr>
          <w:p w:rsidR="00BC4694" w:rsidRDefault="00BC4694" w:rsidP="00884387">
            <w:pPr>
              <w:spacing w:after="0" w:line="240" w:lineRule="auto"/>
              <w:jc w:val="both"/>
              <w:rPr>
                <w:rFonts w:ascii="Sylfaen" w:hAnsi="Sylfaen"/>
                <w:noProof/>
                <w:color w:val="000000"/>
                <w:sz w:val="18"/>
                <w:szCs w:val="18"/>
              </w:rPr>
            </w:pPr>
            <w:r w:rsidRPr="00BC5047">
              <w:rPr>
                <w:rFonts w:ascii="Sylfaen" w:hAnsi="Sylfaen"/>
                <w:noProof/>
                <w:color w:val="000000"/>
                <w:sz w:val="18"/>
                <w:szCs w:val="18"/>
                <w:lang w:val="ka-GE"/>
              </w:rPr>
              <w:t>საქართველოს პარლამენტი</w:t>
            </w:r>
          </w:p>
          <w:p w:rsidR="00BC4694" w:rsidRPr="000C0133" w:rsidRDefault="00BC4694" w:rsidP="00884387">
            <w:pPr>
              <w:spacing w:after="0" w:line="240" w:lineRule="auto"/>
              <w:jc w:val="both"/>
              <w:rPr>
                <w:rFonts w:ascii="Sylfaen" w:hAnsi="Sylfaen"/>
                <w:color w:val="000000"/>
                <w:sz w:val="18"/>
                <w:szCs w:val="18"/>
                <w:lang w:val="ka-GE"/>
              </w:rPr>
            </w:pPr>
          </w:p>
        </w:tc>
        <w:tc>
          <w:tcPr>
            <w:tcW w:w="3672" w:type="dxa"/>
            <w:tcBorders>
              <w:top w:val="nil"/>
              <w:left w:val="single" w:sz="4" w:space="0" w:color="auto"/>
              <w:bottom w:val="nil"/>
              <w:right w:val="single" w:sz="4" w:space="0" w:color="auto"/>
            </w:tcBorders>
          </w:tcPr>
          <w:p w:rsidR="00BC4694" w:rsidRDefault="00BC4694" w:rsidP="00884387">
            <w:pPr>
              <w:spacing w:after="0" w:line="240" w:lineRule="auto"/>
              <w:jc w:val="both"/>
              <w:rPr>
                <w:rFonts w:ascii="Sylfaen" w:hAnsi="Sylfaen"/>
                <w:noProof/>
                <w:color w:val="000000"/>
                <w:sz w:val="18"/>
                <w:szCs w:val="18"/>
                <w:lang w:val="ka-GE"/>
              </w:rPr>
            </w:pPr>
            <w:r w:rsidRPr="00BC5047">
              <w:rPr>
                <w:rFonts w:ascii="Sylfaen" w:hAnsi="Sylfaen"/>
                <w:noProof/>
                <w:color w:val="000000"/>
                <w:sz w:val="18"/>
                <w:szCs w:val="18"/>
                <w:lang w:val="ka-GE"/>
              </w:rPr>
              <w:t>აბაშიძის ქ. 26, ქუთაისი, 4600</w:t>
            </w:r>
          </w:p>
          <w:p w:rsidR="00BC4694" w:rsidRPr="000C0133" w:rsidRDefault="00BC4694" w:rsidP="00884387">
            <w:pPr>
              <w:spacing w:after="0" w:line="240" w:lineRule="auto"/>
              <w:jc w:val="both"/>
              <w:rPr>
                <w:rFonts w:ascii="Sylfaen" w:hAnsi="Sylfaen"/>
                <w:color w:val="000000"/>
                <w:sz w:val="18"/>
                <w:szCs w:val="18"/>
                <w:lang w:val="ka-GE"/>
              </w:rPr>
            </w:pPr>
          </w:p>
        </w:tc>
        <w:tc>
          <w:tcPr>
            <w:tcW w:w="2642" w:type="dxa"/>
            <w:tcBorders>
              <w:top w:val="nil"/>
              <w:left w:val="single" w:sz="4" w:space="0" w:color="auto"/>
            </w:tcBorders>
          </w:tcPr>
          <w:p w:rsidR="00BC4694" w:rsidRPr="000C0133" w:rsidRDefault="00BC4694" w:rsidP="00884387">
            <w:pPr>
              <w:spacing w:after="0" w:line="240" w:lineRule="auto"/>
              <w:jc w:val="both"/>
              <w:rPr>
                <w:rFonts w:ascii="Sylfaen" w:hAnsi="Sylfaen"/>
                <w:color w:val="000000"/>
                <w:sz w:val="18"/>
                <w:szCs w:val="18"/>
                <w:lang w:val="ka-GE"/>
              </w:rPr>
            </w:pPr>
            <w:r w:rsidRPr="003A7E05">
              <w:rPr>
                <w:rFonts w:ascii="Sylfaen" w:hAnsi="Sylfaen"/>
                <w:noProof/>
                <w:color w:val="000000"/>
                <w:sz w:val="20"/>
                <w:szCs w:val="20"/>
                <w:lang w:val="ka-GE"/>
              </w:rPr>
              <w:t>(+995 32) 2 28 90 06</w:t>
            </w:r>
          </w:p>
        </w:tc>
      </w:tr>
      <w:tr w:rsidR="00BC4694" w:rsidRPr="000C0133" w:rsidTr="002017A3">
        <w:tc>
          <w:tcPr>
            <w:tcW w:w="3672" w:type="dxa"/>
            <w:tcBorders>
              <w:left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2642" w:type="dxa"/>
            <w:tcBorders>
              <w:left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BC4694" w:rsidRPr="000C0133" w:rsidTr="00884387">
        <w:tc>
          <w:tcPr>
            <w:tcW w:w="11016" w:type="dxa"/>
            <w:gridSpan w:val="4"/>
            <w:tcBorders>
              <w:left w:val="nil"/>
              <w:right w:val="nil"/>
            </w:tcBorders>
            <w:shd w:val="clear" w:color="auto" w:fill="D9D9D9"/>
          </w:tcPr>
          <w:p w:rsidR="00BC4694" w:rsidRPr="000C0133" w:rsidRDefault="00BC4694" w:rsidP="00884387">
            <w:pPr>
              <w:spacing w:after="0" w:line="240" w:lineRule="auto"/>
              <w:jc w:val="both"/>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BC4694" w:rsidRPr="000C0133" w:rsidTr="00884387">
        <w:tc>
          <w:tcPr>
            <w:tcW w:w="3672" w:type="dxa"/>
          </w:tcPr>
          <w:p w:rsidR="00BC4694" w:rsidRPr="00743FBC" w:rsidRDefault="00BC4694" w:rsidP="00884387">
            <w:pPr>
              <w:spacing w:after="0" w:line="240" w:lineRule="auto"/>
              <w:jc w:val="both"/>
              <w:rPr>
                <w:rFonts w:ascii="Sylfaen" w:hAnsi="Sylfaen"/>
                <w:b/>
                <w:color w:val="000000"/>
                <w:sz w:val="12"/>
                <w:szCs w:val="12"/>
                <w:lang w:val="ka-GE"/>
              </w:rPr>
            </w:pPr>
          </w:p>
        </w:tc>
        <w:tc>
          <w:tcPr>
            <w:tcW w:w="3672" w:type="dxa"/>
            <w:gridSpan w:val="2"/>
            <w:tcBorders>
              <w:bottom w:val="nil"/>
            </w:tcBorders>
          </w:tcPr>
          <w:p w:rsidR="00BC4694" w:rsidRPr="00743FBC" w:rsidRDefault="00BC4694" w:rsidP="00884387">
            <w:pPr>
              <w:spacing w:after="0" w:line="240" w:lineRule="auto"/>
              <w:jc w:val="both"/>
              <w:rPr>
                <w:color w:val="000000"/>
                <w:sz w:val="12"/>
                <w:szCs w:val="12"/>
              </w:rPr>
            </w:pPr>
          </w:p>
        </w:tc>
        <w:tc>
          <w:tcPr>
            <w:tcW w:w="3672" w:type="dxa"/>
          </w:tcPr>
          <w:p w:rsidR="00BC4694" w:rsidRPr="00743FBC" w:rsidRDefault="00BC4694" w:rsidP="00884387">
            <w:pPr>
              <w:spacing w:after="0" w:line="240" w:lineRule="auto"/>
              <w:jc w:val="both"/>
              <w:rPr>
                <w:color w:val="000000"/>
                <w:sz w:val="12"/>
                <w:szCs w:val="12"/>
              </w:rPr>
            </w:pPr>
          </w:p>
        </w:tc>
      </w:tr>
      <w:tr w:rsidR="00BC4694" w:rsidRPr="000C0133" w:rsidTr="00884387">
        <w:tc>
          <w:tcPr>
            <w:tcW w:w="11016" w:type="dxa"/>
            <w:gridSpan w:val="4"/>
            <w:tcBorders>
              <w:left w:val="nil"/>
              <w:right w:val="nil"/>
            </w:tcBorders>
            <w:shd w:val="clear" w:color="auto" w:fill="D9D9D9"/>
          </w:tcPr>
          <w:p w:rsidR="00BC4694" w:rsidRPr="000C0133" w:rsidRDefault="00BC4694" w:rsidP="00884387">
            <w:pPr>
              <w:spacing w:after="0" w:line="240" w:lineRule="auto"/>
              <w:jc w:val="both"/>
              <w:rPr>
                <w:color w:val="000000"/>
              </w:rPr>
            </w:pPr>
            <w:r w:rsidRPr="000C0133">
              <w:rPr>
                <w:rFonts w:ascii="Sylfaen" w:hAnsi="Sylfaen"/>
                <w:color w:val="000000"/>
                <w:lang w:val="ka-GE"/>
              </w:rPr>
              <w:t>ა) აქტის დასახელება</w:t>
            </w:r>
          </w:p>
        </w:tc>
      </w:tr>
      <w:tr w:rsidR="00BC4694" w:rsidRPr="000C0133" w:rsidTr="00884387">
        <w:tc>
          <w:tcPr>
            <w:tcW w:w="11016" w:type="dxa"/>
            <w:gridSpan w:val="4"/>
          </w:tcPr>
          <w:p w:rsidR="0020670F" w:rsidRPr="002017A3" w:rsidRDefault="0020670F" w:rsidP="00884387">
            <w:pPr>
              <w:spacing w:after="0" w:line="240" w:lineRule="auto"/>
              <w:jc w:val="both"/>
              <w:rPr>
                <w:rFonts w:ascii="Sylfaen" w:eastAsia="Times New Roman" w:hAnsi="Sylfaen"/>
                <w:sz w:val="24"/>
                <w:szCs w:val="24"/>
              </w:rPr>
            </w:pPr>
            <w:r w:rsidRPr="002017A3">
              <w:rPr>
                <w:rFonts w:ascii="Sylfaen" w:eastAsia="Times New Roman" w:hAnsi="Sylfaen"/>
                <w:b/>
                <w:bCs/>
                <w:color w:val="333333"/>
                <w:sz w:val="21"/>
                <w:szCs w:val="21"/>
                <w:shd w:val="clear" w:color="auto" w:fill="FFFFFF"/>
              </w:rPr>
              <w:t>„საქართველოს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ცვლილების შეტანის თაობაზე</w:t>
            </w:r>
            <w:r w:rsidR="00A3659B" w:rsidRPr="002017A3">
              <w:rPr>
                <w:rFonts w:ascii="Sylfaen" w:eastAsia="Times New Roman" w:hAnsi="Sylfaen"/>
                <w:b/>
                <w:bCs/>
                <w:color w:val="333333"/>
                <w:sz w:val="21"/>
                <w:szCs w:val="21"/>
                <w:shd w:val="clear" w:color="auto" w:fill="FFFFFF"/>
              </w:rPr>
              <w:t xml:space="preserve"> </w:t>
            </w:r>
            <w:r w:rsidR="00A3659B" w:rsidRPr="002017A3">
              <w:rPr>
                <w:rFonts w:ascii="Sylfaen" w:eastAsia="Arial Unicode MS" w:hAnsi="Sylfaen" w:cs="Arial Unicode MS"/>
                <w:noProof/>
              </w:rPr>
              <w:t>N256-IIს,</w:t>
            </w:r>
          </w:p>
          <w:p w:rsidR="00BC4694" w:rsidRPr="00743FBC" w:rsidRDefault="00BC4694" w:rsidP="00884387">
            <w:pPr>
              <w:spacing w:after="0" w:line="240" w:lineRule="auto"/>
              <w:jc w:val="both"/>
              <w:rPr>
                <w:rFonts w:ascii="Sylfaen" w:hAnsi="Sylfaen"/>
                <w:color w:val="000000"/>
                <w:sz w:val="24"/>
                <w:szCs w:val="24"/>
                <w:lang w:val="ka-GE"/>
              </w:rPr>
            </w:pPr>
          </w:p>
        </w:tc>
      </w:tr>
      <w:tr w:rsidR="00BC4694" w:rsidRPr="000C0133" w:rsidTr="00884387">
        <w:trPr>
          <w:trHeight w:val="342"/>
        </w:trPr>
        <w:tc>
          <w:tcPr>
            <w:tcW w:w="5508" w:type="dxa"/>
            <w:gridSpan w:val="2"/>
            <w:tcBorders>
              <w:left w:val="nil"/>
              <w:right w:val="single" w:sz="4" w:space="0" w:color="auto"/>
            </w:tcBorders>
            <w:shd w:val="clear" w:color="auto" w:fill="D9D9D9"/>
          </w:tcPr>
          <w:p w:rsidR="00BC4694" w:rsidRPr="000C0133" w:rsidRDefault="00BC4694" w:rsidP="00884387">
            <w:pPr>
              <w:spacing w:after="0" w:line="240" w:lineRule="auto"/>
              <w:jc w:val="both"/>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BC4694" w:rsidRPr="000C0133" w:rsidTr="00884387">
        <w:tc>
          <w:tcPr>
            <w:tcW w:w="5508" w:type="dxa"/>
            <w:gridSpan w:val="2"/>
            <w:tcBorders>
              <w:right w:val="single" w:sz="4" w:space="0" w:color="auto"/>
            </w:tcBorders>
          </w:tcPr>
          <w:p w:rsidR="00BC4694" w:rsidRDefault="00BC4694" w:rsidP="00884387">
            <w:pPr>
              <w:spacing w:after="0" w:line="240" w:lineRule="auto"/>
              <w:jc w:val="both"/>
              <w:rPr>
                <w:rFonts w:ascii="Sylfaen" w:hAnsi="Sylfaen" w:cs="Sylfaen"/>
                <w:color w:val="222222"/>
                <w:sz w:val="24"/>
                <w:szCs w:val="24"/>
                <w:lang w:val="ka-GE"/>
              </w:rPr>
            </w:pPr>
            <w:r>
              <w:rPr>
                <w:rFonts w:ascii="Sylfaen" w:hAnsi="Sylfaen" w:cs="Sylfaen"/>
                <w:color w:val="222222"/>
                <w:sz w:val="24"/>
                <w:szCs w:val="24"/>
                <w:lang w:val="ka-GE"/>
              </w:rPr>
              <w:t>საქართველოს პარლამენტი</w:t>
            </w:r>
          </w:p>
          <w:p w:rsidR="00BC4694" w:rsidRPr="00743FBC" w:rsidRDefault="00BC4694" w:rsidP="00884387">
            <w:pPr>
              <w:spacing w:after="0" w:line="240" w:lineRule="auto"/>
              <w:jc w:val="both"/>
              <w:rPr>
                <w:rFonts w:ascii="Sylfaen" w:hAnsi="Sylfaen"/>
                <w:color w:val="000000"/>
                <w:sz w:val="24"/>
                <w:szCs w:val="24"/>
                <w:lang w:val="ka-GE"/>
              </w:rPr>
            </w:pPr>
          </w:p>
        </w:tc>
        <w:tc>
          <w:tcPr>
            <w:tcW w:w="5508" w:type="dxa"/>
            <w:gridSpan w:val="2"/>
            <w:tcBorders>
              <w:top w:val="nil"/>
              <w:left w:val="single" w:sz="4" w:space="0" w:color="auto"/>
              <w:bottom w:val="nil"/>
            </w:tcBorders>
          </w:tcPr>
          <w:p w:rsidR="00A97A04" w:rsidRPr="00A97A04" w:rsidRDefault="00A97A04" w:rsidP="00884387">
            <w:pPr>
              <w:spacing w:after="0" w:line="240" w:lineRule="auto"/>
              <w:jc w:val="both"/>
              <w:rPr>
                <w:rFonts w:ascii="Sylfaen" w:hAnsi="Sylfaen"/>
                <w:color w:val="000000"/>
                <w:sz w:val="18"/>
                <w:szCs w:val="18"/>
                <w:lang w:val="ka-GE"/>
              </w:rPr>
            </w:pPr>
            <w:r>
              <w:rPr>
                <w:rFonts w:ascii="Sylfaen" w:hAnsi="Sylfaen"/>
                <w:color w:val="000000"/>
                <w:sz w:val="18"/>
                <w:szCs w:val="18"/>
                <w:lang w:val="ka-GE"/>
              </w:rPr>
              <w:t>2017 წლის 8 თებერვალი/ 2017 წლის 13 თებერვალი</w:t>
            </w:r>
          </w:p>
          <w:p w:rsidR="00BC4694" w:rsidRDefault="00BC4694" w:rsidP="00884387">
            <w:pPr>
              <w:spacing w:after="0" w:line="240" w:lineRule="auto"/>
              <w:jc w:val="both"/>
              <w:rPr>
                <w:rFonts w:ascii="Sylfaen" w:hAnsi="Sylfaen" w:cs="Sylfaen"/>
                <w:color w:val="222222"/>
                <w:sz w:val="24"/>
                <w:szCs w:val="24"/>
                <w:lang w:val="ka-GE"/>
              </w:rPr>
            </w:pPr>
          </w:p>
          <w:p w:rsidR="00BC4694" w:rsidRPr="000C0133" w:rsidRDefault="00BC4694" w:rsidP="00884387">
            <w:pPr>
              <w:spacing w:after="0" w:line="240" w:lineRule="auto"/>
              <w:jc w:val="both"/>
              <w:rPr>
                <w:rFonts w:ascii="Sylfaen" w:hAnsi="Sylfaen"/>
                <w:color w:val="000000"/>
                <w:sz w:val="18"/>
                <w:szCs w:val="18"/>
                <w:lang w:val="ka-GE"/>
              </w:rPr>
            </w:pPr>
          </w:p>
        </w:tc>
      </w:tr>
      <w:tr w:rsidR="00BC4694" w:rsidRPr="000C0133" w:rsidTr="00884387">
        <w:tc>
          <w:tcPr>
            <w:tcW w:w="11016" w:type="dxa"/>
            <w:gridSpan w:val="4"/>
            <w:tcBorders>
              <w:left w:val="nil"/>
              <w:right w:val="nil"/>
            </w:tcBorders>
            <w:shd w:val="clear" w:color="auto" w:fill="D9D9D9"/>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
              <w:t>შენიშვნა</w:t>
            </w:r>
            <w:r w:rsidRPr="00F36E00">
              <w:rPr>
                <w:rStyle w:val="af0"/>
                <w:sz w:val="26"/>
                <w:szCs w:val="26"/>
              </w:rPr>
              <w:t xml:space="preserve"> </w:t>
            </w:r>
            <w:r w:rsidRPr="00F36E00">
              <w:rPr>
                <w:rStyle w:val="af0"/>
                <w:rFonts w:ascii="Sylfaen" w:hAnsi="Sylfaen"/>
                <w:b/>
                <w:color w:val="548DD4"/>
                <w:sz w:val="26"/>
                <w:szCs w:val="26"/>
                <w:lang w:val="ka-GE"/>
              </w:rPr>
              <w:t>1</w:t>
            </w:r>
          </w:p>
        </w:tc>
      </w:tr>
      <w:tr w:rsidR="00BC4694" w:rsidRPr="000C0133" w:rsidTr="00884387">
        <w:tc>
          <w:tcPr>
            <w:tcW w:w="11016" w:type="dxa"/>
            <w:gridSpan w:val="4"/>
          </w:tcPr>
          <w:p w:rsidR="00A97A04" w:rsidRDefault="00A97A04" w:rsidP="00884387">
            <w:pPr>
              <w:jc w:val="both"/>
              <w:rPr>
                <w:rFonts w:ascii="Sylfaen" w:hAnsi="Sylfaen"/>
                <w:noProof/>
              </w:rPr>
            </w:pPr>
            <w:r w:rsidRPr="00827297">
              <w:rPr>
                <w:rFonts w:ascii="Sylfaen" w:eastAsia="Arial Unicode MS" w:hAnsi="Sylfaen" w:cs="Arial Unicode MS"/>
                <w:noProof/>
              </w:rPr>
              <w:t>საქართველოს კანონის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ცვლილების შეტანის თაობაზე</w:t>
            </w:r>
            <w:r w:rsidR="00A3659B">
              <w:rPr>
                <w:rFonts w:ascii="Sylfaen" w:eastAsia="Arial Unicode MS" w:hAnsi="Sylfaen" w:cs="Arial Unicode MS"/>
                <w:noProof/>
              </w:rPr>
              <w:t xml:space="preserve"> </w:t>
            </w:r>
            <w:r w:rsidR="00A3659B" w:rsidRPr="00827297">
              <w:rPr>
                <w:rFonts w:ascii="Sylfaen" w:eastAsia="Arial Unicode MS" w:hAnsi="Sylfaen" w:cs="Arial Unicode MS"/>
                <w:noProof/>
              </w:rPr>
              <w:t>N256-IIს</w:t>
            </w:r>
            <w:r w:rsidR="00A3659B">
              <w:rPr>
                <w:rFonts w:ascii="Sylfaen" w:eastAsia="Arial Unicode MS" w:hAnsi="Sylfaen" w:cs="Arial Unicode MS"/>
                <w:noProof/>
              </w:rPr>
              <w:t xml:space="preserve">,  08/02/2017 </w:t>
            </w:r>
            <w:r w:rsidRPr="00827297">
              <w:rPr>
                <w:rFonts w:ascii="Sylfaen" w:eastAsia="Arial Unicode MS" w:hAnsi="Sylfaen" w:cs="Arial Unicode MS"/>
                <w:noProof/>
              </w:rPr>
              <w:t xml:space="preserve"> მე-2 </w:t>
            </w:r>
            <w:hyperlink r:id="rId10">
              <w:r w:rsidRPr="00827297">
                <w:rPr>
                  <w:rFonts w:ascii="Sylfaen" w:hAnsi="Sylfaen"/>
                  <w:noProof/>
                  <w:color w:val="1155CC"/>
                  <w:u w:val="single"/>
                </w:rPr>
                <w:t>მუხლი</w:t>
              </w:r>
            </w:hyperlink>
            <w:r w:rsidRPr="00827297">
              <w:rPr>
                <w:rFonts w:ascii="Sylfaen" w:hAnsi="Sylfaen"/>
                <w:noProof/>
              </w:rPr>
              <w:t>: „</w:t>
            </w:r>
            <w:r w:rsidRPr="00827297">
              <w:rPr>
                <w:rFonts w:ascii="Sylfaen" w:eastAsia="Arial Unicode MS" w:hAnsi="Sylfaen" w:cs="Arial Unicode MS"/>
                <w:b/>
                <w:noProof/>
              </w:rPr>
              <w:t>ა</w:t>
            </w:r>
            <w:r w:rsidRPr="00827297">
              <w:rPr>
                <w:rFonts w:ascii="Sylfaen" w:eastAsia="Arial Unicode MS" w:hAnsi="Sylfaen" w:cs="Arial Unicode MS"/>
                <w:b/>
                <w:i/>
                <w:noProof/>
              </w:rPr>
              <w:t xml:space="preserve">მ კანონის ამოქმედებამდე დაწყებული დისციპლინური საქმეების წარმოება, აგრეთვე ამ კანონის ამოქმედებამდე ჩადენილი დისციპლინური გადაცდომების საქმეთა წარმოება წარიმართოს და დასრულდეს ამ კანონის ამოქმედებამდე არსებული </w:t>
            </w:r>
            <w:r w:rsidRPr="00827297">
              <w:rPr>
                <w:rFonts w:ascii="Sylfaen" w:eastAsia="Arial Unicode MS" w:hAnsi="Sylfaen" w:cs="Arial Unicode MS"/>
                <w:b/>
                <w:i/>
                <w:noProof/>
              </w:rPr>
              <w:lastRenderedPageBreak/>
              <w:t>წესით“.</w:t>
            </w:r>
          </w:p>
          <w:p w:rsidR="00BC4694" w:rsidRPr="00743FBC" w:rsidRDefault="00BC4694" w:rsidP="00884387">
            <w:pPr>
              <w:spacing w:after="0" w:line="240" w:lineRule="auto"/>
              <w:jc w:val="both"/>
              <w:rPr>
                <w:rFonts w:ascii="Sylfaen" w:hAnsi="Sylfaen"/>
                <w:color w:val="000000"/>
                <w:sz w:val="24"/>
                <w:szCs w:val="24"/>
                <w:lang w:val="ka-GE"/>
              </w:rPr>
            </w:pPr>
          </w:p>
        </w:tc>
      </w:tr>
    </w:tbl>
    <w:p w:rsidR="00BC4694" w:rsidRDefault="00BC4694" w:rsidP="00884387">
      <w:pPr>
        <w:jc w:val="both"/>
        <w:rPr>
          <w:rFonts w:ascii="Sylfaen" w:hAnsi="Sylfaen"/>
          <w:lang w:val="ka-GE"/>
        </w:rPr>
      </w:pPr>
    </w:p>
    <w:p w:rsidR="00BC4694" w:rsidRPr="009F1EAB" w:rsidRDefault="00BC4694" w:rsidP="00884387">
      <w:pPr>
        <w:jc w:val="both"/>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BC4694" w:rsidRPr="000C0133" w:rsidTr="00884387">
        <w:tc>
          <w:tcPr>
            <w:tcW w:w="11016" w:type="dxa"/>
            <w:gridSpan w:val="2"/>
            <w:tcBorders>
              <w:left w:val="nil"/>
              <w:right w:val="nil"/>
            </w:tcBorders>
            <w:shd w:val="clear" w:color="auto" w:fill="D9D9D9"/>
          </w:tcPr>
          <w:p w:rsidR="00BC4694" w:rsidRPr="000C0133" w:rsidRDefault="00BC4694" w:rsidP="00884387">
            <w:pPr>
              <w:spacing w:after="0" w:line="240" w:lineRule="auto"/>
              <w:jc w:val="both"/>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BC4694" w:rsidRPr="000C0133" w:rsidTr="00884387">
        <w:tc>
          <w:tcPr>
            <w:tcW w:w="11016" w:type="dxa"/>
            <w:gridSpan w:val="2"/>
          </w:tcPr>
          <w:p w:rsidR="00BC4694" w:rsidRPr="00743FBC" w:rsidRDefault="00BC4694" w:rsidP="00884387">
            <w:pPr>
              <w:spacing w:after="0" w:line="240" w:lineRule="auto"/>
              <w:jc w:val="both"/>
              <w:rPr>
                <w:color w:val="000000"/>
                <w:sz w:val="12"/>
                <w:szCs w:val="12"/>
              </w:rPr>
            </w:pPr>
          </w:p>
        </w:tc>
      </w:tr>
      <w:tr w:rsidR="00BC4694" w:rsidRPr="000C0133" w:rsidTr="00884387">
        <w:tc>
          <w:tcPr>
            <w:tcW w:w="11016" w:type="dxa"/>
            <w:gridSpan w:val="2"/>
            <w:tcBorders>
              <w:left w:val="nil"/>
              <w:right w:val="nil"/>
            </w:tcBorders>
            <w:shd w:val="clear" w:color="auto" w:fill="D9D9D9"/>
          </w:tcPr>
          <w:p w:rsidR="00BC4694" w:rsidRPr="00050B91" w:rsidRDefault="00BC4694" w:rsidP="00884387">
            <w:pPr>
              <w:spacing w:after="0" w:line="240" w:lineRule="auto"/>
              <w:jc w:val="both"/>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BC4694" w:rsidRPr="000C0133" w:rsidTr="00884387">
        <w:tc>
          <w:tcPr>
            <w:tcW w:w="11016" w:type="dxa"/>
            <w:gridSpan w:val="2"/>
          </w:tcPr>
          <w:p w:rsidR="00BC4694" w:rsidRPr="000C0133" w:rsidRDefault="00BC4694" w:rsidP="00250B79">
            <w:pPr>
              <w:spacing w:after="0" w:line="240" w:lineRule="auto"/>
              <w:jc w:val="both"/>
              <w:rPr>
                <w:rFonts w:ascii="Sylfaen" w:hAnsi="Sylfaen"/>
                <w:color w:val="000000"/>
                <w:sz w:val="18"/>
                <w:szCs w:val="18"/>
                <w:lang w:val="ka-GE"/>
              </w:rPr>
            </w:pPr>
            <w:r>
              <w:rPr>
                <w:rFonts w:ascii="Sylfaen" w:hAnsi="Sylfaen"/>
                <w:color w:val="000000"/>
                <w:lang w:val="ka-GE"/>
              </w:rPr>
              <w:t>საქართველოს კონსტიტუციის მე-14 მუხლი</w:t>
            </w:r>
            <w:r w:rsidR="00250B79">
              <w:rPr>
                <w:rFonts w:ascii="Sylfaen" w:hAnsi="Sylfaen"/>
                <w:color w:val="000000"/>
                <w:lang w:val="ka-GE"/>
              </w:rPr>
              <w:t xml:space="preserve">. </w:t>
            </w:r>
          </w:p>
        </w:tc>
      </w:tr>
      <w:tr w:rsidR="00BC4694" w:rsidRPr="000C0133" w:rsidTr="00884387">
        <w:trPr>
          <w:trHeight w:val="342"/>
        </w:trPr>
        <w:tc>
          <w:tcPr>
            <w:tcW w:w="11016" w:type="dxa"/>
            <w:gridSpan w:val="2"/>
            <w:tcBorders>
              <w:left w:val="nil"/>
              <w:bottom w:val="single" w:sz="4" w:space="0" w:color="auto"/>
              <w:right w:val="nil"/>
            </w:tcBorders>
            <w:shd w:val="clear" w:color="auto" w:fill="D9D9D9"/>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f0"/>
                <w:rFonts w:ascii="Sylfaen" w:hAnsi="Sylfaen"/>
                <w:b/>
                <w:color w:val="548DD4"/>
                <w:sz w:val="26"/>
                <w:szCs w:val="26"/>
                <w:lang w:val="ka-GE"/>
              </w:rPr>
              <w:footnoteReference w:customMarkFollows="1" w:id="2"/>
              <w:t>შენიშვნა 2</w:t>
            </w:r>
          </w:p>
        </w:tc>
      </w:tr>
      <w:tr w:rsidR="00BC4694" w:rsidRPr="000C0133" w:rsidTr="00884387">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0C0133" w:rsidRDefault="00BC4694" w:rsidP="00884387">
            <w:pPr>
              <w:spacing w:after="0" w:line="240" w:lineRule="auto"/>
              <w:jc w:val="both"/>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BC4694" w:rsidRPr="000C0133" w:rsidTr="00884387">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97A04" w:rsidRDefault="00A97A04" w:rsidP="00884387">
            <w:pPr>
              <w:jc w:val="both"/>
              <w:rPr>
                <w:rFonts w:ascii="Sylfaen" w:hAnsi="Sylfaen"/>
                <w:noProof/>
              </w:rPr>
            </w:pPr>
            <w:r w:rsidRPr="00827297">
              <w:rPr>
                <w:rFonts w:ascii="Sylfaen" w:eastAsia="Arial Unicode MS" w:hAnsi="Sylfaen" w:cs="Arial Unicode MS"/>
                <w:noProof/>
              </w:rPr>
              <w:t>საქართველოს კანონის</w:t>
            </w:r>
            <w:r w:rsidR="00A3659B">
              <w:rPr>
                <w:rFonts w:ascii="Sylfaen" w:eastAsia="Arial Unicode MS" w:hAnsi="Sylfaen" w:cs="Arial Unicode MS"/>
                <w:noProof/>
              </w:rPr>
              <w:t xml:space="preserve"> </w:t>
            </w:r>
            <w:r w:rsidRPr="00827297">
              <w:rPr>
                <w:rFonts w:ascii="Sylfaen" w:eastAsia="Arial Unicode MS" w:hAnsi="Sylfaen" w:cs="Arial Unicode MS"/>
                <w:noProof/>
              </w:rPr>
              <w:t>„საქართველოს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ცვლილების შეტანის თაობაზე</w:t>
            </w:r>
            <w:r w:rsidR="00A3659B">
              <w:rPr>
                <w:rFonts w:ascii="Sylfaen" w:eastAsia="Arial Unicode MS" w:hAnsi="Sylfaen" w:cs="Arial Unicode MS"/>
                <w:noProof/>
              </w:rPr>
              <w:t xml:space="preserve"> </w:t>
            </w:r>
            <w:r w:rsidR="00A3659B" w:rsidRPr="00827297">
              <w:rPr>
                <w:rFonts w:ascii="Sylfaen" w:eastAsia="Arial Unicode MS" w:hAnsi="Sylfaen" w:cs="Arial Unicode MS"/>
                <w:noProof/>
              </w:rPr>
              <w:t>N256-IIს</w:t>
            </w:r>
            <w:r w:rsidR="00A3659B">
              <w:rPr>
                <w:rFonts w:ascii="Sylfaen" w:eastAsia="Arial Unicode MS" w:hAnsi="Sylfaen" w:cs="Arial Unicode MS"/>
                <w:noProof/>
              </w:rPr>
              <w:t xml:space="preserve">, </w:t>
            </w:r>
            <w:r w:rsidRPr="00827297">
              <w:rPr>
                <w:rFonts w:ascii="Sylfaen" w:eastAsia="Arial Unicode MS" w:hAnsi="Sylfaen" w:cs="Arial Unicode MS"/>
                <w:noProof/>
              </w:rPr>
              <w:t xml:space="preserve"> მე-2 </w:t>
            </w:r>
            <w:hyperlink r:id="rId11">
              <w:r w:rsidRPr="00827297">
                <w:rPr>
                  <w:rFonts w:ascii="Sylfaen" w:hAnsi="Sylfaen"/>
                  <w:noProof/>
                  <w:color w:val="1155CC"/>
                  <w:u w:val="single"/>
                </w:rPr>
                <w:t>მუხლი</w:t>
              </w:r>
            </w:hyperlink>
            <w:r w:rsidRPr="00827297">
              <w:rPr>
                <w:rFonts w:ascii="Sylfaen" w:hAnsi="Sylfaen"/>
                <w:noProof/>
              </w:rPr>
              <w:t>: „</w:t>
            </w:r>
            <w:r w:rsidRPr="00827297">
              <w:rPr>
                <w:rFonts w:ascii="Sylfaen" w:eastAsia="Arial Unicode MS" w:hAnsi="Sylfaen" w:cs="Arial Unicode MS"/>
                <w:b/>
                <w:noProof/>
              </w:rPr>
              <w:t>ა</w:t>
            </w:r>
            <w:r w:rsidRPr="00827297">
              <w:rPr>
                <w:rFonts w:ascii="Sylfaen" w:eastAsia="Arial Unicode MS" w:hAnsi="Sylfaen" w:cs="Arial Unicode MS"/>
                <w:b/>
                <w:i/>
                <w:noProof/>
              </w:rPr>
              <w:t>მ კანონის ამოქმედებამდე დაწყებული დისციპლინური საქმეების წარმოება, აგრეთვე ამ კანონის ამოქმედებამდე ჩადენილი დისციპლინური გადაცდომების საქმეთა წარმოება წარიმართოს და დასრულდეს ამ კანონის ამოქმედებამდე არსებული წესით“.</w:t>
            </w:r>
          </w:p>
          <w:p w:rsidR="00BC4694" w:rsidRPr="00743FBC" w:rsidRDefault="00BC4694" w:rsidP="00884387">
            <w:pPr>
              <w:spacing w:after="0" w:line="240" w:lineRule="auto"/>
              <w:jc w:val="both"/>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884387">
            <w:pPr>
              <w:spacing w:after="0" w:line="240" w:lineRule="auto"/>
              <w:jc w:val="both"/>
              <w:rPr>
                <w:rFonts w:ascii="Sylfaen" w:hAnsi="Sylfaen"/>
                <w:color w:val="000000"/>
                <w:sz w:val="24"/>
                <w:szCs w:val="24"/>
                <w:lang w:val="ka-GE"/>
              </w:rPr>
            </w:pPr>
            <w:r>
              <w:rPr>
                <w:rFonts w:ascii="Sylfaen" w:hAnsi="Sylfaen"/>
                <w:color w:val="000000"/>
                <w:lang w:val="ka-GE"/>
              </w:rPr>
              <w:t>საქართველოს კონსტიტუციის მე-1</w:t>
            </w:r>
            <w:r w:rsidR="00A97A04">
              <w:rPr>
                <w:rFonts w:ascii="Sylfaen" w:hAnsi="Sylfaen"/>
                <w:color w:val="000000"/>
                <w:lang w:val="ka-GE"/>
              </w:rPr>
              <w:t>4 მუხლი</w:t>
            </w:r>
          </w:p>
        </w:tc>
      </w:tr>
      <w:tr w:rsidR="00BC4694" w:rsidRPr="000C0133" w:rsidTr="0088438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884387">
            <w:pPr>
              <w:spacing w:after="0" w:line="240" w:lineRule="auto"/>
              <w:jc w:val="both"/>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BC4694" w:rsidP="00884387">
            <w:pPr>
              <w:spacing w:after="0" w:line="240" w:lineRule="auto"/>
              <w:jc w:val="both"/>
              <w:rPr>
                <w:rFonts w:ascii="Sylfaen" w:hAnsi="Sylfaen"/>
                <w:color w:val="000000"/>
                <w:sz w:val="24"/>
                <w:szCs w:val="24"/>
                <w:lang w:val="ka-GE"/>
              </w:rPr>
            </w:pPr>
          </w:p>
        </w:tc>
      </w:tr>
      <w:tr w:rsidR="00BC4694" w:rsidRPr="000C0133" w:rsidTr="0088438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D47DC" w:rsidP="00884387">
            <w:pPr>
              <w:spacing w:after="0" w:line="240" w:lineRule="auto"/>
              <w:jc w:val="both"/>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3" w:name="Text26"/>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D47DC" w:rsidP="00884387">
            <w:pPr>
              <w:spacing w:after="0" w:line="240" w:lineRule="auto"/>
              <w:jc w:val="both"/>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4" w:name="Text27"/>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4"/>
          </w:p>
        </w:tc>
      </w:tr>
      <w:tr w:rsidR="00BC4694" w:rsidRPr="000C0133" w:rsidTr="0088438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D47DC" w:rsidP="00884387">
            <w:pPr>
              <w:spacing w:after="0" w:line="240" w:lineRule="auto"/>
              <w:jc w:val="both"/>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5" w:name="Text28"/>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BC4694" w:rsidRPr="00743FBC" w:rsidRDefault="00AD47DC" w:rsidP="00884387">
            <w:pPr>
              <w:spacing w:after="0" w:line="240" w:lineRule="auto"/>
              <w:jc w:val="both"/>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6" w:name="Text29"/>
            <w:r w:rsidR="00BC469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sidR="00BC4694">
              <w:rPr>
                <w:rFonts w:ascii="Sylfaen" w:hAnsi="Sylfaen"/>
                <w:noProof/>
                <w:color w:val="000000"/>
                <w:sz w:val="24"/>
                <w:szCs w:val="24"/>
                <w:lang w:val="ka-GE"/>
              </w:rPr>
              <w:t> </w:t>
            </w:r>
            <w:r>
              <w:rPr>
                <w:rFonts w:ascii="Sylfaen" w:hAnsi="Sylfaen"/>
                <w:color w:val="000000"/>
                <w:sz w:val="24"/>
                <w:szCs w:val="24"/>
                <w:lang w:val="ka-GE"/>
              </w:rPr>
              <w:fldChar w:fldCharType="end"/>
            </w:r>
            <w:bookmarkEnd w:id="6"/>
          </w:p>
        </w:tc>
      </w:tr>
    </w:tbl>
    <w:p w:rsidR="00BC4694" w:rsidRDefault="00BC4694" w:rsidP="00884387">
      <w:pPr>
        <w:jc w:val="both"/>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BC4694" w:rsidRPr="000C0133" w:rsidTr="00884387">
        <w:tc>
          <w:tcPr>
            <w:tcW w:w="11016" w:type="dxa"/>
            <w:tcBorders>
              <w:left w:val="nil"/>
              <w:right w:val="nil"/>
            </w:tcBorders>
            <w:shd w:val="clear" w:color="auto" w:fill="D9D9D9"/>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f0"/>
                <w:rFonts w:ascii="Sylfaen" w:hAnsi="Sylfaen"/>
                <w:b/>
                <w:color w:val="548DD4"/>
                <w:sz w:val="26"/>
                <w:szCs w:val="26"/>
                <w:lang w:val="ka-GE"/>
              </w:rPr>
              <w:footnoteReference w:customMarkFollows="1" w:id="3"/>
              <w:t>შენიშვნა 3</w:t>
            </w:r>
          </w:p>
        </w:tc>
      </w:tr>
      <w:tr w:rsidR="00BC4694" w:rsidRPr="000C0133" w:rsidTr="00884387">
        <w:tc>
          <w:tcPr>
            <w:tcW w:w="11016" w:type="dxa"/>
          </w:tcPr>
          <w:p w:rsidR="00BC4694" w:rsidRPr="00743FBC" w:rsidRDefault="00BC4694" w:rsidP="00884387">
            <w:pPr>
              <w:spacing w:after="0" w:line="240" w:lineRule="auto"/>
              <w:jc w:val="both"/>
              <w:rPr>
                <w:rFonts w:ascii="Sylfaen" w:hAnsi="Sylfaen"/>
                <w:color w:val="000000"/>
                <w:sz w:val="24"/>
                <w:szCs w:val="24"/>
                <w:lang w:val="ka-GE"/>
              </w:rPr>
            </w:pPr>
            <w:r w:rsidRPr="00A364BF">
              <w:rPr>
                <w:rFonts w:ascii="Sylfaen" w:hAnsi="Sylfaen"/>
                <w:noProof/>
                <w:color w:val="000000"/>
                <w:sz w:val="24"/>
                <w:szCs w:val="24"/>
                <w:lang w:val="ka-GE"/>
              </w:rPr>
              <w:t>საქართველოს კონსტიტუციის 89-ე მუხლის პირველი პუქტი,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პუქტის "ბ" ქვეპუნქტი, "საკონსტიტუციო სამართალწარმოების შესახებ“ საქართველოს კანონის პირველი მუხლის მე-2 პუნქტი, "საქართველოს სახალხო დამცველის შესახებ" საქართველოს ორგანული კანონის 21–ე მუხლის "ი" ქვეპუნქტი.</w:t>
            </w:r>
          </w:p>
        </w:tc>
      </w:tr>
    </w:tbl>
    <w:p w:rsidR="00BC4694" w:rsidRDefault="00BC4694" w:rsidP="00884387">
      <w:pPr>
        <w:jc w:val="both"/>
        <w:rPr>
          <w:rFonts w:ascii="Sylfaen" w:hAnsi="Sylfaen"/>
          <w:lang w:val="ka-GE"/>
        </w:rPr>
      </w:pPr>
    </w:p>
    <w:p w:rsidR="00BC4694" w:rsidRPr="00D87B37" w:rsidRDefault="00BC4694" w:rsidP="00884387">
      <w:pPr>
        <w:jc w:val="both"/>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BC4694" w:rsidRPr="000C0133" w:rsidTr="00884387">
        <w:tc>
          <w:tcPr>
            <w:tcW w:w="11016" w:type="dxa"/>
            <w:tcBorders>
              <w:left w:val="nil"/>
              <w:right w:val="nil"/>
            </w:tcBorders>
            <w:shd w:val="clear" w:color="auto" w:fill="D9D9D9"/>
          </w:tcPr>
          <w:p w:rsidR="00BC4694" w:rsidRPr="000C0133" w:rsidRDefault="00BC4694" w:rsidP="00884387">
            <w:pPr>
              <w:spacing w:before="360" w:after="360" w:line="240" w:lineRule="auto"/>
              <w:jc w:val="both"/>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BC4694" w:rsidRPr="000C0133" w:rsidTr="00884387">
        <w:tc>
          <w:tcPr>
            <w:tcW w:w="11016" w:type="dxa"/>
          </w:tcPr>
          <w:p w:rsidR="00BC4694" w:rsidRPr="000C0133" w:rsidRDefault="00BC4694" w:rsidP="00884387">
            <w:pPr>
              <w:spacing w:before="120" w:after="120" w:line="240" w:lineRule="auto"/>
              <w:jc w:val="both"/>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BC4694" w:rsidRPr="000C0133" w:rsidTr="00884387">
        <w:tc>
          <w:tcPr>
            <w:tcW w:w="11016" w:type="dxa"/>
            <w:tcBorders>
              <w:left w:val="nil"/>
              <w:bottom w:val="nil"/>
              <w:right w:val="nil"/>
            </w:tcBorders>
            <w:shd w:val="clear" w:color="auto" w:fill="D9D9D9"/>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f0"/>
                <w:rFonts w:ascii="Sylfaen" w:hAnsi="Sylfaen"/>
                <w:b/>
                <w:color w:val="548DD4"/>
                <w:sz w:val="26"/>
                <w:szCs w:val="26"/>
                <w:lang w:val="ka-GE"/>
              </w:rPr>
              <w:footnoteReference w:customMarkFollows="1" w:id="4"/>
              <w:t>შენიშვნა 4</w:t>
            </w:r>
          </w:p>
        </w:tc>
      </w:tr>
      <w:tr w:rsidR="00BC4694" w:rsidRPr="000C0133" w:rsidTr="00884387">
        <w:trPr>
          <w:trHeight w:val="360"/>
        </w:trPr>
        <w:tc>
          <w:tcPr>
            <w:tcW w:w="11016" w:type="dxa"/>
            <w:tcBorders>
              <w:top w:val="nil"/>
              <w:bottom w:val="single" w:sz="4" w:space="0" w:color="auto"/>
            </w:tcBorders>
          </w:tcPr>
          <w:p w:rsidR="00BC4694" w:rsidRPr="00027535" w:rsidRDefault="00BC4694" w:rsidP="00884387">
            <w:pPr>
              <w:spacing w:after="0" w:line="240" w:lineRule="auto"/>
              <w:jc w:val="both"/>
              <w:rPr>
                <w:color w:val="000000"/>
                <w:sz w:val="24"/>
                <w:szCs w:val="24"/>
              </w:rPr>
            </w:pP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არსებობს</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სამართალწარმოების</w:t>
            </w:r>
            <w:r w:rsidRPr="00027535">
              <w:rPr>
                <w:color w:val="000000"/>
                <w:sz w:val="24"/>
                <w:szCs w:val="24"/>
              </w:rPr>
              <w:t xml:space="preserve"> </w:t>
            </w:r>
            <w:r w:rsidRPr="00027535">
              <w:rPr>
                <w:rFonts w:ascii="Sylfaen" w:hAnsi="Sylfaen" w:cs="Sylfaen"/>
                <w:color w:val="000000"/>
                <w:sz w:val="24"/>
                <w:szCs w:val="24"/>
              </w:rPr>
              <w:t>შესახებ</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კანონის</w:t>
            </w:r>
            <w:r w:rsidRPr="00027535">
              <w:rPr>
                <w:color w:val="000000"/>
                <w:sz w:val="24"/>
                <w:szCs w:val="24"/>
              </w:rPr>
              <w:t xml:space="preserve"> </w:t>
            </w:r>
            <w:r w:rsidRPr="00027535">
              <w:rPr>
                <w:rFonts w:ascii="Sylfaen" w:hAnsi="Sylfaen" w:cs="Sylfaen"/>
                <w:color w:val="000000"/>
                <w:sz w:val="24"/>
                <w:szCs w:val="24"/>
              </w:rPr>
              <w:t>მე</w:t>
            </w:r>
            <w:r w:rsidRPr="00027535">
              <w:rPr>
                <w:color w:val="000000"/>
                <w:sz w:val="24"/>
                <w:szCs w:val="24"/>
              </w:rPr>
              <w:t xml:space="preserve">–18 </w:t>
            </w:r>
            <w:r w:rsidRPr="00027535">
              <w:rPr>
                <w:rFonts w:ascii="Sylfaen" w:hAnsi="Sylfaen" w:cs="Sylfaen"/>
                <w:color w:val="000000"/>
                <w:sz w:val="24"/>
                <w:szCs w:val="24"/>
              </w:rPr>
              <w:t>მუხლით</w:t>
            </w:r>
            <w:r w:rsidRPr="00027535">
              <w:rPr>
                <w:color w:val="000000"/>
                <w:sz w:val="24"/>
                <w:szCs w:val="24"/>
              </w:rPr>
              <w:t xml:space="preserve"> </w:t>
            </w:r>
            <w:r w:rsidRPr="00027535">
              <w:rPr>
                <w:rFonts w:ascii="Sylfaen" w:hAnsi="Sylfaen" w:cs="Sylfaen"/>
                <w:color w:val="000000"/>
                <w:sz w:val="24"/>
                <w:szCs w:val="24"/>
              </w:rPr>
              <w:t>გათვალისწინებული</w:t>
            </w:r>
            <w:r w:rsidRPr="00027535">
              <w:rPr>
                <w:color w:val="000000"/>
                <w:sz w:val="24"/>
                <w:szCs w:val="24"/>
              </w:rPr>
              <w:t xml:space="preserve"> </w:t>
            </w:r>
            <w:r w:rsidRPr="00027535">
              <w:rPr>
                <w:rFonts w:ascii="Sylfaen" w:hAnsi="Sylfaen" w:cs="Sylfaen"/>
                <w:color w:val="000000"/>
                <w:sz w:val="24"/>
                <w:szCs w:val="24"/>
              </w:rPr>
              <w:t>რომელიმე</w:t>
            </w:r>
            <w:r w:rsidRPr="00027535">
              <w:rPr>
                <w:color w:val="000000"/>
                <w:sz w:val="24"/>
                <w:szCs w:val="24"/>
              </w:rPr>
              <w:t xml:space="preserve"> </w:t>
            </w:r>
            <w:r w:rsidRPr="00027535">
              <w:rPr>
                <w:rFonts w:ascii="Sylfaen" w:hAnsi="Sylfaen" w:cs="Sylfaen"/>
                <w:color w:val="000000"/>
                <w:sz w:val="24"/>
                <w:szCs w:val="24"/>
              </w:rPr>
              <w:t>საფუძველი</w:t>
            </w:r>
            <w:r w:rsidRPr="00027535">
              <w:rPr>
                <w:color w:val="000000"/>
                <w:sz w:val="24"/>
                <w:szCs w:val="24"/>
              </w:rPr>
              <w:t xml:space="preserve">, </w:t>
            </w:r>
            <w:r w:rsidRPr="00027535">
              <w:rPr>
                <w:rFonts w:ascii="Sylfaen" w:hAnsi="Sylfaen" w:cs="Sylfaen"/>
                <w:color w:val="000000"/>
                <w:sz w:val="24"/>
                <w:szCs w:val="24"/>
              </w:rPr>
              <w:t>რომელიც</w:t>
            </w:r>
            <w:r w:rsidRPr="00027535">
              <w:rPr>
                <w:color w:val="000000"/>
                <w:sz w:val="24"/>
                <w:szCs w:val="24"/>
              </w:rPr>
              <w:t xml:space="preserve"> </w:t>
            </w:r>
            <w:r w:rsidRPr="00027535">
              <w:rPr>
                <w:rFonts w:ascii="Sylfaen" w:hAnsi="Sylfaen" w:cs="Sylfaen"/>
                <w:color w:val="000000"/>
                <w:sz w:val="24"/>
                <w:szCs w:val="24"/>
              </w:rPr>
              <w:t>სარჩელის</w:t>
            </w:r>
            <w:r w:rsidRPr="00027535">
              <w:rPr>
                <w:color w:val="000000"/>
                <w:sz w:val="24"/>
                <w:szCs w:val="24"/>
              </w:rPr>
              <w:t xml:space="preserve"> </w:t>
            </w:r>
            <w:r w:rsidRPr="00027535">
              <w:rPr>
                <w:rFonts w:ascii="Sylfaen" w:hAnsi="Sylfaen" w:cs="Sylfaen"/>
                <w:color w:val="000000"/>
                <w:sz w:val="24"/>
                <w:szCs w:val="24"/>
              </w:rPr>
              <w:t>განსახილველად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მიღების</w:t>
            </w:r>
            <w:r w:rsidRPr="00027535">
              <w:rPr>
                <w:color w:val="000000"/>
                <w:sz w:val="24"/>
                <w:szCs w:val="24"/>
              </w:rPr>
              <w:t xml:space="preserve"> </w:t>
            </w:r>
            <w:r w:rsidRPr="00027535">
              <w:rPr>
                <w:rFonts w:ascii="Sylfaen" w:hAnsi="Sylfaen" w:cs="Sylfaen"/>
                <w:color w:val="000000"/>
                <w:sz w:val="24"/>
                <w:szCs w:val="24"/>
              </w:rPr>
              <w:t>წინაპირობა</w:t>
            </w:r>
            <w:r w:rsidRPr="00027535">
              <w:rPr>
                <w:color w:val="000000"/>
                <w:sz w:val="24"/>
                <w:szCs w:val="24"/>
              </w:rPr>
              <w:t xml:space="preserve"> </w:t>
            </w:r>
            <w:r w:rsidRPr="00027535">
              <w:rPr>
                <w:rFonts w:ascii="Sylfaen" w:hAnsi="Sylfaen" w:cs="Sylfaen"/>
                <w:color w:val="000000"/>
                <w:sz w:val="24"/>
                <w:szCs w:val="24"/>
              </w:rPr>
              <w:t>იქნებოდა</w:t>
            </w:r>
            <w:r w:rsidRPr="00027535">
              <w:rPr>
                <w:color w:val="000000"/>
                <w:sz w:val="24"/>
                <w:szCs w:val="24"/>
              </w:rPr>
              <w:t xml:space="preserve">. </w:t>
            </w:r>
            <w:r w:rsidRPr="00027535">
              <w:rPr>
                <w:rFonts w:ascii="Sylfaen" w:hAnsi="Sylfaen" w:cs="Sylfaen"/>
                <w:color w:val="000000"/>
                <w:sz w:val="24"/>
                <w:szCs w:val="24"/>
              </w:rPr>
              <w:t>კერძოდ</w:t>
            </w:r>
            <w:r>
              <w:rPr>
                <w:rFonts w:ascii="Sylfaen" w:hAnsi="Sylfaen" w:cs="Sylfaen"/>
                <w:color w:val="000000"/>
                <w:sz w:val="24"/>
                <w:szCs w:val="24"/>
              </w:rPr>
              <w:t>,</w:t>
            </w:r>
            <w:r w:rsidRPr="00027535">
              <w:rPr>
                <w:color w:val="000000"/>
                <w:sz w:val="24"/>
                <w:szCs w:val="24"/>
              </w:rPr>
              <w:t xml:space="preserve"> </w:t>
            </w:r>
            <w:r w:rsidRPr="00027535">
              <w:rPr>
                <w:rFonts w:ascii="Sylfaen" w:hAnsi="Sylfaen" w:cs="Sylfaen"/>
                <w:color w:val="000000"/>
                <w:sz w:val="24"/>
                <w:szCs w:val="24"/>
              </w:rPr>
              <w:t>სარჩელი</w:t>
            </w:r>
            <w:r w:rsidRPr="00027535">
              <w:rPr>
                <w:color w:val="000000"/>
                <w:sz w:val="24"/>
                <w:szCs w:val="24"/>
              </w:rPr>
              <w:t xml:space="preserve"> </w:t>
            </w:r>
            <w:r w:rsidRPr="00027535">
              <w:rPr>
                <w:rFonts w:ascii="Sylfaen" w:hAnsi="Sylfaen" w:cs="Sylfaen"/>
                <w:color w:val="000000"/>
                <w:sz w:val="24"/>
                <w:szCs w:val="24"/>
              </w:rPr>
              <w:t>შინაარსობრივად</w:t>
            </w:r>
            <w:r w:rsidRPr="00027535">
              <w:rPr>
                <w:color w:val="000000"/>
                <w:sz w:val="24"/>
                <w:szCs w:val="24"/>
              </w:rPr>
              <w:t xml:space="preserve"> </w:t>
            </w:r>
            <w:r w:rsidRPr="00027535">
              <w:rPr>
                <w:rFonts w:ascii="Sylfaen" w:hAnsi="Sylfaen" w:cs="Sylfaen"/>
                <w:color w:val="000000"/>
                <w:sz w:val="24"/>
                <w:szCs w:val="24"/>
              </w:rPr>
              <w:t>და</w:t>
            </w:r>
            <w:r w:rsidRPr="00027535">
              <w:rPr>
                <w:color w:val="000000"/>
                <w:sz w:val="24"/>
                <w:szCs w:val="24"/>
              </w:rPr>
              <w:t xml:space="preserve"> </w:t>
            </w:r>
            <w:r w:rsidRPr="00027535">
              <w:rPr>
                <w:rFonts w:ascii="Sylfaen" w:hAnsi="Sylfaen" w:cs="Sylfaen"/>
                <w:color w:val="000000"/>
                <w:sz w:val="24"/>
                <w:szCs w:val="24"/>
              </w:rPr>
              <w:t>ფორმალურად</w:t>
            </w:r>
            <w:r w:rsidRPr="00027535">
              <w:rPr>
                <w:color w:val="000000"/>
                <w:sz w:val="24"/>
                <w:szCs w:val="24"/>
              </w:rPr>
              <w:t xml:space="preserve"> </w:t>
            </w:r>
            <w:r w:rsidRPr="00027535">
              <w:rPr>
                <w:rFonts w:ascii="Sylfaen" w:hAnsi="Sylfaen" w:cs="Sylfaen"/>
                <w:color w:val="000000"/>
                <w:sz w:val="24"/>
                <w:szCs w:val="24"/>
              </w:rPr>
              <w:t>შეესაბამება</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კანონმდებლობის</w:t>
            </w:r>
            <w:r w:rsidRPr="00027535">
              <w:rPr>
                <w:color w:val="000000"/>
                <w:sz w:val="24"/>
                <w:szCs w:val="24"/>
              </w:rPr>
              <w:t xml:space="preserve"> </w:t>
            </w:r>
            <w:r w:rsidRPr="00027535">
              <w:rPr>
                <w:rFonts w:ascii="Sylfaen" w:hAnsi="Sylfaen" w:cs="Sylfaen"/>
                <w:color w:val="000000"/>
                <w:sz w:val="24"/>
                <w:szCs w:val="24"/>
              </w:rPr>
              <w:t>მოთხოვნებს</w:t>
            </w:r>
            <w:r w:rsidRPr="00027535">
              <w:rPr>
                <w:color w:val="000000"/>
                <w:sz w:val="24"/>
                <w:szCs w:val="24"/>
              </w:rPr>
              <w:t xml:space="preserve">, </w:t>
            </w:r>
            <w:r w:rsidRPr="00027535">
              <w:rPr>
                <w:rFonts w:ascii="Sylfaen" w:hAnsi="Sylfaen" w:cs="Sylfaen"/>
                <w:color w:val="000000"/>
                <w:sz w:val="24"/>
                <w:szCs w:val="24"/>
              </w:rPr>
              <w:t>შეტანილია</w:t>
            </w:r>
            <w:r w:rsidRPr="00027535">
              <w:rPr>
                <w:color w:val="000000"/>
                <w:sz w:val="24"/>
                <w:szCs w:val="24"/>
              </w:rPr>
              <w:t xml:space="preserve"> </w:t>
            </w:r>
            <w:r w:rsidRPr="00027535">
              <w:rPr>
                <w:rFonts w:ascii="Sylfaen" w:hAnsi="Sylfaen" w:cs="Sylfaen"/>
                <w:color w:val="000000"/>
                <w:sz w:val="24"/>
                <w:szCs w:val="24"/>
              </w:rPr>
              <w:t>უფლებამოსილი</w:t>
            </w:r>
            <w:r w:rsidRPr="00027535">
              <w:rPr>
                <w:color w:val="000000"/>
                <w:sz w:val="24"/>
                <w:szCs w:val="24"/>
              </w:rPr>
              <w:t xml:space="preserve"> </w:t>
            </w:r>
            <w:r w:rsidRPr="00027535">
              <w:rPr>
                <w:rFonts w:ascii="Sylfaen" w:hAnsi="Sylfaen" w:cs="Sylfaen"/>
                <w:color w:val="000000"/>
                <w:sz w:val="24"/>
                <w:szCs w:val="24"/>
              </w:rPr>
              <w:t>სუბიექტის</w:t>
            </w:r>
            <w:r w:rsidRPr="00027535">
              <w:rPr>
                <w:color w:val="000000"/>
                <w:sz w:val="24"/>
                <w:szCs w:val="24"/>
              </w:rPr>
              <w:t xml:space="preserve"> </w:t>
            </w:r>
            <w:r w:rsidRPr="00027535">
              <w:rPr>
                <w:rFonts w:ascii="Sylfaen" w:hAnsi="Sylfaen" w:cs="Sylfaen"/>
                <w:color w:val="000000"/>
                <w:sz w:val="24"/>
                <w:szCs w:val="24"/>
              </w:rPr>
              <w:t>მიერ</w:t>
            </w:r>
            <w:r w:rsidRPr="00027535">
              <w:rPr>
                <w:color w:val="000000"/>
                <w:sz w:val="24"/>
                <w:szCs w:val="24"/>
              </w:rPr>
              <w:t xml:space="preserve">, </w:t>
            </w:r>
            <w:r w:rsidRPr="00027535">
              <w:rPr>
                <w:rFonts w:ascii="Sylfaen" w:hAnsi="Sylfaen" w:cs="Sylfaen"/>
                <w:color w:val="000000"/>
                <w:sz w:val="24"/>
                <w:szCs w:val="24"/>
              </w:rPr>
              <w:t>საკითხი</w:t>
            </w:r>
            <w:r w:rsidRPr="00027535">
              <w:rPr>
                <w:color w:val="000000"/>
                <w:sz w:val="24"/>
                <w:szCs w:val="24"/>
              </w:rPr>
              <w:t xml:space="preserve"> </w:t>
            </w:r>
            <w:r w:rsidRPr="00027535">
              <w:rPr>
                <w:rFonts w:ascii="Sylfaen" w:hAnsi="Sylfaen" w:cs="Sylfaen"/>
                <w:color w:val="000000"/>
                <w:sz w:val="24"/>
                <w:szCs w:val="24"/>
              </w:rPr>
              <w:t>განსჯადია</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სასამართლოს</w:t>
            </w:r>
            <w:r w:rsidRPr="00027535">
              <w:rPr>
                <w:color w:val="000000"/>
                <w:sz w:val="24"/>
                <w:szCs w:val="24"/>
              </w:rPr>
              <w:t xml:space="preserve"> </w:t>
            </w:r>
            <w:r w:rsidRPr="00027535">
              <w:rPr>
                <w:rFonts w:ascii="Sylfaen" w:hAnsi="Sylfaen" w:cs="Sylfaen"/>
                <w:color w:val="000000"/>
                <w:sz w:val="24"/>
                <w:szCs w:val="24"/>
              </w:rPr>
              <w:t>მიერ</w:t>
            </w:r>
            <w:r w:rsidRPr="00027535">
              <w:rPr>
                <w:color w:val="000000"/>
                <w:sz w:val="24"/>
                <w:szCs w:val="24"/>
              </w:rPr>
              <w:t>.</w:t>
            </w:r>
          </w:p>
          <w:p w:rsidR="00BC4694" w:rsidRPr="00ED752D" w:rsidRDefault="00BC4694" w:rsidP="00884387">
            <w:pPr>
              <w:spacing w:after="0" w:line="240" w:lineRule="auto"/>
              <w:jc w:val="both"/>
              <w:rPr>
                <w:color w:val="000000"/>
                <w:sz w:val="24"/>
                <w:szCs w:val="24"/>
              </w:rPr>
            </w:pPr>
            <w:r w:rsidRPr="00027535">
              <w:rPr>
                <w:rFonts w:ascii="Sylfaen" w:hAnsi="Sylfaen" w:cs="Sylfaen"/>
                <w:color w:val="000000"/>
                <w:sz w:val="24"/>
                <w:szCs w:val="24"/>
              </w:rPr>
              <w:t>შესაბამისად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არსებობს</w:t>
            </w:r>
            <w:r w:rsidRPr="00027535">
              <w:rPr>
                <w:color w:val="000000"/>
                <w:sz w:val="24"/>
                <w:szCs w:val="24"/>
              </w:rPr>
              <w:t xml:space="preserve"> </w:t>
            </w:r>
            <w:r w:rsidRPr="00027535">
              <w:rPr>
                <w:rFonts w:ascii="Sylfaen" w:hAnsi="Sylfaen" w:cs="Sylfaen"/>
                <w:color w:val="000000"/>
                <w:sz w:val="24"/>
                <w:szCs w:val="24"/>
              </w:rPr>
              <w:t>სარჩელზე</w:t>
            </w:r>
            <w:r w:rsidRPr="00027535">
              <w:rPr>
                <w:color w:val="000000"/>
                <w:sz w:val="24"/>
                <w:szCs w:val="24"/>
              </w:rPr>
              <w:t xml:space="preserve"> </w:t>
            </w:r>
            <w:r w:rsidRPr="00027535">
              <w:rPr>
                <w:rFonts w:ascii="Sylfaen" w:hAnsi="Sylfaen" w:cs="Sylfaen"/>
                <w:color w:val="000000"/>
                <w:sz w:val="24"/>
                <w:szCs w:val="24"/>
              </w:rPr>
              <w:t>განსახილველად</w:t>
            </w:r>
            <w:r w:rsidRPr="00027535">
              <w:rPr>
                <w:color w:val="000000"/>
                <w:sz w:val="24"/>
                <w:szCs w:val="24"/>
              </w:rPr>
              <w:t xml:space="preserve"> </w:t>
            </w:r>
            <w:r w:rsidRPr="00027535">
              <w:rPr>
                <w:rFonts w:ascii="Sylfaen" w:hAnsi="Sylfaen" w:cs="Sylfaen"/>
                <w:color w:val="000000"/>
                <w:sz w:val="24"/>
                <w:szCs w:val="24"/>
              </w:rPr>
              <w:t>არ</w:t>
            </w:r>
            <w:r w:rsidRPr="00027535">
              <w:rPr>
                <w:color w:val="000000"/>
                <w:sz w:val="24"/>
                <w:szCs w:val="24"/>
              </w:rPr>
              <w:t xml:space="preserve"> </w:t>
            </w:r>
            <w:r w:rsidRPr="00027535">
              <w:rPr>
                <w:rFonts w:ascii="Sylfaen" w:hAnsi="Sylfaen" w:cs="Sylfaen"/>
                <w:color w:val="000000"/>
                <w:sz w:val="24"/>
                <w:szCs w:val="24"/>
              </w:rPr>
              <w:t>მიღების</w:t>
            </w:r>
            <w:r w:rsidRPr="00027535">
              <w:rPr>
                <w:color w:val="000000"/>
                <w:sz w:val="24"/>
                <w:szCs w:val="24"/>
              </w:rPr>
              <w:t xml:space="preserve"> </w:t>
            </w:r>
            <w:r w:rsidRPr="00027535">
              <w:rPr>
                <w:rFonts w:ascii="Sylfaen" w:hAnsi="Sylfaen" w:cs="Sylfaen"/>
                <w:color w:val="000000"/>
                <w:sz w:val="24"/>
                <w:szCs w:val="24"/>
              </w:rPr>
              <w:t>საფუძვლები</w:t>
            </w:r>
            <w:r w:rsidRPr="00027535">
              <w:rPr>
                <w:color w:val="000000"/>
                <w:sz w:val="24"/>
                <w:szCs w:val="24"/>
              </w:rPr>
              <w:t xml:space="preserve">, </w:t>
            </w:r>
            <w:r w:rsidRPr="00027535">
              <w:rPr>
                <w:rFonts w:ascii="Sylfaen" w:hAnsi="Sylfaen" w:cs="Sylfaen"/>
                <w:color w:val="000000"/>
                <w:sz w:val="24"/>
                <w:szCs w:val="24"/>
              </w:rPr>
              <w:t>რომლებიც</w:t>
            </w:r>
            <w:r w:rsidRPr="00027535">
              <w:rPr>
                <w:color w:val="000000"/>
                <w:sz w:val="24"/>
                <w:szCs w:val="24"/>
              </w:rPr>
              <w:t xml:space="preserve"> </w:t>
            </w:r>
            <w:r w:rsidRPr="00027535">
              <w:rPr>
                <w:rFonts w:ascii="Sylfaen" w:hAnsi="Sylfaen" w:cs="Sylfaen"/>
                <w:color w:val="000000"/>
                <w:sz w:val="24"/>
                <w:szCs w:val="24"/>
              </w:rPr>
              <w:t>გათვალისწინებულია</w:t>
            </w:r>
            <w:r w:rsidRPr="00027535">
              <w:rPr>
                <w:color w:val="000000"/>
                <w:sz w:val="24"/>
                <w:szCs w:val="24"/>
              </w:rPr>
              <w:t xml:space="preserve"> </w:t>
            </w:r>
            <w:r w:rsidRPr="00027535">
              <w:rPr>
                <w:rFonts w:ascii="Sylfaen" w:hAnsi="Sylfaen" w:cs="Sylfaen"/>
                <w:color w:val="000000"/>
                <w:sz w:val="24"/>
                <w:szCs w:val="24"/>
              </w:rPr>
              <w:t>საქართველოს</w:t>
            </w:r>
            <w:r w:rsidRPr="00027535">
              <w:rPr>
                <w:color w:val="000000"/>
                <w:sz w:val="24"/>
                <w:szCs w:val="24"/>
              </w:rPr>
              <w:t xml:space="preserve"> </w:t>
            </w:r>
            <w:r w:rsidRPr="00027535">
              <w:rPr>
                <w:rFonts w:ascii="Sylfaen" w:hAnsi="Sylfaen" w:cs="Sylfaen"/>
                <w:color w:val="000000"/>
                <w:sz w:val="24"/>
                <w:szCs w:val="24"/>
              </w:rPr>
              <w:t>კანონით</w:t>
            </w:r>
            <w:r w:rsidRPr="00027535">
              <w:rPr>
                <w:color w:val="000000"/>
                <w:sz w:val="24"/>
                <w:szCs w:val="24"/>
              </w:rPr>
              <w:t xml:space="preserve"> "</w:t>
            </w:r>
            <w:r w:rsidRPr="00027535">
              <w:rPr>
                <w:rFonts w:ascii="Sylfaen" w:hAnsi="Sylfaen" w:cs="Sylfaen"/>
                <w:color w:val="000000"/>
                <w:sz w:val="24"/>
                <w:szCs w:val="24"/>
              </w:rPr>
              <w:t>საკონსტიტუციო</w:t>
            </w:r>
            <w:r w:rsidRPr="00027535">
              <w:rPr>
                <w:color w:val="000000"/>
                <w:sz w:val="24"/>
                <w:szCs w:val="24"/>
              </w:rPr>
              <w:t xml:space="preserve"> </w:t>
            </w:r>
            <w:r w:rsidRPr="00027535">
              <w:rPr>
                <w:rFonts w:ascii="Sylfaen" w:hAnsi="Sylfaen" w:cs="Sylfaen"/>
                <w:color w:val="000000"/>
                <w:sz w:val="24"/>
                <w:szCs w:val="24"/>
              </w:rPr>
              <w:t>სამართალწარმოების</w:t>
            </w:r>
            <w:r w:rsidRPr="00027535">
              <w:rPr>
                <w:color w:val="000000"/>
                <w:sz w:val="24"/>
                <w:szCs w:val="24"/>
              </w:rPr>
              <w:t xml:space="preserve"> </w:t>
            </w:r>
            <w:r w:rsidRPr="00027535">
              <w:rPr>
                <w:rFonts w:ascii="Sylfaen" w:hAnsi="Sylfaen" w:cs="Sylfaen"/>
                <w:color w:val="000000"/>
                <w:sz w:val="24"/>
                <w:szCs w:val="24"/>
              </w:rPr>
              <w:t>შესახებ</w:t>
            </w:r>
            <w:r w:rsidRPr="00027535">
              <w:rPr>
                <w:color w:val="000000"/>
                <w:sz w:val="24"/>
                <w:szCs w:val="24"/>
              </w:rPr>
              <w:t>".</w:t>
            </w:r>
          </w:p>
        </w:tc>
      </w:tr>
    </w:tbl>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r>
        <w:rPr>
          <w:rFonts w:ascii="Sylfaen" w:hAnsi="Sylfaen"/>
          <w:lang w:val="ka-GE"/>
        </w:rPr>
        <w:br w:type="page"/>
      </w:r>
    </w:p>
    <w:tbl>
      <w:tblPr>
        <w:tblW w:w="11268" w:type="dxa"/>
        <w:tblBorders>
          <w:top w:val="single" w:sz="8" w:space="0" w:color="000000"/>
          <w:bottom w:val="single" w:sz="8" w:space="0" w:color="000000"/>
        </w:tblBorders>
        <w:tblLook w:val="0400" w:firstRow="0" w:lastRow="0" w:firstColumn="0" w:lastColumn="0" w:noHBand="0" w:noVBand="1"/>
      </w:tblPr>
      <w:tblGrid>
        <w:gridCol w:w="11268"/>
      </w:tblGrid>
      <w:tr w:rsidR="00BC4694" w:rsidRPr="000C0133" w:rsidTr="008E669E">
        <w:trPr>
          <w:trHeight w:val="467"/>
        </w:trPr>
        <w:tc>
          <w:tcPr>
            <w:tcW w:w="11268" w:type="dxa"/>
            <w:tcBorders>
              <w:top w:val="single" w:sz="4" w:space="0" w:color="auto"/>
              <w:left w:val="nil"/>
              <w:right w:val="nil"/>
            </w:tcBorders>
            <w:shd w:val="clear" w:color="auto" w:fill="C0C0C0"/>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af0"/>
                <w:rFonts w:ascii="Sylfaen" w:hAnsi="Sylfaen"/>
                <w:b/>
                <w:color w:val="548DD4"/>
                <w:sz w:val="26"/>
                <w:szCs w:val="26"/>
                <w:lang w:val="ka-GE"/>
              </w:rPr>
              <w:footnoteReference w:customMarkFollows="1" w:id="5"/>
              <w:t>შენიშვნა 5</w:t>
            </w:r>
          </w:p>
        </w:tc>
      </w:tr>
      <w:tr w:rsidR="00BC4694" w:rsidRPr="000C0133" w:rsidTr="008E669E">
        <w:trPr>
          <w:trHeight w:val="585"/>
        </w:trPr>
        <w:tc>
          <w:tcPr>
            <w:tcW w:w="11268" w:type="dxa"/>
          </w:tcPr>
          <w:p w:rsidR="00E47F35" w:rsidRPr="00A3659B" w:rsidRDefault="00A3659B" w:rsidP="00884387">
            <w:pPr>
              <w:jc w:val="both"/>
              <w:rPr>
                <w:rFonts w:ascii="Sylfaen" w:hAnsi="Sylfaen" w:cs="Sylfaen"/>
                <w:b/>
                <w:lang w:val="ka-GE"/>
              </w:rPr>
            </w:pPr>
            <w:r w:rsidRPr="00A3659B">
              <w:rPr>
                <w:rFonts w:ascii="Sylfaen" w:eastAsia="Arial Unicode MS" w:hAnsi="Sylfaen" w:cs="Arial Unicode MS"/>
                <w:b/>
                <w:noProof/>
              </w:rPr>
              <w:t xml:space="preserve">საქართველოს კანონის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ცვლილების შეტანის თაობაზე N256-IIს მე-2 </w:t>
            </w:r>
            <w:r w:rsidR="00E47F35" w:rsidRPr="00A3659B">
              <w:rPr>
                <w:rFonts w:ascii="Sylfaen" w:hAnsi="Sylfaen" w:cs="Sylfaen"/>
                <w:b/>
                <w:lang w:val="ka-GE"/>
              </w:rPr>
              <w:t>მუხლის არაკონსტიტუციურობა საქართველოს კონსტიტუციის მე-14 მუხლთან მიმართებით</w:t>
            </w:r>
          </w:p>
          <w:p w:rsidR="00B16093" w:rsidRPr="00B16093" w:rsidRDefault="00A3659B" w:rsidP="00B16093">
            <w:pPr>
              <w:pStyle w:val="af1"/>
              <w:numPr>
                <w:ilvl w:val="0"/>
                <w:numId w:val="10"/>
              </w:numPr>
              <w:jc w:val="both"/>
              <w:rPr>
                <w:rFonts w:ascii="Sylfaen" w:hAnsi="Sylfaen" w:cs="Sylfaen"/>
                <w:b/>
                <w:i/>
                <w:lang w:val="ka-GE"/>
              </w:rPr>
            </w:pPr>
            <w:r w:rsidRPr="00B16093">
              <w:rPr>
                <w:rFonts w:ascii="Sylfaen" w:hAnsi="Sylfaen" w:cs="Sylfaen"/>
                <w:b/>
                <w:i/>
                <w:lang w:val="ka-GE"/>
              </w:rPr>
              <w:t>არსებითად</w:t>
            </w:r>
            <w:r w:rsidR="00E47F35" w:rsidRPr="00B16093">
              <w:rPr>
                <w:rFonts w:ascii="Sylfaen" w:hAnsi="Sylfaen" w:cs="Sylfaen"/>
                <w:b/>
                <w:i/>
                <w:lang w:val="ka-GE"/>
              </w:rPr>
              <w:t xml:space="preserve"> </w:t>
            </w:r>
            <w:r w:rsidRPr="00B16093">
              <w:rPr>
                <w:rFonts w:ascii="Sylfaen" w:hAnsi="Sylfaen" w:cs="Sylfaen"/>
                <w:b/>
                <w:i/>
                <w:lang w:val="ka-GE"/>
              </w:rPr>
              <w:t>თანასწორ პირთა</w:t>
            </w:r>
            <w:r w:rsidR="00E47F35" w:rsidRPr="00B16093">
              <w:rPr>
                <w:rFonts w:ascii="Sylfaen" w:hAnsi="Sylfaen" w:cs="Sylfaen"/>
                <w:b/>
                <w:i/>
                <w:lang w:val="ka-GE"/>
              </w:rPr>
              <w:t xml:space="preserve"> მიმართ არათანასწორი მოპყრობა </w:t>
            </w:r>
          </w:p>
          <w:p w:rsidR="00B16093" w:rsidRPr="00B16093" w:rsidRDefault="00B16093" w:rsidP="00B16093">
            <w:pPr>
              <w:jc w:val="both"/>
              <w:rPr>
                <w:rFonts w:ascii="Sylfaen" w:eastAsia="Arial Unicode MS" w:hAnsi="Sylfaen" w:cs="Arial Unicode MS"/>
                <w:noProof/>
              </w:rPr>
            </w:pPr>
            <w:r w:rsidRPr="00827297">
              <w:rPr>
                <w:rFonts w:ascii="Sylfaen" w:eastAsia="Arial Unicode MS" w:hAnsi="Sylfaen" w:cs="Arial Unicode MS"/>
                <w:noProof/>
              </w:rPr>
              <w:t xml:space="preserve">საერთო სასამართლოების მოსამართლეთა დისციპლინური სამართალწარმოების შესახებ მოქმედი კანონმდებლობა მნიშვნელოვან ხარვეზებს შეიცავს, </w:t>
            </w:r>
            <w:r>
              <w:rPr>
                <w:rFonts w:ascii="Sylfaen" w:eastAsia="Arial Unicode MS" w:hAnsi="Sylfaen" w:cs="Arial Unicode MS"/>
                <w:noProof/>
              </w:rPr>
              <w:t xml:space="preserve"> </w:t>
            </w:r>
            <w:r w:rsidRPr="00827297">
              <w:rPr>
                <w:rFonts w:ascii="Sylfaen" w:eastAsia="Arial Unicode MS" w:hAnsi="Sylfaen" w:cs="Arial Unicode MS"/>
                <w:noProof/>
              </w:rPr>
              <w:t xml:space="preserve">მიუხედავად ამისა, აღსანიშნავია ის გარკვეული პოზიტიური ცვლილებები, რომლებიც განხორციელდა ე.წ. მართლმსაჯულების რეფორმის “მესამე ტალღის” ფარგლებში. თუმცა, ამ კონტექსტში  პრობლემურია “მესამე ტალღის” საკანონმდებლო პაკეტით </w:t>
            </w:r>
            <w:r w:rsidR="002017A3">
              <w:rPr>
                <w:rFonts w:ascii="Sylfaen" w:eastAsia="Arial Unicode MS" w:hAnsi="Sylfaen" w:cs="Arial Unicode MS"/>
                <w:noProof/>
              </w:rPr>
              <w:t>გათვალისწინებული</w:t>
            </w:r>
            <w:r w:rsidRPr="00827297">
              <w:rPr>
                <w:rFonts w:ascii="Sylfaen" w:eastAsia="Arial Unicode MS" w:hAnsi="Sylfaen" w:cs="Arial Unicode MS"/>
                <w:noProof/>
              </w:rPr>
              <w:t xml:space="preserve"> ნორმა, რომლის თანახმადაც, ცვლილებების ამოქმედებამდე დაწყებული დისციპლინური საქმეების წარმოება, აგრეთვე, მის ამოქმედებამდე ჩადენილი დისციპლინური გადაცდომების საქმეთა წარმოება წარიმართება ცვლილებებამდე არსებული წესით. ამგვარი ბლანკეტური ნორმა დისციპლინური სამართალწარმოების მონაწილე კონკრეტულ პირებს უზღუდავს შესაძლებლობას, ისარგებლონ ყველა იმ გაუმჯობესებული წესით</w:t>
            </w:r>
            <w:r>
              <w:rPr>
                <w:rFonts w:ascii="Sylfaen" w:eastAsia="Arial Unicode MS" w:hAnsi="Sylfaen" w:cs="Arial Unicode MS"/>
                <w:noProof/>
              </w:rPr>
              <w:t>,</w:t>
            </w:r>
            <w:r w:rsidRPr="00827297">
              <w:rPr>
                <w:rFonts w:ascii="Sylfaen" w:eastAsia="Arial Unicode MS" w:hAnsi="Sylfaen" w:cs="Arial Unicode MS"/>
                <w:noProof/>
              </w:rPr>
              <w:t xml:space="preserve"> რომლებიც გათვალისწინებულია ე.წ</w:t>
            </w:r>
            <w:r>
              <w:rPr>
                <w:rFonts w:ascii="Sylfaen" w:eastAsia="Arial Unicode MS" w:hAnsi="Sylfaen" w:cs="Arial Unicode MS"/>
                <w:noProof/>
              </w:rPr>
              <w:t xml:space="preserve">  </w:t>
            </w:r>
            <w:r w:rsidRPr="00827297">
              <w:rPr>
                <w:rFonts w:ascii="Sylfaen" w:eastAsia="Arial Unicode MS" w:hAnsi="Sylfaen" w:cs="Arial Unicode MS"/>
                <w:noProof/>
              </w:rPr>
              <w:t xml:space="preserve">“მესამე ტალღით”. გაუგებარია, თუ რა ლეგიტიმური ინტერესით არის გამართლებული გარკვეული პერიოდი დისციპლინურ სამართალწარმოებაში პირების დიფერენცირებულ მდგომარეობაში ჩაყენება ყველა იმ გაუმჯობესებულ წესთან მიმართებით, რომლებიც “მესამე ტალღით” განისაზღვრა. </w:t>
            </w:r>
          </w:p>
          <w:p w:rsidR="00E47F35" w:rsidRPr="004B357C" w:rsidRDefault="00E47F35" w:rsidP="00884387">
            <w:pPr>
              <w:jc w:val="both"/>
              <w:rPr>
                <w:rFonts w:ascii="Sylfaen" w:hAnsi="Sylfaen" w:cs="Sylfaen"/>
                <w:lang w:val="ka-GE"/>
              </w:rPr>
            </w:pPr>
            <w:r w:rsidRPr="004B357C">
              <w:rPr>
                <w:rFonts w:ascii="Sylfaen" w:hAnsi="Sylfaen" w:cs="Sylfaen"/>
                <w:lang w:val="ka-GE"/>
              </w:rPr>
              <w:t>საქართველოს საკონსტიტუციო სასამართლოს განმარტებით, საქართველოს კონსტიტუციის მე-14 მუხლი ადგენს კანონის წინაშე თანასწორობის უფლებას და</w:t>
            </w:r>
            <w:r>
              <w:rPr>
                <w:rFonts w:ascii="Sylfaen" w:hAnsi="Sylfaen" w:cs="Sylfaen"/>
                <w:lang w:val="ka-GE"/>
              </w:rPr>
              <w:t>,</w:t>
            </w:r>
            <w:r w:rsidRPr="004B357C">
              <w:rPr>
                <w:rFonts w:ascii="Sylfaen" w:hAnsi="Sylfaen" w:cs="Sylfaen"/>
                <w:lang w:val="ka-GE"/>
              </w:rPr>
              <w:t xml:space="preserve"> ამავდროულად</w:t>
            </w:r>
            <w:r>
              <w:rPr>
                <w:rFonts w:ascii="Sylfaen" w:hAnsi="Sylfaen" w:cs="Sylfaen"/>
                <w:lang w:val="ka-GE"/>
              </w:rPr>
              <w:t>,</w:t>
            </w:r>
            <w:r w:rsidRPr="004B357C">
              <w:rPr>
                <w:rFonts w:ascii="Sylfaen" w:hAnsi="Sylfaen" w:cs="Sylfaen"/>
                <w:lang w:val="ka-GE"/>
              </w:rPr>
              <w:t xml:space="preserve">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w:t>
            </w:r>
            <w:r w:rsidRPr="004B357C">
              <w:rPr>
                <w:rStyle w:val="af0"/>
                <w:rFonts w:ascii="Sylfaen" w:hAnsi="Sylfaen" w:cs="Sylfaen"/>
                <w:lang w:val="ka-GE"/>
              </w:rPr>
              <w:footnoteReference w:id="6"/>
            </w:r>
            <w:r w:rsidRPr="004B357C">
              <w:rPr>
                <w:rFonts w:ascii="Sylfaen" w:hAnsi="Sylfaen" w:cs="Sylfaen"/>
                <w:lang w:val="ka-GE"/>
              </w:rPr>
              <w:t>აღსანიშნავია, რომ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4B357C">
              <w:rPr>
                <w:rStyle w:val="af0"/>
                <w:rFonts w:ascii="Sylfaen" w:hAnsi="Sylfaen" w:cs="Sylfaen"/>
                <w:lang w:val="ka-GE"/>
              </w:rPr>
              <w:footnoteReference w:id="7"/>
            </w:r>
            <w:r w:rsidRPr="004B357C">
              <w:rPr>
                <w:rFonts w:ascii="Sylfaen" w:hAnsi="Sylfaen" w:cs="Sylfaen"/>
                <w:lang w:val="ka-GE"/>
              </w:rPr>
              <w:t>. საბოლოო ჯამში კი, კონსტიტუციის მე-14 მუხლის ძირითადი არსს წარმოადგენს იმის უზრუნველყოფა, რომ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Pr="004B357C">
              <w:rPr>
                <w:rStyle w:val="af0"/>
                <w:rFonts w:ascii="Sylfaen" w:hAnsi="Sylfaen" w:cs="Sylfaen"/>
                <w:lang w:val="ka-GE"/>
              </w:rPr>
              <w:footnoteReference w:id="8"/>
            </w:r>
            <w:r w:rsidRPr="004B357C">
              <w:rPr>
                <w:rFonts w:ascii="Sylfaen" w:hAnsi="Sylfaen" w:cs="Sylfaen"/>
                <w:lang w:val="ka-GE"/>
              </w:rPr>
              <w:t>.</w:t>
            </w:r>
          </w:p>
          <w:p w:rsidR="00E47F35" w:rsidRDefault="00E47F35" w:rsidP="00884387">
            <w:pPr>
              <w:jc w:val="both"/>
              <w:rPr>
                <w:rFonts w:ascii="Sylfaen" w:hAnsi="Sylfaen" w:cs="Sylfaen"/>
                <w:lang w:val="ka-GE"/>
              </w:rPr>
            </w:pPr>
            <w:r w:rsidRPr="004B357C">
              <w:rPr>
                <w:rFonts w:ascii="Sylfaen" w:hAnsi="Sylfaen" w:cs="Sylfaen"/>
                <w:lang w:val="ka-GE"/>
              </w:rPr>
              <w:lastRenderedPageBreak/>
              <w:t>საკონსტიტუციო სასამართლოს განმარტებით, „იდენტური საპროცესო მდგომარეობის (სტატუსის) მქონე პირები მიჩნეული უნდა იქნენ არსებითად თანასწორებად“.</w:t>
            </w:r>
            <w:r w:rsidRPr="004B357C">
              <w:rPr>
                <w:rStyle w:val="af0"/>
                <w:rFonts w:ascii="Sylfaen" w:hAnsi="Sylfaen" w:cs="Sylfaen"/>
                <w:lang w:val="ka-GE"/>
              </w:rPr>
              <w:footnoteReference w:id="9"/>
            </w:r>
            <w:r w:rsidR="00A3659B">
              <w:rPr>
                <w:rFonts w:ascii="Sylfaen" w:hAnsi="Sylfaen" w:cs="Sylfaen"/>
                <w:lang w:val="ka-GE"/>
              </w:rPr>
              <w:t xml:space="preserve"> </w:t>
            </w:r>
            <w:r>
              <w:rPr>
                <w:rFonts w:ascii="Sylfaen" w:hAnsi="Sylfaen" w:cs="Sylfaen"/>
                <w:lang w:val="ka-GE"/>
              </w:rPr>
              <w:t xml:space="preserve">აღსანიშნავია, რომ საკონსტიტუციო </w:t>
            </w:r>
            <w:r w:rsidRPr="004B357C">
              <w:rPr>
                <w:rFonts w:ascii="Sylfaen" w:hAnsi="Sylfaen" w:cs="Sylfaen"/>
                <w:lang w:val="ka-GE"/>
              </w:rPr>
              <w:t xml:space="preserve">სასამართლომ </w:t>
            </w:r>
            <w:r>
              <w:rPr>
                <w:rFonts w:ascii="Sylfaen" w:hAnsi="Sylfaen" w:cs="Sylfaen"/>
                <w:lang w:val="ka-GE"/>
              </w:rPr>
              <w:t xml:space="preserve"> საქმეში  </w:t>
            </w:r>
            <w:r w:rsidRPr="00DF4E29">
              <w:rPr>
                <w:rFonts w:ascii="Sylfaen" w:hAnsi="Sylfaen" w:cs="Sylfaen"/>
                <w:lang w:val="ka-GE"/>
              </w:rPr>
              <w:t>„საქართველოს მოქალაქეები-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Pr>
                <w:rFonts w:ascii="Sylfaen" w:hAnsi="Sylfaen" w:cs="Sylfaen"/>
                <w:lang w:val="ka-GE"/>
              </w:rPr>
              <w:t xml:space="preserve">  </w:t>
            </w:r>
            <w:r w:rsidRPr="004B357C">
              <w:rPr>
                <w:rFonts w:ascii="Sylfaen" w:hAnsi="Sylfaen" w:cs="Sylfaen"/>
                <w:lang w:val="ka-GE"/>
              </w:rPr>
              <w:t>დაადგინა, რომ ძველი და ახალი სისხლის სამართლის საპროცესო კოდექსის მოქმედების დროს ბრალდებული პირები არსებითად თანასწორები იყვნენ და მათ ასეთად მიჩნევის აუცილებლობას განაპირობებდა სწორედ მათი არსებითად ერთნაირი საპროცესო მდგომარეობა</w:t>
            </w:r>
            <w:r>
              <w:rPr>
                <w:rFonts w:ascii="Sylfaen" w:hAnsi="Sylfaen" w:cs="Sylfaen"/>
                <w:lang w:val="ka-GE"/>
              </w:rPr>
              <w:t>-</w:t>
            </w:r>
            <w:r w:rsidRPr="004B357C">
              <w:rPr>
                <w:rFonts w:ascii="Sylfaen" w:hAnsi="Sylfaen" w:cs="Sylfaen"/>
                <w:lang w:val="ka-GE"/>
              </w:rPr>
              <w:t xml:space="preserve"> ისინი იყვნენ ბრალდებულები, ხოლო იმას, თუ რა დანაშაულის ჩადენისათვის ჰქონდათ მათ ასეთი სტატუსი, </w:t>
            </w:r>
            <w:r w:rsidR="00637656">
              <w:rPr>
                <w:rFonts w:ascii="Sylfaen" w:hAnsi="Sylfaen" w:cs="Sylfaen"/>
                <w:lang w:val="ka-GE"/>
              </w:rPr>
              <w:t>არ ჰქონდა განმსაზღვრელი მნიშვნელობა.</w:t>
            </w:r>
          </w:p>
          <w:p w:rsidR="00884387" w:rsidRDefault="009120B4" w:rsidP="00884387">
            <w:pPr>
              <w:jc w:val="both"/>
              <w:rPr>
                <w:rFonts w:ascii="Sylfaen" w:eastAsia="Arial Unicode MS" w:hAnsi="Sylfaen" w:cs="Arial Unicode MS"/>
                <w:noProof/>
              </w:rPr>
            </w:pPr>
            <w:r>
              <w:rPr>
                <w:rFonts w:ascii="Sylfaen" w:hAnsi="Sylfaen" w:cs="Sylfaen"/>
                <w:lang w:val="ka-GE"/>
              </w:rPr>
              <w:t xml:space="preserve">მოსარჩელის აზრით, </w:t>
            </w:r>
            <w:r w:rsidR="008E669E">
              <w:rPr>
                <w:rFonts w:ascii="Sylfaen" w:hAnsi="Sylfaen" w:cs="Sylfaen"/>
                <w:lang w:val="ka-GE"/>
              </w:rPr>
              <w:t xml:space="preserve">ამ სარჩელით </w:t>
            </w:r>
            <w:r w:rsidR="00637656">
              <w:rPr>
                <w:rFonts w:ascii="Sylfaen" w:hAnsi="Sylfaen" w:cs="Sylfaen"/>
                <w:lang w:val="ka-GE"/>
              </w:rPr>
              <w:t>სადავო</w:t>
            </w:r>
            <w:r w:rsidR="008E669E">
              <w:rPr>
                <w:rFonts w:ascii="Sylfaen" w:hAnsi="Sylfaen" w:cs="Sylfaen"/>
                <w:lang w:val="ka-GE"/>
              </w:rPr>
              <w:t>დ გამხდარი</w:t>
            </w:r>
            <w:r w:rsidR="00637656">
              <w:rPr>
                <w:rFonts w:ascii="Sylfaen" w:hAnsi="Sylfaen" w:cs="Sylfaen"/>
                <w:lang w:val="ka-GE"/>
              </w:rPr>
              <w:t xml:space="preserve"> ნორმა</w:t>
            </w:r>
            <w:r w:rsidR="008E669E">
              <w:rPr>
                <w:rFonts w:ascii="Sylfaen" w:hAnsi="Sylfaen" w:cs="Sylfaen"/>
                <w:lang w:val="ka-GE"/>
              </w:rPr>
              <w:t xml:space="preserve">  არსობრივად მსგავსია საკონსტიტუციო სასამართლოს მიერ </w:t>
            </w:r>
            <w:r w:rsidR="00B16093">
              <w:rPr>
                <w:rFonts w:ascii="Sylfaen" w:hAnsi="Sylfaen" w:cs="Sylfaen"/>
                <w:lang w:val="ka-GE"/>
              </w:rPr>
              <w:t>ზე</w:t>
            </w:r>
            <w:r w:rsidR="008E669E">
              <w:rPr>
                <w:rFonts w:ascii="Sylfaen" w:hAnsi="Sylfaen" w:cs="Sylfaen"/>
                <w:lang w:val="ka-GE"/>
              </w:rPr>
              <w:t xml:space="preserve">მოაღნიშნულ საქმეში არაკონსტიტუციურად ცნობილი </w:t>
            </w:r>
            <w:r>
              <w:rPr>
                <w:rFonts w:ascii="Sylfaen" w:hAnsi="Sylfaen" w:cs="Sylfaen"/>
                <w:lang w:val="ka-GE"/>
              </w:rPr>
              <w:t>ნორმების.</w:t>
            </w:r>
            <w:r w:rsidR="00637656">
              <w:rPr>
                <w:rFonts w:ascii="Sylfaen" w:hAnsi="Sylfaen" w:cs="Sylfaen"/>
                <w:lang w:val="ka-GE"/>
              </w:rPr>
              <w:t xml:space="preserve"> </w:t>
            </w:r>
            <w:r>
              <w:rPr>
                <w:rFonts w:ascii="Sylfaen" w:hAnsi="Sylfaen" w:cs="Sylfaen"/>
                <w:lang w:val="ka-GE"/>
              </w:rPr>
              <w:t>გასაჩივრებული ნორმა ადგენს</w:t>
            </w:r>
            <w:r w:rsidR="00637656">
              <w:rPr>
                <w:rFonts w:ascii="Sylfaen" w:hAnsi="Sylfaen" w:cs="Sylfaen"/>
                <w:lang w:val="ka-GE"/>
              </w:rPr>
              <w:t xml:space="preserve">, რომ მართლმსაჯულების რეფორმის ე.წ. მესამე ტალღით განხორცილებული საკანონმდებლო ცვლილებების ამოქმედებამდე </w:t>
            </w:r>
            <w:r w:rsidR="00637656" w:rsidRPr="00637656">
              <w:rPr>
                <w:rFonts w:ascii="Sylfaen" w:eastAsia="Arial Unicode MS" w:hAnsi="Sylfaen" w:cs="Arial Unicode MS"/>
                <w:noProof/>
              </w:rPr>
              <w:t xml:space="preserve">დაწყებული დისციპლინური საქმეების წარმოება, აგრეთვე </w:t>
            </w:r>
            <w:r w:rsidR="00637656">
              <w:rPr>
                <w:rFonts w:ascii="Sylfaen" w:eastAsia="Arial Unicode MS" w:hAnsi="Sylfaen" w:cs="Arial Unicode MS"/>
                <w:noProof/>
              </w:rPr>
              <w:t>მის</w:t>
            </w:r>
            <w:r w:rsidR="00637656" w:rsidRPr="00637656">
              <w:rPr>
                <w:rFonts w:ascii="Sylfaen" w:eastAsia="Arial Unicode MS" w:hAnsi="Sylfaen" w:cs="Arial Unicode MS"/>
                <w:noProof/>
              </w:rPr>
              <w:t xml:space="preserve"> ამოქმედებამდე ჩადენილი დისციპლინური გადაცდომების საქმეთა წარმოება </w:t>
            </w:r>
            <w:r w:rsidR="00637656">
              <w:rPr>
                <w:rFonts w:ascii="Sylfaen" w:eastAsia="Arial Unicode MS" w:hAnsi="Sylfaen" w:cs="Arial Unicode MS"/>
                <w:noProof/>
              </w:rPr>
              <w:t>წარიმართება ცვლილბებამდე არსებული წესით. შესაბამისად პირთა იმ კატეგორიას</w:t>
            </w:r>
            <w:r w:rsidR="00884387">
              <w:rPr>
                <w:rFonts w:ascii="Sylfaen" w:eastAsia="Arial Unicode MS" w:hAnsi="Sylfaen" w:cs="Arial Unicode MS"/>
                <w:noProof/>
              </w:rPr>
              <w:t>,</w:t>
            </w:r>
            <w:r w:rsidR="00637656">
              <w:rPr>
                <w:rFonts w:ascii="Sylfaen" w:eastAsia="Arial Unicode MS" w:hAnsi="Sylfaen" w:cs="Arial Unicode MS"/>
                <w:noProof/>
              </w:rPr>
              <w:t xml:space="preserve"> რომელთა მიმართ დისციპლინური წარმოება </w:t>
            </w:r>
            <w:r w:rsidR="00884387">
              <w:rPr>
                <w:rFonts w:ascii="Sylfaen" w:eastAsia="Arial Unicode MS" w:hAnsi="Sylfaen" w:cs="Arial Unicode MS"/>
                <w:noProof/>
              </w:rPr>
              <w:t>და</w:t>
            </w:r>
            <w:r w:rsidR="00637656">
              <w:rPr>
                <w:rFonts w:ascii="Sylfaen" w:eastAsia="Arial Unicode MS" w:hAnsi="Sylfaen" w:cs="Arial Unicode MS"/>
                <w:noProof/>
              </w:rPr>
              <w:t>წყ</w:t>
            </w:r>
            <w:r w:rsidR="00884387">
              <w:rPr>
                <w:rFonts w:ascii="Sylfaen" w:eastAsia="Arial Unicode MS" w:hAnsi="Sylfaen" w:cs="Arial Unicode MS"/>
                <w:noProof/>
              </w:rPr>
              <w:t xml:space="preserve">ებულია ან </w:t>
            </w:r>
            <w:r w:rsidR="00637656">
              <w:rPr>
                <w:rFonts w:ascii="Sylfaen" w:eastAsia="Arial Unicode MS" w:hAnsi="Sylfaen" w:cs="Arial Unicode MS"/>
                <w:noProof/>
              </w:rPr>
              <w:t xml:space="preserve">რომელთა მიერ </w:t>
            </w:r>
            <w:r w:rsidR="00884387">
              <w:rPr>
                <w:rFonts w:ascii="Sylfaen" w:eastAsia="Arial Unicode MS" w:hAnsi="Sylfaen" w:cs="Arial Unicode MS"/>
                <w:noProof/>
              </w:rPr>
              <w:t xml:space="preserve"> დისციპლინური გადაცდომა ჩადენილია “მესამე ტალღის” ცვლილებების ამოქმედებამდე არ აქვთ შესაძლებლობა ისარგებლონ იმ გაუმჯობესებული წესებით, რომელებიც საკანონმდებლო ცვლილებებით დადგინდა, შესაბამისად ისინი იმყოფებიან დიფერენცირებულ მდგომარეობაში იმ პირებთან მიმართებით, ვისაც ამგვარი შესაძლებლობა მიეცა.</w:t>
            </w:r>
          </w:p>
          <w:p w:rsidR="008E669E" w:rsidRDefault="008E669E" w:rsidP="00884387">
            <w:pPr>
              <w:jc w:val="both"/>
              <w:rPr>
                <w:rFonts w:ascii="Sylfaen" w:eastAsia="Arial Unicode MS" w:hAnsi="Sylfaen" w:cs="Arial Unicode MS"/>
                <w:noProof/>
              </w:rPr>
            </w:pPr>
            <w:r>
              <w:rPr>
                <w:rFonts w:ascii="Sylfaen" w:eastAsia="Arial Unicode MS" w:hAnsi="Sylfaen" w:cs="Arial Unicode MS"/>
                <w:noProof/>
              </w:rPr>
              <w:t>სადავო ნორმა ასევე დიფრენცირებულ მდგომარეობაში აყენებს დისციპლინური საჩივრის ავტორებს, რადგან პირთა გარკვეულ კატეგორიას  უფლება აქვს მიიღოს დასაბუთება თუ რატომ შეწყდა მის საჩივარზე დისციპლინური სამართალწარმოება, მეორე ნაწილი კი ამ შესაძლებლობას  მოკლებულია.</w:t>
            </w:r>
          </w:p>
          <w:p w:rsidR="00884387" w:rsidRPr="00884387" w:rsidRDefault="00884387" w:rsidP="00884387">
            <w:pPr>
              <w:jc w:val="both"/>
              <w:rPr>
                <w:rFonts w:ascii="Sylfaen" w:eastAsia="Arial Unicode MS" w:hAnsi="Sylfaen" w:cs="Arial Unicode MS"/>
                <w:b/>
                <w:i/>
                <w:noProof/>
              </w:rPr>
            </w:pPr>
            <w:r w:rsidRPr="00884387">
              <w:rPr>
                <w:rFonts w:ascii="Sylfaen" w:eastAsia="Arial Unicode MS" w:hAnsi="Sylfaen" w:cs="Arial Unicode MS"/>
                <w:b/>
                <w:i/>
                <w:noProof/>
              </w:rPr>
              <w:t xml:space="preserve">2) </w:t>
            </w:r>
            <w:r w:rsidR="00436031">
              <w:rPr>
                <w:rFonts w:ascii="Sylfaen" w:eastAsia="Arial Unicode MS" w:hAnsi="Sylfaen" w:cs="Arial Unicode MS"/>
                <w:b/>
                <w:i/>
                <w:noProof/>
              </w:rPr>
              <w:t>“</w:t>
            </w:r>
            <w:r w:rsidRPr="00884387">
              <w:rPr>
                <w:rFonts w:ascii="Sylfaen" w:eastAsia="Arial Unicode MS" w:hAnsi="Sylfaen" w:cs="Arial Unicode MS"/>
                <w:b/>
                <w:i/>
                <w:noProof/>
              </w:rPr>
              <w:t>მესამე ტალღით</w:t>
            </w:r>
            <w:r w:rsidR="00436031">
              <w:rPr>
                <w:rFonts w:ascii="Sylfaen" w:eastAsia="Arial Unicode MS" w:hAnsi="Sylfaen" w:cs="Arial Unicode MS"/>
                <w:b/>
                <w:i/>
                <w:noProof/>
              </w:rPr>
              <w:t>”</w:t>
            </w:r>
            <w:r w:rsidRPr="00884387">
              <w:rPr>
                <w:rFonts w:ascii="Sylfaen" w:eastAsia="Arial Unicode MS" w:hAnsi="Sylfaen" w:cs="Arial Unicode MS"/>
                <w:b/>
                <w:i/>
                <w:noProof/>
              </w:rPr>
              <w:t xml:space="preserve"> გაუმჯობესებული წესები</w:t>
            </w:r>
            <w:r w:rsidR="008E669E">
              <w:rPr>
                <w:rFonts w:ascii="Sylfaen" w:eastAsia="Arial Unicode MS" w:hAnsi="Sylfaen" w:cs="Arial Unicode MS"/>
                <w:b/>
                <w:i/>
                <w:noProof/>
              </w:rPr>
              <w:t>ს მიმოხილვა</w:t>
            </w:r>
            <w:r w:rsidRPr="00884387">
              <w:rPr>
                <w:rFonts w:ascii="Sylfaen" w:eastAsia="Arial Unicode MS" w:hAnsi="Sylfaen" w:cs="Arial Unicode MS"/>
                <w:b/>
                <w:i/>
                <w:noProof/>
              </w:rPr>
              <w:t>:</w:t>
            </w:r>
          </w:p>
          <w:p w:rsidR="00884387" w:rsidRPr="00884387" w:rsidRDefault="00884387" w:rsidP="00884387">
            <w:pPr>
              <w:jc w:val="both"/>
              <w:rPr>
                <w:rFonts w:ascii="Sylfaen" w:eastAsia="Arial Unicode MS" w:hAnsi="Sylfaen" w:cs="Arial Unicode MS"/>
                <w:b/>
                <w:noProof/>
              </w:rPr>
            </w:pPr>
            <w:r w:rsidRPr="00884387">
              <w:rPr>
                <w:rFonts w:ascii="Sylfaen" w:eastAsia="Arial Unicode MS" w:hAnsi="Sylfaen" w:cs="Arial Unicode MS"/>
                <w:b/>
                <w:noProof/>
              </w:rPr>
              <w:t xml:space="preserve">2.1 დისციპლინური სამართალწარმოების დაწყების უფლებამოსილება </w:t>
            </w:r>
          </w:p>
          <w:p w:rsidR="00884387" w:rsidRPr="00884387" w:rsidRDefault="00884387" w:rsidP="00884387">
            <w:pPr>
              <w:jc w:val="both"/>
              <w:rPr>
                <w:rFonts w:ascii="Sylfaen" w:hAnsi="Sylfaen" w:cs="Sylfaen"/>
                <w:lang w:val="ka-GE"/>
              </w:rPr>
            </w:pPr>
            <w:r w:rsidRPr="00884387">
              <w:rPr>
                <w:rFonts w:ascii="Sylfaen" w:hAnsi="Sylfaen" w:cs="Sylfaen"/>
                <w:lang w:val="ka-GE"/>
              </w:rPr>
              <w:t>მართლმსაჯულების რეფორმის „მესამე ტალღის” მიღებამდე არსებული კანონმდებლობით, მოსამართლის</w:t>
            </w:r>
            <w:r>
              <w:rPr>
                <w:rFonts w:ascii="Sylfaen" w:hAnsi="Sylfaen" w:cs="Sylfaen"/>
                <w:lang w:val="ka-GE"/>
              </w:rPr>
              <w:t xml:space="preserve"> </w:t>
            </w:r>
            <w:r w:rsidRPr="00884387">
              <w:rPr>
                <w:rFonts w:ascii="Sylfaen" w:hAnsi="Sylfaen" w:cs="Sylfaen"/>
                <w:lang w:val="ka-GE"/>
              </w:rPr>
              <w:t>მიმართ დისციპლინური სამართალწარმოების დაწყების უფლებამოსილება, იუსტიციის საბჭოსთან</w:t>
            </w:r>
            <w:r>
              <w:rPr>
                <w:rFonts w:ascii="Sylfaen" w:hAnsi="Sylfaen" w:cs="Sylfaen"/>
                <w:lang w:val="ka-GE"/>
              </w:rPr>
              <w:t xml:space="preserve"> </w:t>
            </w:r>
            <w:r w:rsidRPr="00884387">
              <w:rPr>
                <w:rFonts w:ascii="Sylfaen" w:hAnsi="Sylfaen" w:cs="Sylfaen"/>
                <w:lang w:val="ka-GE"/>
              </w:rPr>
              <w:t>ერთად, ჰქონდა საქართველოს უზენაესი სასამართლოს თავმჯდომარეს ყველა მოსამართლის</w:t>
            </w:r>
            <w:r>
              <w:rPr>
                <w:rFonts w:ascii="Sylfaen" w:hAnsi="Sylfaen" w:cs="Sylfaen"/>
                <w:lang w:val="ka-GE"/>
              </w:rPr>
              <w:t xml:space="preserve"> </w:t>
            </w:r>
            <w:r w:rsidRPr="00884387">
              <w:rPr>
                <w:rFonts w:ascii="Sylfaen" w:hAnsi="Sylfaen" w:cs="Sylfaen"/>
                <w:lang w:val="ka-GE"/>
              </w:rPr>
              <w:t>მიმართ, ხოლო სააპელაციო სასამართლოს თავმჯდომარეს _ შესაბამისი სააპელაციო სასამართლოს</w:t>
            </w:r>
            <w:r>
              <w:rPr>
                <w:rFonts w:ascii="Sylfaen" w:hAnsi="Sylfaen" w:cs="Sylfaen"/>
                <w:lang w:val="ka-GE"/>
              </w:rPr>
              <w:t xml:space="preserve"> </w:t>
            </w:r>
            <w:r w:rsidRPr="00884387">
              <w:rPr>
                <w:rFonts w:ascii="Sylfaen" w:hAnsi="Sylfaen" w:cs="Sylfaen"/>
                <w:lang w:val="ka-GE"/>
              </w:rPr>
              <w:t>მოსამართლის, აგრეთვე, სააპელაციო სასამართლოს სამოქმედო ტერიტორიაზე მოქმედი რაიონული</w:t>
            </w:r>
            <w:r>
              <w:rPr>
                <w:rFonts w:ascii="Sylfaen" w:hAnsi="Sylfaen" w:cs="Sylfaen"/>
                <w:lang w:val="ka-GE"/>
              </w:rPr>
              <w:t xml:space="preserve"> </w:t>
            </w:r>
            <w:r w:rsidRPr="00884387">
              <w:rPr>
                <w:rFonts w:ascii="Sylfaen" w:hAnsi="Sylfaen" w:cs="Sylfaen"/>
                <w:lang w:val="ka-GE"/>
              </w:rPr>
              <w:t>(საქალაქო) სასამართლოს მოსამართლის მიმართ. მართლმსაჯულების რეფორმის `მესამე ტალღის”მიღების შემდეგ, აღნიშნული წესი შეიცვალა და უზენაესი და სააპელაციო სასამართლოების თავმჯდომარეებს</w:t>
            </w:r>
            <w:r>
              <w:rPr>
                <w:rFonts w:ascii="Sylfaen" w:hAnsi="Sylfaen" w:cs="Sylfaen"/>
                <w:lang w:val="ka-GE"/>
              </w:rPr>
              <w:t xml:space="preserve"> </w:t>
            </w:r>
            <w:r w:rsidRPr="00884387">
              <w:rPr>
                <w:rFonts w:ascii="Sylfaen" w:hAnsi="Sylfaen" w:cs="Sylfaen"/>
                <w:lang w:val="ka-GE"/>
              </w:rPr>
              <w:t xml:space="preserve">აღარ </w:t>
            </w:r>
            <w:r>
              <w:rPr>
                <w:rFonts w:ascii="Sylfaen" w:hAnsi="Sylfaen" w:cs="Sylfaen"/>
                <w:lang w:val="ka-GE"/>
              </w:rPr>
              <w:t>აქვთ</w:t>
            </w:r>
            <w:r w:rsidRPr="00884387">
              <w:rPr>
                <w:rFonts w:ascii="Sylfaen" w:hAnsi="Sylfaen" w:cs="Sylfaen"/>
                <w:lang w:val="ka-GE"/>
              </w:rPr>
              <w:t xml:space="preserve"> ამგვარი უფლებამოსილება, რაც მისასალმებელია.</w:t>
            </w:r>
          </w:p>
          <w:p w:rsidR="00884387" w:rsidRDefault="00884387" w:rsidP="00884387">
            <w:pPr>
              <w:jc w:val="both"/>
              <w:rPr>
                <w:rFonts w:ascii="Sylfaen" w:hAnsi="Sylfaen" w:cs="Sylfaen"/>
                <w:lang w:val="ka-GE"/>
              </w:rPr>
            </w:pPr>
            <w:r w:rsidRPr="00884387">
              <w:rPr>
                <w:rFonts w:ascii="Sylfaen" w:hAnsi="Sylfaen" w:cs="Sylfaen"/>
                <w:lang w:val="ka-GE"/>
              </w:rPr>
              <w:t>სასამართლო ხელისუფლების დამოუკიდებლობა გულისხმობს მის დამოუკიდებლობას არა მარტო</w:t>
            </w:r>
            <w:r>
              <w:rPr>
                <w:rFonts w:ascii="Sylfaen" w:hAnsi="Sylfaen" w:cs="Sylfaen"/>
                <w:lang w:val="ka-GE"/>
              </w:rPr>
              <w:t xml:space="preserve"> </w:t>
            </w:r>
            <w:r w:rsidRPr="00884387">
              <w:rPr>
                <w:rFonts w:ascii="Sylfaen" w:hAnsi="Sylfaen" w:cs="Sylfaen"/>
                <w:lang w:val="ka-GE"/>
              </w:rPr>
              <w:t>ხელისუფლების სხვა ორგანოებისგან, არამედ მას აქვს, ასევე, „შიდა“ ასპექტი. სასამართლო განხილვის</w:t>
            </w:r>
            <w:r>
              <w:rPr>
                <w:rFonts w:ascii="Sylfaen" w:hAnsi="Sylfaen" w:cs="Sylfaen"/>
                <w:lang w:val="ka-GE"/>
              </w:rPr>
              <w:t xml:space="preserve"> </w:t>
            </w:r>
            <w:r w:rsidRPr="00884387">
              <w:rPr>
                <w:rFonts w:ascii="Sylfaen" w:hAnsi="Sylfaen" w:cs="Sylfaen"/>
                <w:lang w:val="ka-GE"/>
              </w:rPr>
              <w:t>დროს მოსამართლე უნდა იყოს დამოუკიდებელი სხვა მოსამართლეებისგან, მისი სასამართლოს</w:t>
            </w:r>
            <w:r>
              <w:rPr>
                <w:rFonts w:ascii="Sylfaen" w:hAnsi="Sylfaen" w:cs="Sylfaen"/>
                <w:lang w:val="ka-GE"/>
              </w:rPr>
              <w:t xml:space="preserve"> </w:t>
            </w:r>
            <w:r w:rsidRPr="00884387">
              <w:rPr>
                <w:rFonts w:ascii="Sylfaen" w:hAnsi="Sylfaen" w:cs="Sylfaen"/>
                <w:lang w:val="ka-GE"/>
              </w:rPr>
              <w:t>თავმჯდომარისგან და სხვა (სააპელაციო თუ ზემდგომი) სასამართლოებისგან. ზემოაღნიშნულის</w:t>
            </w:r>
            <w:r>
              <w:rPr>
                <w:rFonts w:ascii="Sylfaen" w:hAnsi="Sylfaen" w:cs="Sylfaen"/>
                <w:lang w:val="ka-GE"/>
              </w:rPr>
              <w:t xml:space="preserve"> </w:t>
            </w:r>
            <w:r w:rsidRPr="00884387">
              <w:rPr>
                <w:rFonts w:ascii="Sylfaen" w:hAnsi="Sylfaen" w:cs="Sylfaen"/>
                <w:lang w:val="ka-GE"/>
              </w:rPr>
              <w:t>გათვალისწინებით, სასამართლოს თავმჯდომარეებისთვის დისციპლინური სამართალწარმოების დაწყების</w:t>
            </w:r>
            <w:r>
              <w:rPr>
                <w:rFonts w:ascii="Sylfaen" w:hAnsi="Sylfaen" w:cs="Sylfaen"/>
                <w:lang w:val="ka-GE"/>
              </w:rPr>
              <w:t xml:space="preserve"> </w:t>
            </w:r>
            <w:r w:rsidRPr="00884387">
              <w:rPr>
                <w:rFonts w:ascii="Sylfaen" w:hAnsi="Sylfaen" w:cs="Sylfaen"/>
                <w:lang w:val="ka-GE"/>
              </w:rPr>
              <w:t xml:space="preserve">უფლებამოსილებამ </w:t>
            </w:r>
            <w:r w:rsidRPr="00884387">
              <w:rPr>
                <w:rFonts w:ascii="Sylfaen" w:hAnsi="Sylfaen" w:cs="Sylfaen"/>
                <w:lang w:val="ka-GE"/>
              </w:rPr>
              <w:lastRenderedPageBreak/>
              <w:t>შესაძლოა გამოიწვიოს საქმის განმხილველი მოსამართლის დამოუკიდებლობის</w:t>
            </w:r>
            <w:r>
              <w:rPr>
                <w:rFonts w:ascii="Sylfaen" w:hAnsi="Sylfaen" w:cs="Sylfaen"/>
                <w:lang w:val="ka-GE"/>
              </w:rPr>
              <w:t xml:space="preserve"> </w:t>
            </w:r>
            <w:r w:rsidRPr="00884387">
              <w:rPr>
                <w:rFonts w:ascii="Sylfaen" w:hAnsi="Sylfaen" w:cs="Sylfaen"/>
                <w:lang w:val="ka-GE"/>
              </w:rPr>
              <w:t>დაკნინება, მაგალითად, ისეთ ვითარებაში, თუ მოსამართლეს კონფლიქტი აქვს სასამართლოს</w:t>
            </w:r>
            <w:r>
              <w:rPr>
                <w:rFonts w:ascii="Sylfaen" w:hAnsi="Sylfaen" w:cs="Sylfaen"/>
                <w:lang w:val="ka-GE"/>
              </w:rPr>
              <w:t xml:space="preserve"> </w:t>
            </w:r>
            <w:r w:rsidRPr="00884387">
              <w:rPr>
                <w:rFonts w:ascii="Sylfaen" w:hAnsi="Sylfaen" w:cs="Sylfaen"/>
                <w:lang w:val="ka-GE"/>
              </w:rPr>
              <w:t xml:space="preserve">თავმჯდომარესთან. </w:t>
            </w:r>
          </w:p>
          <w:p w:rsidR="00884387" w:rsidRPr="000D5365" w:rsidRDefault="00884387" w:rsidP="00884387">
            <w:pPr>
              <w:jc w:val="both"/>
              <w:rPr>
                <w:rFonts w:ascii="Sylfaen" w:hAnsi="Sylfaen" w:cs="Sylfaen"/>
                <w:b/>
                <w:lang w:val="ka-GE"/>
              </w:rPr>
            </w:pPr>
            <w:r w:rsidRPr="000D5365">
              <w:rPr>
                <w:rFonts w:ascii="Sylfaen" w:hAnsi="Sylfaen" w:cs="Sylfaen"/>
                <w:b/>
                <w:lang w:val="ka-GE"/>
              </w:rPr>
              <w:t xml:space="preserve">2.2 </w:t>
            </w:r>
            <w:r w:rsidR="000D5365" w:rsidRPr="000D5365">
              <w:rPr>
                <w:rFonts w:ascii="Sylfaen" w:hAnsi="Sylfaen" w:cs="Sylfaen"/>
                <w:b/>
                <w:lang w:val="ka-GE"/>
              </w:rPr>
              <w:t>მოსამართლისთვის ახსნა-განმარტების ჩამორთმევის წესი</w:t>
            </w:r>
          </w:p>
          <w:p w:rsidR="00884387" w:rsidRPr="00884387" w:rsidRDefault="00884387" w:rsidP="00884387">
            <w:pPr>
              <w:jc w:val="both"/>
              <w:rPr>
                <w:rFonts w:ascii="Sylfaen" w:hAnsi="Sylfaen" w:cs="Sylfaen"/>
                <w:lang w:val="ka-GE"/>
              </w:rPr>
            </w:pPr>
            <w:r w:rsidRPr="00884387">
              <w:rPr>
                <w:rFonts w:ascii="Sylfaen" w:hAnsi="Sylfaen" w:cs="Sylfaen"/>
                <w:lang w:val="ka-GE"/>
              </w:rPr>
              <w:t>მართლმსაჯულების რეფორმის „მესამე ტალღის” მიღებამდე, მოსამართლის მიმართ შემოსული საჩივრის</w:t>
            </w:r>
            <w:r w:rsidR="000D5365">
              <w:rPr>
                <w:rFonts w:ascii="Sylfaen" w:hAnsi="Sylfaen" w:cs="Sylfaen"/>
                <w:lang w:val="ka-GE"/>
              </w:rPr>
              <w:t xml:space="preserve"> </w:t>
            </w:r>
            <w:r w:rsidRPr="00884387">
              <w:rPr>
                <w:rFonts w:ascii="Sylfaen" w:hAnsi="Sylfaen" w:cs="Sylfaen"/>
                <w:lang w:val="ka-GE"/>
              </w:rPr>
              <w:t>წინასწარი შემოწმების შედეგად, იუსტიციის უმაღლესი საბჭოს მდივანი აფასებდა დისციპლინური</w:t>
            </w:r>
            <w:r w:rsidR="000D5365">
              <w:rPr>
                <w:rFonts w:ascii="Sylfaen" w:hAnsi="Sylfaen" w:cs="Sylfaen"/>
                <w:lang w:val="ka-GE"/>
              </w:rPr>
              <w:t xml:space="preserve"> </w:t>
            </w:r>
            <w:r w:rsidRPr="00884387">
              <w:rPr>
                <w:rFonts w:ascii="Sylfaen" w:hAnsi="Sylfaen" w:cs="Sylfaen"/>
                <w:lang w:val="ka-GE"/>
              </w:rPr>
              <w:t>დევნის დაწყების საფუძვლიანობას და იღებდა გადაწყვეტილებას დისციპლინური დევნის</w:t>
            </w:r>
            <w:r w:rsidR="000D5365">
              <w:rPr>
                <w:rFonts w:ascii="Sylfaen" w:hAnsi="Sylfaen" w:cs="Sylfaen"/>
                <w:lang w:val="ka-GE"/>
              </w:rPr>
              <w:t xml:space="preserve"> </w:t>
            </w:r>
            <w:r w:rsidRPr="00884387">
              <w:rPr>
                <w:rFonts w:ascii="Sylfaen" w:hAnsi="Sylfaen" w:cs="Sylfaen"/>
                <w:lang w:val="ka-GE"/>
              </w:rPr>
              <w:t>შეწყვეტის ან მოსამართლისათვის ახსნა-განმარტების ჩამორთმევის თაობაზე. ხოლო იმ შემთხვევაში,</w:t>
            </w:r>
            <w:r w:rsidR="000D5365">
              <w:rPr>
                <w:rFonts w:ascii="Sylfaen" w:hAnsi="Sylfaen" w:cs="Sylfaen"/>
                <w:lang w:val="ka-GE"/>
              </w:rPr>
              <w:t xml:space="preserve"> </w:t>
            </w:r>
            <w:r w:rsidRPr="00884387">
              <w:rPr>
                <w:rFonts w:ascii="Sylfaen" w:hAnsi="Sylfaen" w:cs="Sylfaen"/>
                <w:lang w:val="ka-GE"/>
              </w:rPr>
              <w:t>თუ საქართველოს იუსტიციის უმაღლესი საბჭოს მდივანი მიიჩნევდა, რომ დისციპლინური დევნა უნდა</w:t>
            </w:r>
            <w:r w:rsidR="000D5365">
              <w:rPr>
                <w:rFonts w:ascii="Sylfaen" w:hAnsi="Sylfaen" w:cs="Sylfaen"/>
                <w:lang w:val="ka-GE"/>
              </w:rPr>
              <w:t xml:space="preserve"> </w:t>
            </w:r>
            <w:r w:rsidRPr="00884387">
              <w:rPr>
                <w:rFonts w:ascii="Sylfaen" w:hAnsi="Sylfaen" w:cs="Sylfaen"/>
                <w:lang w:val="ka-GE"/>
              </w:rPr>
              <w:t>შეწყვეტილიყო, იგი განსახილველად წარედგინებოდა საქართველოს იუსტიციის უმაღლეს საბჭოს</w:t>
            </w:r>
            <w:r w:rsidR="000D5365">
              <w:rPr>
                <w:rFonts w:ascii="Sylfaen" w:hAnsi="Sylfaen" w:cs="Sylfaen"/>
                <w:lang w:val="ka-GE"/>
              </w:rPr>
              <w:t>.</w:t>
            </w:r>
          </w:p>
          <w:p w:rsidR="00884387" w:rsidRDefault="00884387" w:rsidP="000D5365">
            <w:pPr>
              <w:jc w:val="both"/>
              <w:rPr>
                <w:rFonts w:ascii="Sylfaen" w:hAnsi="Sylfaen" w:cs="Sylfaen"/>
                <w:lang w:val="ka-GE"/>
              </w:rPr>
            </w:pPr>
            <w:r w:rsidRPr="00884387">
              <w:rPr>
                <w:rFonts w:ascii="Sylfaen" w:hAnsi="Sylfaen" w:cs="Sylfaen"/>
                <w:lang w:val="ka-GE"/>
              </w:rPr>
              <w:t>დისციპლინური სამართალწარმოების საწყის ეტაპზე იუსტიციის საბჭოს მდივნის ექსკლუზიურ</w:t>
            </w:r>
            <w:r w:rsidR="000D5365">
              <w:rPr>
                <w:rFonts w:ascii="Sylfaen" w:hAnsi="Sylfaen" w:cs="Sylfaen"/>
                <w:lang w:val="ka-GE"/>
              </w:rPr>
              <w:t xml:space="preserve"> </w:t>
            </w:r>
            <w:r w:rsidRPr="00884387">
              <w:rPr>
                <w:rFonts w:ascii="Sylfaen" w:hAnsi="Sylfaen" w:cs="Sylfaen"/>
                <w:lang w:val="ka-GE"/>
              </w:rPr>
              <w:t xml:space="preserve">უფლებამოსილებები გადაჭარბებულად და, შესაბამისად, ნეგატიურად </w:t>
            </w:r>
            <w:r w:rsidR="000D5365">
              <w:rPr>
                <w:rFonts w:ascii="Sylfaen" w:hAnsi="Sylfaen" w:cs="Sylfaen"/>
                <w:lang w:val="ka-GE"/>
              </w:rPr>
              <w:t>ფასდებოდა</w:t>
            </w:r>
            <w:r w:rsidRPr="00884387">
              <w:rPr>
                <w:rFonts w:ascii="Sylfaen" w:hAnsi="Sylfaen" w:cs="Sylfaen"/>
                <w:lang w:val="ka-GE"/>
              </w:rPr>
              <w:t>. ზემოაღნიშნ</w:t>
            </w:r>
            <w:r w:rsidR="000D5365">
              <w:rPr>
                <w:rFonts w:ascii="Sylfaen" w:hAnsi="Sylfaen" w:cs="Sylfaen"/>
                <w:lang w:val="ka-GE"/>
              </w:rPr>
              <w:t xml:space="preserve">ულიდა </w:t>
            </w:r>
            <w:r w:rsidRPr="00884387">
              <w:rPr>
                <w:rFonts w:ascii="Sylfaen" w:hAnsi="Sylfaen" w:cs="Sylfaen"/>
                <w:lang w:val="ka-GE"/>
              </w:rPr>
              <w:t xml:space="preserve">გამომდინარე, </w:t>
            </w:r>
            <w:r w:rsidR="000D5365">
              <w:rPr>
                <w:rFonts w:ascii="Sylfaen" w:hAnsi="Sylfaen" w:cs="Sylfaen"/>
                <w:lang w:val="ka-GE"/>
              </w:rPr>
              <w:t>მისასალმებელია  “</w:t>
            </w:r>
            <w:r w:rsidRPr="00884387">
              <w:rPr>
                <w:rFonts w:ascii="Sylfaen" w:hAnsi="Sylfaen" w:cs="Sylfaen"/>
                <w:lang w:val="ka-GE"/>
              </w:rPr>
              <w:t>მესამე ტალღით” განსაზღვრული ცვლილებები, რომლითაც</w:t>
            </w:r>
            <w:r w:rsidR="000D5365">
              <w:rPr>
                <w:rFonts w:ascii="Sylfaen" w:hAnsi="Sylfaen" w:cs="Sylfaen"/>
                <w:lang w:val="ka-GE"/>
              </w:rPr>
              <w:t xml:space="preserve"> </w:t>
            </w:r>
            <w:r w:rsidRPr="00884387">
              <w:rPr>
                <w:rFonts w:ascii="Sylfaen" w:hAnsi="Sylfaen" w:cs="Sylfaen"/>
                <w:lang w:val="ka-GE"/>
              </w:rPr>
              <w:t>აღნიშნული უფლებამოსილება იუსტიციის საბჭოს მდივანს ერთპიროვნულად აღარ აქვს. კერძოდ,</w:t>
            </w:r>
            <w:r w:rsidR="000D5365">
              <w:rPr>
                <w:rFonts w:ascii="Sylfaen" w:hAnsi="Sylfaen" w:cs="Sylfaen"/>
                <w:lang w:val="ka-GE"/>
              </w:rPr>
              <w:t xml:space="preserve"> </w:t>
            </w:r>
            <w:r w:rsidRPr="00884387">
              <w:rPr>
                <w:rFonts w:ascii="Sylfaen" w:hAnsi="Sylfaen" w:cs="Sylfaen"/>
                <w:lang w:val="ka-GE"/>
              </w:rPr>
              <w:t>ცვლილებებით გათვალისწინებულია დამოუკიდებელი ინსპექტორის ინსტიტუტი, რომელსაც 5</w:t>
            </w:r>
            <w:r w:rsidR="000D5365">
              <w:rPr>
                <w:rFonts w:ascii="Sylfaen" w:hAnsi="Sylfaen" w:cs="Sylfaen"/>
                <w:lang w:val="ka-GE"/>
              </w:rPr>
              <w:t xml:space="preserve"> </w:t>
            </w:r>
            <w:r w:rsidRPr="00884387">
              <w:rPr>
                <w:rFonts w:ascii="Sylfaen" w:hAnsi="Sylfaen" w:cs="Sylfaen"/>
                <w:lang w:val="ka-GE"/>
              </w:rPr>
              <w:t>წლის ვადით თანამდებობაზე ნიშნავს და ათავისუფლებს იუსტიციის უმაღლესი საბჭო. დამოუკიდებელი</w:t>
            </w:r>
            <w:r w:rsidR="000D5365">
              <w:rPr>
                <w:rFonts w:ascii="Sylfaen" w:hAnsi="Sylfaen" w:cs="Sylfaen"/>
                <w:lang w:val="ka-GE"/>
              </w:rPr>
              <w:t xml:space="preserve"> </w:t>
            </w:r>
            <w:r w:rsidRPr="00884387">
              <w:rPr>
                <w:rFonts w:ascii="Sylfaen" w:hAnsi="Sylfaen" w:cs="Sylfaen"/>
                <w:lang w:val="ka-GE"/>
              </w:rPr>
              <w:t>ინსპექტორი წინასწარი შემოწმების შედეგად შეაფასებს დისციპლინური დევნის დაწყების საფუძვლიანობას,</w:t>
            </w:r>
            <w:r w:rsidR="000D5365">
              <w:rPr>
                <w:rFonts w:ascii="Sylfaen" w:hAnsi="Sylfaen" w:cs="Sylfaen"/>
                <w:lang w:val="ka-GE"/>
              </w:rPr>
              <w:t xml:space="preserve"> </w:t>
            </w:r>
            <w:r w:rsidRPr="00884387">
              <w:rPr>
                <w:rFonts w:ascii="Sylfaen" w:hAnsi="Sylfaen" w:cs="Sylfaen"/>
                <w:lang w:val="ka-GE"/>
              </w:rPr>
              <w:t>რის შედეგადაც იუსტიციის უმაღლესი საბჭო კოლეგიურად მიიღებს გადაწყვეტილებას</w:t>
            </w:r>
            <w:r w:rsidR="000D5365">
              <w:rPr>
                <w:rFonts w:ascii="Sylfaen" w:hAnsi="Sylfaen" w:cs="Sylfaen"/>
                <w:lang w:val="ka-GE"/>
              </w:rPr>
              <w:t xml:space="preserve"> </w:t>
            </w:r>
            <w:r w:rsidRPr="00884387">
              <w:rPr>
                <w:rFonts w:ascii="Sylfaen" w:hAnsi="Sylfaen" w:cs="Sylfaen"/>
                <w:lang w:val="ka-GE"/>
              </w:rPr>
              <w:t>დისციპლინური დევნის დაწყებისა და მოსამართლისათვის ახსნა-განმარტების ჩამორთმევის ან დისციპლინური</w:t>
            </w:r>
            <w:r w:rsidR="000D5365">
              <w:rPr>
                <w:rFonts w:ascii="Sylfaen" w:hAnsi="Sylfaen" w:cs="Sylfaen"/>
                <w:lang w:val="ka-GE"/>
              </w:rPr>
              <w:t xml:space="preserve"> </w:t>
            </w:r>
            <w:r w:rsidRPr="00884387">
              <w:rPr>
                <w:rFonts w:ascii="Sylfaen" w:hAnsi="Sylfaen" w:cs="Sylfaen"/>
                <w:lang w:val="ka-GE"/>
              </w:rPr>
              <w:t xml:space="preserve">სამართალწარმოების შეწყვეტის თაობაზე. </w:t>
            </w:r>
          </w:p>
          <w:p w:rsidR="00884387" w:rsidRPr="000D5365" w:rsidRDefault="000D5365" w:rsidP="00884387">
            <w:pPr>
              <w:jc w:val="both"/>
              <w:rPr>
                <w:rFonts w:ascii="Sylfaen" w:hAnsi="Sylfaen" w:cs="Sylfaen"/>
                <w:b/>
                <w:lang w:val="ka-GE"/>
              </w:rPr>
            </w:pPr>
            <w:r w:rsidRPr="000D5365">
              <w:rPr>
                <w:rFonts w:ascii="Sylfaen" w:hAnsi="Sylfaen" w:cs="Sylfaen"/>
                <w:b/>
                <w:lang w:val="ka-GE"/>
              </w:rPr>
              <w:t>2.3 დისციპლინური სამართალწარმოების ვადები</w:t>
            </w:r>
          </w:p>
          <w:p w:rsidR="00884387" w:rsidRDefault="00884387" w:rsidP="00884387">
            <w:pPr>
              <w:jc w:val="both"/>
              <w:rPr>
                <w:rFonts w:ascii="Sylfaen" w:hAnsi="Sylfaen" w:cs="Sylfaen"/>
                <w:lang w:val="ka-GE"/>
              </w:rPr>
            </w:pPr>
            <w:r w:rsidRPr="00884387">
              <w:rPr>
                <w:rFonts w:ascii="Sylfaen" w:hAnsi="Sylfaen" w:cs="Sylfaen"/>
                <w:lang w:val="ka-GE"/>
              </w:rPr>
              <w:t>„მესამე ტალღის” რეფორმის მიღებამდე კანონმდებლობით არ იყო განსაზღვრული, თუ რა ვადაში</w:t>
            </w:r>
            <w:r w:rsidR="000D5365">
              <w:rPr>
                <w:rFonts w:ascii="Sylfaen" w:hAnsi="Sylfaen" w:cs="Sylfaen"/>
                <w:lang w:val="ka-GE"/>
              </w:rPr>
              <w:t xml:space="preserve"> </w:t>
            </w:r>
            <w:r w:rsidRPr="00884387">
              <w:rPr>
                <w:rFonts w:ascii="Sylfaen" w:hAnsi="Sylfaen" w:cs="Sylfaen"/>
                <w:lang w:val="ka-GE"/>
              </w:rPr>
              <w:t>უნდა ჩატარებულიყო საქართველოს იუსტიციის უმაღლესი საბჭოს სხდომა სადისციპლინო საკითხზე,</w:t>
            </w:r>
            <w:r w:rsidR="000D5365">
              <w:rPr>
                <w:rFonts w:ascii="Sylfaen" w:hAnsi="Sylfaen" w:cs="Sylfaen"/>
                <w:lang w:val="ka-GE"/>
              </w:rPr>
              <w:t xml:space="preserve"> </w:t>
            </w:r>
            <w:r w:rsidRPr="00884387">
              <w:rPr>
                <w:rFonts w:ascii="Sylfaen" w:hAnsi="Sylfaen" w:cs="Sylfaen"/>
                <w:lang w:val="ka-GE"/>
              </w:rPr>
              <w:t>რომელზეც საბჭოს უნდა მიეღო გადაწყვეტილება მოსამართლის დისციპლინურ პასუხისგებაში მიცემის</w:t>
            </w:r>
            <w:r w:rsidR="000D5365">
              <w:rPr>
                <w:rFonts w:ascii="Sylfaen" w:hAnsi="Sylfaen" w:cs="Sylfaen"/>
                <w:lang w:val="ka-GE"/>
              </w:rPr>
              <w:t xml:space="preserve"> </w:t>
            </w:r>
            <w:r w:rsidRPr="00884387">
              <w:rPr>
                <w:rFonts w:ascii="Sylfaen" w:hAnsi="Sylfaen" w:cs="Sylfaen"/>
                <w:lang w:val="ka-GE"/>
              </w:rPr>
              <w:t>ან მის მიმართ სამართალწარმოების შეწყვეტის შესახებ. შესაბამისად, კონკრეტული მოსამართლის</w:t>
            </w:r>
            <w:r w:rsidR="000D5365">
              <w:rPr>
                <w:rFonts w:ascii="Sylfaen" w:hAnsi="Sylfaen" w:cs="Sylfaen"/>
                <w:lang w:val="ka-GE"/>
              </w:rPr>
              <w:t xml:space="preserve"> </w:t>
            </w:r>
            <w:r w:rsidRPr="00884387">
              <w:rPr>
                <w:rFonts w:ascii="Sylfaen" w:hAnsi="Sylfaen" w:cs="Sylfaen"/>
                <w:lang w:val="ka-GE"/>
              </w:rPr>
              <w:t>მიმართ დისციპლინური დევნის საკითხზე საბოლოო გადაწყვეტილების მიღების ვადა დამოკიდებული</w:t>
            </w:r>
            <w:r w:rsidR="000D5365">
              <w:rPr>
                <w:rFonts w:ascii="Sylfaen" w:hAnsi="Sylfaen" w:cs="Sylfaen"/>
                <w:lang w:val="ka-GE"/>
              </w:rPr>
              <w:t xml:space="preserve"> </w:t>
            </w:r>
            <w:r w:rsidRPr="00884387">
              <w:rPr>
                <w:rFonts w:ascii="Sylfaen" w:hAnsi="Sylfaen" w:cs="Sylfaen"/>
                <w:lang w:val="ka-GE"/>
              </w:rPr>
              <w:t>იყო ხანდაზმულობის ზოგად ვადებზე, რაც მოცემულია კანონში. ასეთ ვითარებაში აზრს კარგავდა</w:t>
            </w:r>
            <w:r w:rsidR="000D5365">
              <w:rPr>
                <w:rFonts w:ascii="Sylfaen" w:hAnsi="Sylfaen" w:cs="Sylfaen"/>
                <w:lang w:val="ka-GE"/>
              </w:rPr>
              <w:t xml:space="preserve"> </w:t>
            </w:r>
            <w:r w:rsidRPr="00884387">
              <w:rPr>
                <w:rFonts w:ascii="Sylfaen" w:hAnsi="Sylfaen" w:cs="Sylfaen"/>
                <w:lang w:val="ka-GE"/>
              </w:rPr>
              <w:t>კანონის ის დებულებები, რომლებიც არეგულირებს განცხადების განხილვისა და დისციპლინური</w:t>
            </w:r>
            <w:r w:rsidR="000D5365">
              <w:rPr>
                <w:rFonts w:ascii="Sylfaen" w:hAnsi="Sylfaen" w:cs="Sylfaen"/>
                <w:lang w:val="ka-GE"/>
              </w:rPr>
              <w:t xml:space="preserve"> </w:t>
            </w:r>
            <w:r w:rsidRPr="00884387">
              <w:rPr>
                <w:rFonts w:ascii="Sylfaen" w:hAnsi="Sylfaen" w:cs="Sylfaen"/>
                <w:lang w:val="ka-GE"/>
              </w:rPr>
              <w:t>საქმის გამოკვლევის ვადებს. რეალურად, ისინი ეფექტური ვერ იქნებოდა, თუკი საკანონმდებლო</w:t>
            </w:r>
            <w:r w:rsidR="000D5365">
              <w:rPr>
                <w:rFonts w:ascii="Sylfaen" w:hAnsi="Sylfaen" w:cs="Sylfaen"/>
                <w:lang w:val="ka-GE"/>
              </w:rPr>
              <w:t xml:space="preserve"> </w:t>
            </w:r>
            <w:r w:rsidRPr="00884387">
              <w:rPr>
                <w:rFonts w:ascii="Sylfaen" w:hAnsi="Sylfaen" w:cs="Sylfaen"/>
                <w:lang w:val="ka-GE"/>
              </w:rPr>
              <w:t>დონეზე არ განისაზღვრებოდა ვადა, რომლის განმავლობაშიც იუსტიციის უმაღლესმა საბჭომ უნდა</w:t>
            </w:r>
            <w:r w:rsidR="000D5365">
              <w:rPr>
                <w:rFonts w:ascii="Sylfaen" w:hAnsi="Sylfaen" w:cs="Sylfaen"/>
                <w:lang w:val="ka-GE"/>
              </w:rPr>
              <w:t xml:space="preserve"> </w:t>
            </w:r>
            <w:r w:rsidRPr="00884387">
              <w:rPr>
                <w:rFonts w:ascii="Sylfaen" w:hAnsi="Sylfaen" w:cs="Sylfaen"/>
                <w:lang w:val="ka-GE"/>
              </w:rPr>
              <w:t>განიხილოს სადისციპლინო საკითხები და მიიღოს შესაბამისი გადაწყვეტილება. აღნიშნული რეგულაციის</w:t>
            </w:r>
            <w:r w:rsidR="000D5365">
              <w:rPr>
                <w:rFonts w:ascii="Sylfaen" w:hAnsi="Sylfaen" w:cs="Sylfaen"/>
                <w:lang w:val="ka-GE"/>
              </w:rPr>
              <w:t xml:space="preserve"> </w:t>
            </w:r>
            <w:r w:rsidRPr="00884387">
              <w:rPr>
                <w:rFonts w:ascii="Sylfaen" w:hAnsi="Sylfaen" w:cs="Sylfaen"/>
                <w:lang w:val="ka-GE"/>
              </w:rPr>
              <w:t>არქონა იწვევდა სადისციპლინო საკითხების განხილვის უსაფუძვლო გაჭიანურებას</w:t>
            </w:r>
            <w:r w:rsidR="000D5365">
              <w:rPr>
                <w:rFonts w:ascii="Sylfaen" w:hAnsi="Sylfaen" w:cs="Sylfaen"/>
                <w:lang w:val="ka-GE"/>
              </w:rPr>
              <w:t xml:space="preserve">. </w:t>
            </w:r>
            <w:r w:rsidRPr="00884387">
              <w:rPr>
                <w:rFonts w:ascii="Sylfaen" w:hAnsi="Sylfaen" w:cs="Sylfaen"/>
                <w:lang w:val="ka-GE"/>
              </w:rPr>
              <w:t>შესაბამისად,</w:t>
            </w:r>
            <w:r w:rsidR="000D5365">
              <w:rPr>
                <w:rFonts w:ascii="Sylfaen" w:hAnsi="Sylfaen" w:cs="Sylfaen"/>
                <w:lang w:val="ka-GE"/>
              </w:rPr>
              <w:t xml:space="preserve"> გაუმჯობესდა სიტუაცია ”</w:t>
            </w:r>
            <w:r w:rsidRPr="00884387">
              <w:rPr>
                <w:rFonts w:ascii="Sylfaen" w:hAnsi="Sylfaen" w:cs="Sylfaen"/>
                <w:lang w:val="ka-GE"/>
              </w:rPr>
              <w:t xml:space="preserve">მესამე ტალღით” მიღებული </w:t>
            </w:r>
            <w:r w:rsidR="000D5365">
              <w:rPr>
                <w:rFonts w:ascii="Sylfaen" w:hAnsi="Sylfaen" w:cs="Sylfaen"/>
                <w:lang w:val="ka-GE"/>
              </w:rPr>
              <w:t>იმ</w:t>
            </w:r>
            <w:r w:rsidRPr="00884387">
              <w:rPr>
                <w:rFonts w:ascii="Sylfaen" w:hAnsi="Sylfaen" w:cs="Sylfaen"/>
                <w:lang w:val="ka-GE"/>
              </w:rPr>
              <w:t xml:space="preserve"> ცვლილებები</w:t>
            </w:r>
            <w:r w:rsidR="000D5365">
              <w:rPr>
                <w:rFonts w:ascii="Sylfaen" w:hAnsi="Sylfaen" w:cs="Sylfaen"/>
                <w:lang w:val="ka-GE"/>
              </w:rPr>
              <w:t>თ</w:t>
            </w:r>
            <w:r w:rsidRPr="00884387">
              <w:rPr>
                <w:rFonts w:ascii="Sylfaen" w:hAnsi="Sylfaen" w:cs="Sylfaen"/>
                <w:lang w:val="ka-GE"/>
              </w:rPr>
              <w:t>, რომელთა თანახმადაც, დისციპლინური</w:t>
            </w:r>
            <w:r w:rsidR="000D5365">
              <w:rPr>
                <w:rFonts w:ascii="Sylfaen" w:hAnsi="Sylfaen" w:cs="Sylfaen"/>
                <w:lang w:val="ka-GE"/>
              </w:rPr>
              <w:t xml:space="preserve"> </w:t>
            </w:r>
            <w:r w:rsidRPr="00884387">
              <w:rPr>
                <w:rFonts w:ascii="Sylfaen" w:hAnsi="Sylfaen" w:cs="Sylfaen"/>
                <w:lang w:val="ka-GE"/>
              </w:rPr>
              <w:t>საქმის გამოკვლევისათვის დადგენილი საერთო ვადის ფარგლებში უნდა იყოს მიღებულიგადაწყვეტილება მოსამართლის დისციპლინურ პასუხისგებაში მიცემის ან მის მიმართ სამართალწარმოების</w:t>
            </w:r>
            <w:r w:rsidR="000D5365">
              <w:rPr>
                <w:rFonts w:ascii="Sylfaen" w:hAnsi="Sylfaen" w:cs="Sylfaen"/>
                <w:lang w:val="ka-GE"/>
              </w:rPr>
              <w:t xml:space="preserve"> </w:t>
            </w:r>
            <w:r w:rsidRPr="00884387">
              <w:rPr>
                <w:rFonts w:ascii="Sylfaen" w:hAnsi="Sylfaen" w:cs="Sylfaen"/>
                <w:lang w:val="ka-GE"/>
              </w:rPr>
              <w:t>შეწყვეტის შესახებ.</w:t>
            </w:r>
          </w:p>
          <w:p w:rsidR="00B16093" w:rsidRDefault="00B16093" w:rsidP="00884387">
            <w:pPr>
              <w:jc w:val="both"/>
              <w:rPr>
                <w:rFonts w:ascii="Sylfaen" w:hAnsi="Sylfaen" w:cs="Sylfaen"/>
                <w:lang w:val="ka-GE"/>
              </w:rPr>
            </w:pPr>
          </w:p>
          <w:p w:rsidR="00C21FFF" w:rsidRPr="00C21FFF" w:rsidRDefault="00C21FFF" w:rsidP="00884387">
            <w:pPr>
              <w:jc w:val="both"/>
              <w:rPr>
                <w:rFonts w:ascii="Sylfaen" w:hAnsi="Sylfaen" w:cs="Sylfaen"/>
                <w:b/>
                <w:lang w:val="ka-GE"/>
              </w:rPr>
            </w:pPr>
            <w:r w:rsidRPr="00C21FFF">
              <w:rPr>
                <w:rFonts w:ascii="Sylfaen" w:hAnsi="Sylfaen" w:cs="Sylfaen"/>
                <w:b/>
                <w:lang w:val="ka-GE"/>
              </w:rPr>
              <w:t xml:space="preserve">2.4 დისციპლინური სამართალწარმოების შეწყვეტის დასაბუთება </w:t>
            </w:r>
          </w:p>
          <w:p w:rsidR="00C21FFF" w:rsidRDefault="00884387" w:rsidP="00884387">
            <w:pPr>
              <w:jc w:val="both"/>
              <w:rPr>
                <w:rFonts w:ascii="Sylfaen" w:hAnsi="Sylfaen" w:cs="Sylfaen"/>
                <w:lang w:val="ka-GE"/>
              </w:rPr>
            </w:pPr>
            <w:r w:rsidRPr="00884387">
              <w:rPr>
                <w:rFonts w:ascii="Sylfaen" w:hAnsi="Sylfaen" w:cs="Sylfaen"/>
                <w:lang w:val="ka-GE"/>
              </w:rPr>
              <w:t>კანონმდებლობით განსაზღვრულია დისციპლინური სამართალწარმოების შეწყვეტის საფუძვლები.</w:t>
            </w:r>
            <w:r w:rsidR="00C21FFF">
              <w:rPr>
                <w:rFonts w:ascii="Sylfaen" w:hAnsi="Sylfaen" w:cs="Sylfaen"/>
                <w:lang w:val="ka-GE"/>
              </w:rPr>
              <w:t xml:space="preserve"> </w:t>
            </w:r>
            <w:r w:rsidRPr="00884387">
              <w:rPr>
                <w:rFonts w:ascii="Sylfaen" w:hAnsi="Sylfaen" w:cs="Sylfaen"/>
                <w:lang w:val="ka-GE"/>
              </w:rPr>
              <w:t>ერთ-ერთ ამგვარ საფუძველს წარმოადგენს შემთხვევა, როდესაც დისციპლინური საქმის გამოკვლევის</w:t>
            </w:r>
            <w:r w:rsidR="00C21FFF">
              <w:rPr>
                <w:rFonts w:ascii="Sylfaen" w:hAnsi="Sylfaen" w:cs="Sylfaen"/>
                <w:lang w:val="ka-GE"/>
              </w:rPr>
              <w:t xml:space="preserve"> </w:t>
            </w:r>
            <w:r w:rsidRPr="00884387">
              <w:rPr>
                <w:rFonts w:ascii="Sylfaen" w:hAnsi="Sylfaen" w:cs="Sylfaen"/>
                <w:lang w:val="ka-GE"/>
              </w:rPr>
              <w:t xml:space="preserve">შედეგად </w:t>
            </w:r>
            <w:r w:rsidRPr="00884387">
              <w:rPr>
                <w:rFonts w:ascii="Sylfaen" w:hAnsi="Sylfaen" w:cs="Sylfaen"/>
                <w:lang w:val="ka-GE"/>
              </w:rPr>
              <w:lastRenderedPageBreak/>
              <w:t>მოსამართლის მიერ კანონით გათვალისწინებული დისციპლინური გადაცდომის ჩადენის ფაქტი</w:t>
            </w:r>
            <w:r w:rsidR="00C21FFF">
              <w:rPr>
                <w:rFonts w:ascii="Sylfaen" w:hAnsi="Sylfaen" w:cs="Sylfaen"/>
                <w:lang w:val="ka-GE"/>
              </w:rPr>
              <w:t xml:space="preserve"> </w:t>
            </w:r>
            <w:r w:rsidRPr="00884387">
              <w:rPr>
                <w:rFonts w:ascii="Sylfaen" w:hAnsi="Sylfaen" w:cs="Sylfaen"/>
                <w:lang w:val="ka-GE"/>
              </w:rPr>
              <w:t>ან მისი ბრალეული ჩადენა არ დადასტურდება. თუმცა „მესამე ტალღის” საკანონმდებლო რეფორმის</w:t>
            </w:r>
            <w:r w:rsidR="00C21FFF">
              <w:rPr>
                <w:rFonts w:ascii="Sylfaen" w:hAnsi="Sylfaen" w:cs="Sylfaen"/>
                <w:lang w:val="ka-GE"/>
              </w:rPr>
              <w:t xml:space="preserve"> </w:t>
            </w:r>
            <w:r w:rsidRPr="00884387">
              <w:rPr>
                <w:rFonts w:ascii="Sylfaen" w:hAnsi="Sylfaen" w:cs="Sylfaen"/>
                <w:lang w:val="ka-GE"/>
              </w:rPr>
              <w:t>მიღებამდე იუსტიციის უმაღლეს საბჭოს არ ევალებოდა მიღებული გადაწყვეტილების დასაბუთება და</w:t>
            </w:r>
            <w:r w:rsidR="00C21FFF">
              <w:rPr>
                <w:rFonts w:ascii="Sylfaen" w:hAnsi="Sylfaen" w:cs="Sylfaen"/>
                <w:lang w:val="ka-GE"/>
              </w:rPr>
              <w:t xml:space="preserve"> </w:t>
            </w:r>
            <w:r w:rsidRPr="00884387">
              <w:rPr>
                <w:rFonts w:ascii="Sylfaen" w:hAnsi="Sylfaen" w:cs="Sylfaen"/>
                <w:lang w:val="ka-GE"/>
              </w:rPr>
              <w:t>არც საჩივრის ავტორს განემარტებოდა წარმოების შეწყვეტის საფუძვლიანობა. ეს</w:t>
            </w:r>
            <w:r w:rsidR="00C21FFF">
              <w:rPr>
                <w:rFonts w:ascii="Sylfaen" w:hAnsi="Sylfaen" w:cs="Sylfaen"/>
                <w:lang w:val="ka-GE"/>
              </w:rPr>
              <w:t xml:space="preserve"> კი</w:t>
            </w:r>
            <w:r w:rsidRPr="00884387">
              <w:rPr>
                <w:rFonts w:ascii="Sylfaen" w:hAnsi="Sylfaen" w:cs="Sylfaen"/>
                <w:lang w:val="ka-GE"/>
              </w:rPr>
              <w:t xml:space="preserve"> ხელს უშლიდა დისციპლინურ</w:t>
            </w:r>
            <w:r w:rsidR="00C21FFF">
              <w:rPr>
                <w:rFonts w:ascii="Sylfaen" w:hAnsi="Sylfaen" w:cs="Sylfaen"/>
                <w:lang w:val="ka-GE"/>
              </w:rPr>
              <w:t xml:space="preserve"> </w:t>
            </w:r>
            <w:r w:rsidRPr="00884387">
              <w:rPr>
                <w:rFonts w:ascii="Sylfaen" w:hAnsi="Sylfaen" w:cs="Sylfaen"/>
                <w:lang w:val="ka-GE"/>
              </w:rPr>
              <w:t>საქმეებზე ერთგვაროვანი პრაქტიკის ჩამოყალიბებას, იმავდროულად, შეიცავდა უფლებამოსილების</w:t>
            </w:r>
            <w:r w:rsidR="00C21FFF">
              <w:rPr>
                <w:rFonts w:ascii="Sylfaen" w:hAnsi="Sylfaen" w:cs="Sylfaen"/>
                <w:lang w:val="ka-GE"/>
              </w:rPr>
              <w:t xml:space="preserve"> </w:t>
            </w:r>
            <w:r w:rsidRPr="00884387">
              <w:rPr>
                <w:rFonts w:ascii="Sylfaen" w:hAnsi="Sylfaen" w:cs="Sylfaen"/>
                <w:lang w:val="ka-GE"/>
              </w:rPr>
              <w:t>შერჩევითად გამოყენების საფრთხეს და ართულებდა იუსტიციის საბჭოზე საზოგადოებრივი</w:t>
            </w:r>
            <w:r w:rsidR="00C21FFF">
              <w:rPr>
                <w:rFonts w:ascii="Sylfaen" w:hAnsi="Sylfaen" w:cs="Sylfaen"/>
                <w:lang w:val="ka-GE"/>
              </w:rPr>
              <w:t xml:space="preserve"> კ</w:t>
            </w:r>
            <w:r w:rsidRPr="00884387">
              <w:rPr>
                <w:rFonts w:ascii="Sylfaen" w:hAnsi="Sylfaen" w:cs="Sylfaen"/>
                <w:lang w:val="ka-GE"/>
              </w:rPr>
              <w:t>ონტროლის განხორციელებას. ყოველივე ზემოაღნიშნულის გათვალისწინებით, მისასალმებელია</w:t>
            </w:r>
            <w:r w:rsidR="00C21FFF">
              <w:rPr>
                <w:rFonts w:ascii="Sylfaen" w:hAnsi="Sylfaen" w:cs="Sylfaen"/>
                <w:lang w:val="ka-GE"/>
              </w:rPr>
              <w:t xml:space="preserve"> “</w:t>
            </w:r>
            <w:r w:rsidRPr="00884387">
              <w:rPr>
                <w:rFonts w:ascii="Sylfaen" w:hAnsi="Sylfaen" w:cs="Sylfaen"/>
                <w:lang w:val="ka-GE"/>
              </w:rPr>
              <w:t>მესამე ტალღით” განხორციელებული ის ცვლილებები, რომელთა მიხედვითაც, იუსტიციის საბჭო</w:t>
            </w:r>
            <w:r w:rsidR="00C21FFF">
              <w:rPr>
                <w:rFonts w:ascii="Sylfaen" w:hAnsi="Sylfaen" w:cs="Sylfaen"/>
                <w:lang w:val="ka-GE"/>
              </w:rPr>
              <w:t xml:space="preserve"> </w:t>
            </w:r>
            <w:r w:rsidRPr="00884387">
              <w:rPr>
                <w:rFonts w:ascii="Sylfaen" w:hAnsi="Sylfaen" w:cs="Sylfaen"/>
                <w:lang w:val="ka-GE"/>
              </w:rPr>
              <w:t>ვალდებული იქნება, მიიღოს საქმის შეწყვეტის შესახებ დასაბუთებული გადაწყვეტილება</w:t>
            </w:r>
            <w:r w:rsidR="00C21FFF">
              <w:rPr>
                <w:rFonts w:ascii="Sylfaen" w:hAnsi="Sylfaen" w:cs="Sylfaen"/>
                <w:lang w:val="ka-GE"/>
              </w:rPr>
              <w:t>, შესაბამისად საჩივრის ავტორსაც ექნება შესაძლებლობა მიიღოს დასაბუთებული პასუხი თუ რატომ შეწყდა მის საჩივარზე წარმოება.</w:t>
            </w:r>
          </w:p>
          <w:p w:rsidR="00C21FFF" w:rsidRPr="00C21FFF" w:rsidRDefault="00C21FFF" w:rsidP="00884387">
            <w:pPr>
              <w:jc w:val="both"/>
              <w:rPr>
                <w:rFonts w:ascii="Sylfaen" w:hAnsi="Sylfaen" w:cs="Sylfaen"/>
                <w:b/>
                <w:lang w:val="ka-GE"/>
              </w:rPr>
            </w:pPr>
            <w:r w:rsidRPr="00C21FFF">
              <w:rPr>
                <w:rFonts w:ascii="Sylfaen" w:hAnsi="Sylfaen" w:cs="Sylfaen"/>
                <w:b/>
                <w:lang w:val="ka-GE"/>
              </w:rPr>
              <w:t xml:space="preserve">2.5 მოსამართლის ჩართულობა და ინფორმირებულობა დისციპლინურ სამართალწარმოებაში </w:t>
            </w:r>
          </w:p>
          <w:p w:rsidR="00C21FFF" w:rsidRDefault="00884387" w:rsidP="00884387">
            <w:pPr>
              <w:jc w:val="both"/>
              <w:rPr>
                <w:rFonts w:ascii="Sylfaen" w:hAnsi="Sylfaen" w:cs="Sylfaen"/>
                <w:lang w:val="ka-GE"/>
              </w:rPr>
            </w:pPr>
            <w:r w:rsidRPr="00884387">
              <w:rPr>
                <w:rFonts w:ascii="Sylfaen" w:hAnsi="Sylfaen" w:cs="Sylfaen"/>
                <w:lang w:val="ka-GE"/>
              </w:rPr>
              <w:t>მართლმსაჯულების რეფორმის „მესამე ტალღის” მიღებამდე მოსამართლისთვის დისციპლინური</w:t>
            </w:r>
            <w:r w:rsidR="00C21FFF">
              <w:rPr>
                <w:rFonts w:ascii="Sylfaen" w:hAnsi="Sylfaen" w:cs="Sylfaen"/>
                <w:lang w:val="ka-GE"/>
              </w:rPr>
              <w:t xml:space="preserve"> </w:t>
            </w:r>
            <w:r w:rsidRPr="00884387">
              <w:rPr>
                <w:rFonts w:ascii="Sylfaen" w:hAnsi="Sylfaen" w:cs="Sylfaen"/>
                <w:lang w:val="ka-GE"/>
              </w:rPr>
              <w:t>სამართალწარმოების დაწყების შესახებ შეტყობინება არასრულყოფილად იყო რეგულირებული. კერძოდ,</w:t>
            </w:r>
            <w:r w:rsidR="00C21FFF">
              <w:rPr>
                <w:rFonts w:ascii="Sylfaen" w:hAnsi="Sylfaen" w:cs="Sylfaen"/>
                <w:lang w:val="ka-GE"/>
              </w:rPr>
              <w:t xml:space="preserve"> </w:t>
            </w:r>
            <w:r w:rsidRPr="00884387">
              <w:rPr>
                <w:rFonts w:ascii="Sylfaen" w:hAnsi="Sylfaen" w:cs="Sylfaen"/>
                <w:lang w:val="ka-GE"/>
              </w:rPr>
              <w:t>იუსტიციის საბჭოს მდივანი დისციპლინურ საქმეზე წინასწარი შემოწმების ჩატარებისას არ იყო</w:t>
            </w:r>
            <w:r w:rsidR="00C21FFF">
              <w:rPr>
                <w:rFonts w:ascii="Sylfaen" w:hAnsi="Sylfaen" w:cs="Sylfaen"/>
                <w:lang w:val="ka-GE"/>
              </w:rPr>
              <w:t xml:space="preserve"> </w:t>
            </w:r>
            <w:r w:rsidRPr="00884387">
              <w:rPr>
                <w:rFonts w:ascii="Sylfaen" w:hAnsi="Sylfaen" w:cs="Sylfaen"/>
                <w:lang w:val="ka-GE"/>
              </w:rPr>
              <w:t xml:space="preserve">ვალდებული </w:t>
            </w:r>
            <w:r w:rsidR="00C21FFF">
              <w:rPr>
                <w:rFonts w:ascii="Sylfaen" w:hAnsi="Sylfaen" w:cs="Sylfaen"/>
                <w:lang w:val="ka-GE"/>
              </w:rPr>
              <w:t>და</w:t>
            </w:r>
            <w:r w:rsidRPr="00884387">
              <w:rPr>
                <w:rFonts w:ascii="Sylfaen" w:hAnsi="Sylfaen" w:cs="Sylfaen"/>
                <w:lang w:val="ka-GE"/>
              </w:rPr>
              <w:t>კავშირებოდა მოსამართლეს. ვენეციის კომისიის რეკომენდაციით, მოსამართლეს</w:t>
            </w:r>
            <w:r w:rsidR="00C21FFF">
              <w:rPr>
                <w:rFonts w:ascii="Sylfaen" w:hAnsi="Sylfaen" w:cs="Sylfaen"/>
                <w:lang w:val="ka-GE"/>
              </w:rPr>
              <w:t xml:space="preserve"> </w:t>
            </w:r>
            <w:r w:rsidRPr="00884387">
              <w:rPr>
                <w:rFonts w:ascii="Sylfaen" w:hAnsi="Sylfaen" w:cs="Sylfaen"/>
                <w:lang w:val="ka-GE"/>
              </w:rPr>
              <w:t>უნდა ეცნობოს მიმდინარე დისციპლინური სამართალწარმოების საწყის ეტაპზევე, რათა მან დროულად</w:t>
            </w:r>
            <w:r w:rsidR="00C21FFF">
              <w:rPr>
                <w:rFonts w:ascii="Sylfaen" w:hAnsi="Sylfaen" w:cs="Sylfaen"/>
                <w:lang w:val="ka-GE"/>
              </w:rPr>
              <w:t xml:space="preserve"> </w:t>
            </w:r>
            <w:r w:rsidRPr="00884387">
              <w:rPr>
                <w:rFonts w:ascii="Sylfaen" w:hAnsi="Sylfaen" w:cs="Sylfaen"/>
                <w:lang w:val="ka-GE"/>
              </w:rPr>
              <w:t>შეძლოს, ისარგებლოს დამცველის დახმარებით. ეს უფლება უნდა გააჩნდეს არა მხოლოდ სადისციპლინო</w:t>
            </w:r>
            <w:r w:rsidR="00C21FFF">
              <w:rPr>
                <w:rFonts w:ascii="Sylfaen" w:hAnsi="Sylfaen" w:cs="Sylfaen"/>
                <w:lang w:val="ka-GE"/>
              </w:rPr>
              <w:t xml:space="preserve"> </w:t>
            </w:r>
            <w:r w:rsidRPr="00884387">
              <w:rPr>
                <w:rFonts w:ascii="Sylfaen" w:hAnsi="Sylfaen" w:cs="Sylfaen"/>
                <w:lang w:val="ka-GE"/>
              </w:rPr>
              <w:t>კოლეგიის მიერ საქმის განხილვის დროს, არამედ პროცესის ყველა ეტაპზე.</w:t>
            </w:r>
            <w:r w:rsidR="00C21FFF">
              <w:rPr>
                <w:rFonts w:ascii="Sylfaen" w:hAnsi="Sylfaen" w:cs="Sylfaen"/>
                <w:lang w:val="ka-GE"/>
              </w:rPr>
              <w:t xml:space="preserve"> </w:t>
            </w:r>
            <w:r w:rsidRPr="00884387">
              <w:rPr>
                <w:rFonts w:ascii="Sylfaen" w:hAnsi="Sylfaen" w:cs="Sylfaen"/>
                <w:lang w:val="ka-GE"/>
              </w:rPr>
              <w:t>ასევე, იუსტიციის უმაღლესი საბჭო არ იყო ვალდებული, დისციპლინური სამართალწარმოების შეწყვეტის,</w:t>
            </w:r>
            <w:r w:rsidR="00C21FFF">
              <w:rPr>
                <w:rFonts w:ascii="Sylfaen" w:hAnsi="Sylfaen" w:cs="Sylfaen"/>
                <w:lang w:val="ka-GE"/>
              </w:rPr>
              <w:t xml:space="preserve"> </w:t>
            </w:r>
            <w:r w:rsidRPr="00884387">
              <w:rPr>
                <w:rFonts w:ascii="Sylfaen" w:hAnsi="Sylfaen" w:cs="Sylfaen"/>
                <w:lang w:val="ka-GE"/>
              </w:rPr>
              <w:t>ან მოსამართლის დისციპლინურ პასუხისგებაში მიცემის საკითხის განხილვისას მოეწვია მოსამართლე,</w:t>
            </w:r>
            <w:r w:rsidR="00C21FFF">
              <w:rPr>
                <w:rFonts w:ascii="Sylfaen" w:hAnsi="Sylfaen" w:cs="Sylfaen"/>
                <w:lang w:val="ka-GE"/>
              </w:rPr>
              <w:t xml:space="preserve"> </w:t>
            </w:r>
            <w:r w:rsidRPr="00884387">
              <w:rPr>
                <w:rFonts w:ascii="Sylfaen" w:hAnsi="Sylfaen" w:cs="Sylfaen"/>
                <w:lang w:val="ka-GE"/>
              </w:rPr>
              <w:t>რაც მოსამართლეს უზღუდავდა შესაძლებლობას საკუთარი პოზიციები დაეცვა იუსტიციის</w:t>
            </w:r>
            <w:r w:rsidR="00C21FFF">
              <w:rPr>
                <w:rFonts w:ascii="Sylfaen" w:hAnsi="Sylfaen" w:cs="Sylfaen"/>
                <w:lang w:val="ka-GE"/>
              </w:rPr>
              <w:t xml:space="preserve"> </w:t>
            </w:r>
            <w:r w:rsidRPr="00884387">
              <w:rPr>
                <w:rFonts w:ascii="Sylfaen" w:hAnsi="Sylfaen" w:cs="Sylfaen"/>
                <w:lang w:val="ka-GE"/>
              </w:rPr>
              <w:t xml:space="preserve">საბჭოს წინაშე. </w:t>
            </w:r>
            <w:r w:rsidR="00C21FFF">
              <w:rPr>
                <w:rFonts w:ascii="Sylfaen" w:hAnsi="Sylfaen" w:cs="Sylfaen"/>
                <w:lang w:val="ka-GE"/>
              </w:rPr>
              <w:t xml:space="preserve"> </w:t>
            </w:r>
            <w:r w:rsidR="00C21FFF" w:rsidRPr="00884387">
              <w:rPr>
                <w:rFonts w:ascii="Sylfaen" w:hAnsi="Sylfaen" w:cs="Sylfaen"/>
                <w:lang w:val="ka-GE"/>
              </w:rPr>
              <w:t>ყოველივე ზემოაღნიშნულიდან გამომდინარე, მისასალმებელია მართლმსაჯულების რეფორმის</w:t>
            </w:r>
            <w:r w:rsidR="00C21FFF">
              <w:rPr>
                <w:rFonts w:ascii="Sylfaen" w:hAnsi="Sylfaen" w:cs="Sylfaen"/>
                <w:lang w:val="ka-GE"/>
              </w:rPr>
              <w:t xml:space="preserve"> “</w:t>
            </w:r>
            <w:r w:rsidR="00C21FFF" w:rsidRPr="00884387">
              <w:rPr>
                <w:rFonts w:ascii="Sylfaen" w:hAnsi="Sylfaen" w:cs="Sylfaen"/>
                <w:lang w:val="ka-GE"/>
              </w:rPr>
              <w:t>მესამე</w:t>
            </w:r>
            <w:r w:rsidR="00C21FFF">
              <w:rPr>
                <w:rFonts w:ascii="Sylfaen" w:hAnsi="Sylfaen" w:cs="Sylfaen"/>
                <w:lang w:val="ka-GE"/>
              </w:rPr>
              <w:t xml:space="preserve"> </w:t>
            </w:r>
            <w:r w:rsidR="00C21FFF" w:rsidRPr="00884387">
              <w:rPr>
                <w:rFonts w:ascii="Sylfaen" w:hAnsi="Sylfaen" w:cs="Sylfaen"/>
                <w:lang w:val="ka-GE"/>
              </w:rPr>
              <w:t>ტალღით” განხორციელებული ის ცვლილებები, რომელთა თანახმადაც, იუსტიციის საბჭო ვალდებული</w:t>
            </w:r>
            <w:r w:rsidR="00C21FFF">
              <w:rPr>
                <w:rFonts w:ascii="Sylfaen" w:hAnsi="Sylfaen" w:cs="Sylfaen"/>
                <w:lang w:val="ka-GE"/>
              </w:rPr>
              <w:t xml:space="preserve"> </w:t>
            </w:r>
            <w:r w:rsidR="00C21FFF" w:rsidRPr="00884387">
              <w:rPr>
                <w:rFonts w:ascii="Sylfaen" w:hAnsi="Sylfaen" w:cs="Sylfaen"/>
                <w:lang w:val="ka-GE"/>
              </w:rPr>
              <w:t>ხდება, სხდომაზე მოიწვიოს მოსამართლე, ხოლო მოსამართლე უფლებამოსილია, გამოცხადდეს</w:t>
            </w:r>
            <w:r w:rsidR="00C21FFF">
              <w:rPr>
                <w:rFonts w:ascii="Sylfaen" w:hAnsi="Sylfaen" w:cs="Sylfaen"/>
                <w:lang w:val="ka-GE"/>
              </w:rPr>
              <w:t xml:space="preserve"> </w:t>
            </w:r>
            <w:r w:rsidR="00C21FFF" w:rsidRPr="00884387">
              <w:rPr>
                <w:rFonts w:ascii="Sylfaen" w:hAnsi="Sylfaen" w:cs="Sylfaen"/>
                <w:lang w:val="ka-GE"/>
              </w:rPr>
              <w:t>დამცველთან ერთად.</w:t>
            </w:r>
          </w:p>
          <w:p w:rsidR="00C21FFF" w:rsidRPr="00C21FFF" w:rsidRDefault="00C21FFF" w:rsidP="00884387">
            <w:pPr>
              <w:jc w:val="both"/>
              <w:rPr>
                <w:rFonts w:ascii="Sylfaen" w:hAnsi="Sylfaen" w:cs="Sylfaen"/>
                <w:b/>
                <w:lang w:val="ka-GE"/>
              </w:rPr>
            </w:pPr>
            <w:r w:rsidRPr="00C21FFF">
              <w:rPr>
                <w:rFonts w:ascii="Sylfaen" w:hAnsi="Sylfaen" w:cs="Sylfaen"/>
                <w:b/>
                <w:lang w:val="ka-GE"/>
              </w:rPr>
              <w:t xml:space="preserve">2.6 კერძო სარეკომენდაციო ბარათის გამოყენების უფლებამოსილება </w:t>
            </w:r>
          </w:p>
          <w:p w:rsidR="00C21FFF" w:rsidRPr="00884387" w:rsidRDefault="00884387" w:rsidP="00C21FFF">
            <w:pPr>
              <w:jc w:val="both"/>
              <w:rPr>
                <w:rFonts w:ascii="Sylfaen" w:hAnsi="Sylfaen" w:cs="Sylfaen"/>
                <w:lang w:val="ka-GE"/>
              </w:rPr>
            </w:pPr>
            <w:r w:rsidRPr="00884387">
              <w:rPr>
                <w:rFonts w:ascii="Sylfaen" w:hAnsi="Sylfaen" w:cs="Sylfaen"/>
                <w:lang w:val="ka-GE"/>
              </w:rPr>
              <w:t>კანონმდებლობა დისციპლინური ღონისძიების ერთ-ერთ სახედ ითვალისწინებდა</w:t>
            </w:r>
            <w:r w:rsidR="00C21FFF">
              <w:rPr>
                <w:rFonts w:ascii="Sylfaen" w:hAnsi="Sylfaen" w:cs="Sylfaen"/>
                <w:lang w:val="ka-GE"/>
              </w:rPr>
              <w:t xml:space="preserve"> </w:t>
            </w:r>
            <w:r w:rsidRPr="00884387">
              <w:rPr>
                <w:rFonts w:ascii="Sylfaen" w:hAnsi="Sylfaen" w:cs="Sylfaen"/>
                <w:lang w:val="ka-GE"/>
              </w:rPr>
              <w:t>იუსტიციის საბჭოს მიერ მოსამართლისადმი კერძო სარეკომენდაციო ბარათით მიმართვას, თუ დისციპლინური</w:t>
            </w:r>
            <w:r w:rsidR="00C21FFF">
              <w:rPr>
                <w:rFonts w:ascii="Sylfaen" w:hAnsi="Sylfaen" w:cs="Sylfaen"/>
                <w:lang w:val="ka-GE"/>
              </w:rPr>
              <w:t xml:space="preserve"> </w:t>
            </w:r>
            <w:r w:rsidRPr="00884387">
              <w:rPr>
                <w:rFonts w:ascii="Sylfaen" w:hAnsi="Sylfaen" w:cs="Sylfaen"/>
                <w:lang w:val="ka-GE"/>
              </w:rPr>
              <w:t>სამართალწარმოების დაწყების საფუძვლიანობის წინასწარი შემოწმებისა ან დისციპლინური</w:t>
            </w:r>
            <w:r w:rsidR="00C21FFF">
              <w:rPr>
                <w:rFonts w:ascii="Sylfaen" w:hAnsi="Sylfaen" w:cs="Sylfaen"/>
                <w:lang w:val="ka-GE"/>
              </w:rPr>
              <w:t xml:space="preserve"> </w:t>
            </w:r>
            <w:r w:rsidRPr="00884387">
              <w:rPr>
                <w:rFonts w:ascii="Sylfaen" w:hAnsi="Sylfaen" w:cs="Sylfaen"/>
                <w:lang w:val="ka-GE"/>
              </w:rPr>
              <w:t>საქმის გამოკვლევისას უტყუარად დადგინდებოდა მოსამართლის მიერ ისეთი დისციპლინური გადაცდომის</w:t>
            </w:r>
            <w:r w:rsidR="00C21FFF">
              <w:rPr>
                <w:rFonts w:ascii="Sylfaen" w:hAnsi="Sylfaen" w:cs="Sylfaen"/>
                <w:lang w:val="ka-GE"/>
              </w:rPr>
              <w:t xml:space="preserve"> </w:t>
            </w:r>
            <w:r w:rsidRPr="00884387">
              <w:rPr>
                <w:rFonts w:ascii="Sylfaen" w:hAnsi="Sylfaen" w:cs="Sylfaen"/>
                <w:lang w:val="ka-GE"/>
              </w:rPr>
              <w:t>ჩადენა, რომლისთვისაც მიზანშეუწონლად იქნებოდა მიჩნეული მოსამართლის დისციპლინურ</w:t>
            </w:r>
            <w:r w:rsidR="00C21FFF">
              <w:rPr>
                <w:rFonts w:ascii="Sylfaen" w:hAnsi="Sylfaen" w:cs="Sylfaen"/>
                <w:lang w:val="ka-GE"/>
              </w:rPr>
              <w:t xml:space="preserve"> </w:t>
            </w:r>
            <w:r w:rsidRPr="00884387">
              <w:rPr>
                <w:rFonts w:ascii="Sylfaen" w:hAnsi="Sylfaen" w:cs="Sylfaen"/>
                <w:lang w:val="ka-GE"/>
              </w:rPr>
              <w:t xml:space="preserve">პასუხისგებაში მიცემა. შესაბამისად, მოსამართლის მიმართ ნეგატიური ღონისძიება ისე შეიძლებოდა </w:t>
            </w:r>
            <w:r w:rsidR="00C21FFF">
              <w:rPr>
                <w:rFonts w:ascii="Sylfaen" w:hAnsi="Sylfaen" w:cs="Sylfaen"/>
                <w:lang w:val="ka-GE"/>
              </w:rPr>
              <w:t xml:space="preserve"> </w:t>
            </w:r>
            <w:r w:rsidRPr="00884387">
              <w:rPr>
                <w:rFonts w:ascii="Sylfaen" w:hAnsi="Sylfaen" w:cs="Sylfaen"/>
                <w:lang w:val="ka-GE"/>
              </w:rPr>
              <w:t>გატარებულიყო, რომ მას საკუთარი აზრის დაფიქსირების შესაძლებლობა არ მისცემოდა. ამასთან, ეს</w:t>
            </w:r>
            <w:r w:rsidR="00C21FFF">
              <w:rPr>
                <w:rFonts w:ascii="Sylfaen" w:hAnsi="Sylfaen" w:cs="Sylfaen"/>
                <w:lang w:val="ka-GE"/>
              </w:rPr>
              <w:t xml:space="preserve"> </w:t>
            </w:r>
            <w:r w:rsidRPr="00884387">
              <w:rPr>
                <w:rFonts w:ascii="Sylfaen" w:hAnsi="Sylfaen" w:cs="Sylfaen"/>
                <w:lang w:val="ka-GE"/>
              </w:rPr>
              <w:t>გადაწყვეტილება არ საჩივრდებოდა. მიუხედავად იმისა, რომ კანონით კერძო სარეკომენდაციო ბარათი</w:t>
            </w:r>
            <w:r w:rsidR="00C21FFF">
              <w:rPr>
                <w:rFonts w:ascii="Sylfaen" w:hAnsi="Sylfaen" w:cs="Sylfaen"/>
                <w:lang w:val="ka-GE"/>
              </w:rPr>
              <w:t xml:space="preserve"> ა</w:t>
            </w:r>
            <w:r w:rsidRPr="00884387">
              <w:rPr>
                <w:rFonts w:ascii="Sylfaen" w:hAnsi="Sylfaen" w:cs="Sylfaen"/>
                <w:lang w:val="ka-GE"/>
              </w:rPr>
              <w:t>რ წარმოადგენდა დისციპლინური სახდელის სახეს, ცხადია, იგი უარყოფითად მოქმედებდა მოსამართლის</w:t>
            </w:r>
            <w:r w:rsidR="00C21FFF">
              <w:rPr>
                <w:rFonts w:ascii="Sylfaen" w:hAnsi="Sylfaen" w:cs="Sylfaen"/>
                <w:lang w:val="ka-GE"/>
              </w:rPr>
              <w:t xml:space="preserve"> </w:t>
            </w:r>
            <w:r w:rsidRPr="00884387">
              <w:rPr>
                <w:rFonts w:ascii="Sylfaen" w:hAnsi="Sylfaen" w:cs="Sylfaen"/>
                <w:lang w:val="ka-GE"/>
              </w:rPr>
              <w:t xml:space="preserve">კარიერაზე. </w:t>
            </w:r>
          </w:p>
          <w:p w:rsidR="00884387" w:rsidRDefault="00884387" w:rsidP="00884387">
            <w:pPr>
              <w:jc w:val="both"/>
              <w:rPr>
                <w:rFonts w:ascii="Sylfaen" w:hAnsi="Sylfaen" w:cs="Sylfaen"/>
                <w:lang w:val="ka-GE"/>
              </w:rPr>
            </w:pPr>
            <w:r w:rsidRPr="00884387">
              <w:rPr>
                <w:rFonts w:ascii="Sylfaen" w:hAnsi="Sylfaen" w:cs="Sylfaen"/>
                <w:lang w:val="ka-GE"/>
              </w:rPr>
              <w:t>ყოველივე ზემოაღნიშნულიდან გამომდინარე, მისასალმებელია მართლმსაჯულების რეფორმის</w:t>
            </w:r>
            <w:r w:rsidR="00C21FFF">
              <w:rPr>
                <w:rFonts w:ascii="Sylfaen" w:hAnsi="Sylfaen" w:cs="Sylfaen"/>
                <w:lang w:val="ka-GE"/>
              </w:rPr>
              <w:t xml:space="preserve"> “</w:t>
            </w:r>
            <w:r w:rsidRPr="00884387">
              <w:rPr>
                <w:rFonts w:ascii="Sylfaen" w:hAnsi="Sylfaen" w:cs="Sylfaen"/>
                <w:lang w:val="ka-GE"/>
              </w:rPr>
              <w:t>მესამე</w:t>
            </w:r>
            <w:r w:rsidR="00C21FFF">
              <w:rPr>
                <w:rFonts w:ascii="Sylfaen" w:hAnsi="Sylfaen" w:cs="Sylfaen"/>
                <w:lang w:val="ka-GE"/>
              </w:rPr>
              <w:t xml:space="preserve"> </w:t>
            </w:r>
            <w:r w:rsidRPr="00884387">
              <w:rPr>
                <w:rFonts w:ascii="Sylfaen" w:hAnsi="Sylfaen" w:cs="Sylfaen"/>
                <w:lang w:val="ka-GE"/>
              </w:rPr>
              <w:t>ტალღით” განხორციელებული ის ცვლილებები, რომელთა თანახმადაც, იუსტიციის საბჭოს აღარ ექნება მოსამართლისათვის კერძო სარეკომენდაციო</w:t>
            </w:r>
            <w:r w:rsidR="00C21FFF">
              <w:rPr>
                <w:rFonts w:ascii="Sylfaen" w:hAnsi="Sylfaen" w:cs="Sylfaen"/>
                <w:lang w:val="ka-GE"/>
              </w:rPr>
              <w:t xml:space="preserve"> </w:t>
            </w:r>
            <w:r w:rsidRPr="00884387">
              <w:rPr>
                <w:rFonts w:ascii="Sylfaen" w:hAnsi="Sylfaen" w:cs="Sylfaen"/>
                <w:lang w:val="ka-GE"/>
              </w:rPr>
              <w:t>ბარათით მიმართვის უფლებამოსილება.</w:t>
            </w:r>
          </w:p>
          <w:p w:rsidR="00C21FFF" w:rsidRPr="002938AB" w:rsidRDefault="00C21FFF" w:rsidP="00884387">
            <w:pPr>
              <w:jc w:val="both"/>
              <w:rPr>
                <w:rFonts w:ascii="Sylfaen" w:hAnsi="Sylfaen" w:cs="Sylfaen"/>
                <w:b/>
                <w:lang w:val="ka-GE"/>
              </w:rPr>
            </w:pPr>
            <w:r w:rsidRPr="002938AB">
              <w:rPr>
                <w:rFonts w:ascii="Sylfaen" w:hAnsi="Sylfaen" w:cs="Sylfaen"/>
                <w:b/>
                <w:lang w:val="ka-GE"/>
              </w:rPr>
              <w:t>2.7 მტკიცების სტანდარტი დისციპლინურ პროცესში</w:t>
            </w:r>
          </w:p>
          <w:p w:rsidR="00884387" w:rsidRDefault="00884387" w:rsidP="002938AB">
            <w:pPr>
              <w:jc w:val="both"/>
              <w:rPr>
                <w:rFonts w:ascii="Sylfaen" w:hAnsi="Sylfaen" w:cs="Sylfaen"/>
                <w:lang w:val="ka-GE"/>
              </w:rPr>
            </w:pPr>
            <w:r w:rsidRPr="00884387">
              <w:rPr>
                <w:rFonts w:ascii="Sylfaen" w:hAnsi="Sylfaen" w:cs="Sylfaen"/>
                <w:lang w:val="ka-GE"/>
              </w:rPr>
              <w:t xml:space="preserve">კანონმდებლობა არ </w:t>
            </w:r>
            <w:r w:rsidR="002938AB">
              <w:rPr>
                <w:rFonts w:ascii="Sylfaen" w:hAnsi="Sylfaen" w:cs="Sylfaen"/>
                <w:lang w:val="ka-GE"/>
              </w:rPr>
              <w:t>განსაზღვრავდა</w:t>
            </w:r>
            <w:r w:rsidRPr="00884387">
              <w:rPr>
                <w:rFonts w:ascii="Sylfaen" w:hAnsi="Sylfaen" w:cs="Sylfaen"/>
                <w:lang w:val="ka-GE"/>
              </w:rPr>
              <w:t xml:space="preserve"> დისციპლინურ პროცესში მტკიცების სტანდარტს</w:t>
            </w:r>
            <w:r w:rsidR="002938AB">
              <w:rPr>
                <w:rFonts w:ascii="Sylfaen" w:hAnsi="Sylfaen" w:cs="Sylfaen"/>
                <w:lang w:val="ka-GE"/>
              </w:rPr>
              <w:t xml:space="preserve"> </w:t>
            </w:r>
            <w:r w:rsidRPr="00884387">
              <w:rPr>
                <w:rFonts w:ascii="Sylfaen" w:hAnsi="Sylfaen" w:cs="Sylfaen"/>
                <w:lang w:val="ka-GE"/>
              </w:rPr>
              <w:t xml:space="preserve">აქედან გამომდინარე, </w:t>
            </w:r>
            <w:r w:rsidR="002938AB">
              <w:rPr>
                <w:rFonts w:ascii="Sylfaen" w:hAnsi="Sylfaen" w:cs="Sylfaen"/>
                <w:lang w:val="ka-GE"/>
              </w:rPr>
              <w:lastRenderedPageBreak/>
              <w:t>ბუნდოვანი იყო</w:t>
            </w:r>
            <w:r w:rsidRPr="00884387">
              <w:rPr>
                <w:rFonts w:ascii="Sylfaen" w:hAnsi="Sylfaen" w:cs="Sylfaen"/>
                <w:lang w:val="ka-GE"/>
              </w:rPr>
              <w:t xml:space="preserve"> </w:t>
            </w:r>
            <w:r w:rsidR="002938AB">
              <w:rPr>
                <w:rFonts w:ascii="Sylfaen" w:hAnsi="Sylfaen" w:cs="Sylfaen"/>
                <w:lang w:val="ka-GE"/>
              </w:rPr>
              <w:t xml:space="preserve">თუ რა სახის </w:t>
            </w:r>
            <w:r w:rsidRPr="00884387">
              <w:rPr>
                <w:rFonts w:ascii="Sylfaen" w:hAnsi="Sylfaen" w:cs="Sylfaen"/>
                <w:lang w:val="ka-GE"/>
              </w:rPr>
              <w:t>მტკიცებულებათა ე</w:t>
            </w:r>
            <w:r w:rsidR="002938AB">
              <w:rPr>
                <w:rFonts w:ascii="Sylfaen" w:hAnsi="Sylfaen" w:cs="Sylfaen"/>
                <w:lang w:val="ka-GE"/>
              </w:rPr>
              <w:t xml:space="preserve">რთობლიობა იქნებოდა </w:t>
            </w:r>
            <w:r w:rsidRPr="00884387">
              <w:rPr>
                <w:rFonts w:ascii="Sylfaen" w:hAnsi="Sylfaen" w:cs="Sylfaen"/>
                <w:lang w:val="ka-GE"/>
              </w:rPr>
              <w:t>საჭირო ამა თუ</w:t>
            </w:r>
            <w:r w:rsidR="002938AB">
              <w:rPr>
                <w:rFonts w:ascii="Sylfaen" w:hAnsi="Sylfaen" w:cs="Sylfaen"/>
                <w:lang w:val="ka-GE"/>
              </w:rPr>
              <w:t xml:space="preserve"> </w:t>
            </w:r>
            <w:r w:rsidRPr="00884387">
              <w:rPr>
                <w:rFonts w:ascii="Sylfaen" w:hAnsi="Sylfaen" w:cs="Sylfaen"/>
                <w:lang w:val="ka-GE"/>
              </w:rPr>
              <w:t xml:space="preserve">იმ დისციპლინური ღონისძიების გამოსაყენებლად. </w:t>
            </w:r>
          </w:p>
          <w:p w:rsidR="002938AB" w:rsidRPr="00884387" w:rsidRDefault="008E669E" w:rsidP="002938AB">
            <w:pPr>
              <w:jc w:val="both"/>
              <w:rPr>
                <w:rFonts w:ascii="Sylfaen" w:hAnsi="Sylfaen" w:cs="Sylfaen"/>
                <w:lang w:val="ka-GE"/>
              </w:rPr>
            </w:pPr>
            <w:r w:rsidRPr="008E669E">
              <w:rPr>
                <w:rFonts w:ascii="Sylfaen" w:hAnsi="Sylfaen" w:cs="Sylfaen"/>
                <w:lang w:val="ka-GE"/>
              </w:rPr>
              <w:t>მესამე ტალღის ცვლილებებით</w:t>
            </w:r>
            <w:r>
              <w:rPr>
                <w:rFonts w:ascii="Sylfaen" w:hAnsi="Sylfaen" w:cs="Sylfaen"/>
                <w:lang w:val="ka-GE"/>
              </w:rPr>
              <w:t xml:space="preserve"> კი აღნიშნული საკითხი გარკვეულწილად დაზუსტდა და </w:t>
            </w:r>
            <w:r w:rsidRPr="008E669E">
              <w:rPr>
                <w:rFonts w:ascii="Sylfaen" w:hAnsi="Sylfaen" w:cs="Sylfaen"/>
                <w:lang w:val="ka-GE"/>
              </w:rPr>
              <w:t xml:space="preserve"> განისაზღვრა, რომ სადისციპლინო კოლეგია იღებს დისციპლინური გადაცდომის ჩადენაში მოსამართლის ბრალეულად ცნობის და მისთვის დისციპლინური პასუხისმგებლობისა და სახდელის დაკისრების შესახებ გადაწყვეტილებას, თუ სადისციპლინო კოლეგიაში დისციპლინური საქმის განხილვის შედეგად ურთიერთშეთავსებად და დამაჯერებელ მტკიცებულებათა ერთობლიობით დადასტურდა აღნიშნული მოსამართლის მიერ ამ კანონით გათვალისწინებული ერთი ან რამდენიმე დისციპლინური გადაცდომის ბრალეული ჩადენა და სადისციპლინო კოლეგიას მიზანშეწონილად მიაჩნია მისთვის ამ კანონის მე-4 მუხლის პირველი პუნქტით განსაზღვრული ერთ-ერთი დისციპლინური სახდელის დაკისრება.</w:t>
            </w:r>
          </w:p>
          <w:p w:rsidR="008E669E" w:rsidRPr="008E669E" w:rsidRDefault="008E669E" w:rsidP="00884387">
            <w:pPr>
              <w:jc w:val="both"/>
              <w:rPr>
                <w:rFonts w:ascii="Sylfaen" w:hAnsi="Sylfaen" w:cs="Sylfaen"/>
                <w:b/>
                <w:lang w:val="ka-GE"/>
              </w:rPr>
            </w:pPr>
            <w:r w:rsidRPr="008E669E">
              <w:rPr>
                <w:rFonts w:ascii="Sylfaen" w:hAnsi="Sylfaen" w:cs="Sylfaen"/>
                <w:b/>
                <w:lang w:val="ka-GE"/>
              </w:rPr>
              <w:t xml:space="preserve">2.8 </w:t>
            </w:r>
            <w:r>
              <w:rPr>
                <w:rFonts w:ascii="Sylfaen" w:hAnsi="Sylfaen" w:cs="Sylfaen"/>
                <w:b/>
                <w:lang w:val="ka-GE"/>
              </w:rPr>
              <w:t>დისციპლინური</w:t>
            </w:r>
            <w:r w:rsidRPr="008E669E">
              <w:rPr>
                <w:rFonts w:ascii="Sylfaen" w:hAnsi="Sylfaen" w:cs="Sylfaen"/>
                <w:b/>
                <w:lang w:val="ka-GE"/>
              </w:rPr>
              <w:t xml:space="preserve"> სამართალწარმოების საჯაროობა</w:t>
            </w:r>
          </w:p>
          <w:p w:rsidR="009120B4" w:rsidRDefault="00884387" w:rsidP="00884387">
            <w:pPr>
              <w:jc w:val="both"/>
              <w:rPr>
                <w:rFonts w:ascii="Sylfaen" w:hAnsi="Sylfaen" w:cs="Sylfaen"/>
                <w:lang w:val="ka-GE"/>
              </w:rPr>
            </w:pPr>
            <w:r w:rsidRPr="00884387">
              <w:rPr>
                <w:rFonts w:ascii="Sylfaen" w:hAnsi="Sylfaen" w:cs="Sylfaen"/>
                <w:lang w:val="ka-GE"/>
              </w:rPr>
              <w:t>მართლმსაჯულების რეფორმის „მესამე ტალღით“ გათვალისწინებული</w:t>
            </w:r>
            <w:r w:rsidR="008E669E">
              <w:rPr>
                <w:rFonts w:ascii="Sylfaen" w:hAnsi="Sylfaen" w:cs="Sylfaen"/>
                <w:lang w:val="ka-GE"/>
              </w:rPr>
              <w:t xml:space="preserve"> </w:t>
            </w:r>
            <w:r w:rsidRPr="00884387">
              <w:rPr>
                <w:rFonts w:ascii="Sylfaen" w:hAnsi="Sylfaen" w:cs="Sylfaen"/>
                <w:lang w:val="ka-GE"/>
              </w:rPr>
              <w:t>ცვლილებები</w:t>
            </w:r>
            <w:r w:rsidR="008E669E">
              <w:rPr>
                <w:rFonts w:ascii="Sylfaen" w:hAnsi="Sylfaen" w:cs="Sylfaen"/>
                <w:lang w:val="ka-GE"/>
              </w:rPr>
              <w:t>თ</w:t>
            </w:r>
            <w:r w:rsidRPr="00884387">
              <w:rPr>
                <w:rFonts w:ascii="Sylfaen" w:hAnsi="Sylfaen" w:cs="Sylfaen"/>
                <w:lang w:val="ka-GE"/>
              </w:rPr>
              <w:t xml:space="preserve"> მოსამართლეს</w:t>
            </w:r>
            <w:r w:rsidR="008E669E">
              <w:rPr>
                <w:rFonts w:ascii="Sylfaen" w:hAnsi="Sylfaen" w:cs="Sylfaen"/>
                <w:lang w:val="ka-GE"/>
              </w:rPr>
              <w:t xml:space="preserve"> მიეცა </w:t>
            </w:r>
            <w:r w:rsidRPr="00884387">
              <w:rPr>
                <w:rFonts w:ascii="Sylfaen" w:hAnsi="Sylfaen" w:cs="Sylfaen"/>
                <w:lang w:val="ka-GE"/>
              </w:rPr>
              <w:t xml:space="preserve"> შესაძლებლობა, მოითხოვოს</w:t>
            </w:r>
            <w:r w:rsidR="008E669E">
              <w:rPr>
                <w:rFonts w:ascii="Sylfaen" w:hAnsi="Sylfaen" w:cs="Sylfaen"/>
                <w:lang w:val="ka-GE"/>
              </w:rPr>
              <w:t xml:space="preserve"> </w:t>
            </w:r>
            <w:r w:rsidRPr="00884387">
              <w:rPr>
                <w:rFonts w:ascii="Sylfaen" w:hAnsi="Sylfaen" w:cs="Sylfaen"/>
                <w:lang w:val="ka-GE"/>
              </w:rPr>
              <w:t>დისციპლინური სხდომების საჯაროობა. აღნიშნული შეესაბამება ზოგად პრინციპებს სასამართლოს</w:t>
            </w:r>
            <w:r w:rsidR="008E669E">
              <w:rPr>
                <w:rFonts w:ascii="Sylfaen" w:hAnsi="Sylfaen" w:cs="Sylfaen"/>
                <w:lang w:val="ka-GE"/>
              </w:rPr>
              <w:t xml:space="preserve"> </w:t>
            </w:r>
            <w:r w:rsidRPr="00884387">
              <w:rPr>
                <w:rFonts w:ascii="Sylfaen" w:hAnsi="Sylfaen" w:cs="Sylfaen"/>
                <w:lang w:val="ka-GE"/>
              </w:rPr>
              <w:t>დამოუკიდებლობის შესახებ, რომელიც მოითხოვს, რომ დისციპლინური საჩივრის შესწავლა</w:t>
            </w:r>
            <w:r w:rsidR="008E669E">
              <w:rPr>
                <w:rFonts w:ascii="Sylfaen" w:hAnsi="Sylfaen" w:cs="Sylfaen"/>
                <w:lang w:val="ka-GE"/>
              </w:rPr>
              <w:t xml:space="preserve"> </w:t>
            </w:r>
            <w:r w:rsidRPr="00884387">
              <w:rPr>
                <w:rFonts w:ascii="Sylfaen" w:hAnsi="Sylfaen" w:cs="Sylfaen"/>
                <w:lang w:val="ka-GE"/>
              </w:rPr>
              <w:t>მის ადრეულ ეტაპზე განხორციელდეს კონფიდენციალურობის დაცვით, თუ თავად მოსამართლემ არ</w:t>
            </w:r>
            <w:r w:rsidR="008E669E">
              <w:rPr>
                <w:rFonts w:ascii="Sylfaen" w:hAnsi="Sylfaen" w:cs="Sylfaen"/>
                <w:lang w:val="ka-GE"/>
              </w:rPr>
              <w:t xml:space="preserve"> </w:t>
            </w:r>
            <w:r w:rsidRPr="00884387">
              <w:rPr>
                <w:rFonts w:ascii="Sylfaen" w:hAnsi="Sylfaen" w:cs="Sylfaen"/>
                <w:lang w:val="ka-GE"/>
              </w:rPr>
              <w:t>მოითხოვა საპირისპირო</w:t>
            </w:r>
            <w:r w:rsidR="008E669E">
              <w:rPr>
                <w:rFonts w:ascii="Sylfaen" w:hAnsi="Sylfaen" w:cs="Sylfaen"/>
                <w:lang w:val="ka-GE"/>
              </w:rPr>
              <w:t xml:space="preserve">. </w:t>
            </w:r>
            <w:r w:rsidRPr="00884387">
              <w:rPr>
                <w:rFonts w:ascii="Sylfaen" w:hAnsi="Sylfaen" w:cs="Sylfaen"/>
                <w:lang w:val="ka-GE"/>
              </w:rPr>
              <w:t xml:space="preserve"> გამჭვირვალობა უნდა იყოს მოსამართლეთა მიმართ დისციპლინური განხილვის</w:t>
            </w:r>
            <w:r w:rsidR="008E669E">
              <w:rPr>
                <w:rFonts w:ascii="Sylfaen" w:hAnsi="Sylfaen" w:cs="Sylfaen"/>
                <w:lang w:val="ka-GE"/>
              </w:rPr>
              <w:t xml:space="preserve"> </w:t>
            </w:r>
            <w:r w:rsidRPr="00884387">
              <w:rPr>
                <w:rFonts w:ascii="Sylfaen" w:hAnsi="Sylfaen" w:cs="Sylfaen"/>
                <w:lang w:val="ka-GE"/>
              </w:rPr>
              <w:t>ზოგადი წესი, ხოლო გამონაკლისს უნდა წარმოადგენდეს ის შემთხვევები, როცა თავად მოსამართლე</w:t>
            </w:r>
            <w:r w:rsidR="008E669E">
              <w:rPr>
                <w:rFonts w:ascii="Sylfaen" w:hAnsi="Sylfaen" w:cs="Sylfaen"/>
                <w:lang w:val="ka-GE"/>
              </w:rPr>
              <w:t xml:space="preserve"> </w:t>
            </w:r>
            <w:r w:rsidRPr="00884387">
              <w:rPr>
                <w:rFonts w:ascii="Sylfaen" w:hAnsi="Sylfaen" w:cs="Sylfaen"/>
                <w:lang w:val="ka-GE"/>
              </w:rPr>
              <w:t>რომელსაც ბრალი ედება, მოითხოვს საქმის დახურულ ფორმატში განხილვას</w:t>
            </w:r>
            <w:r w:rsidR="008E669E">
              <w:rPr>
                <w:rFonts w:ascii="Sylfaen" w:hAnsi="Sylfaen" w:cs="Sylfaen"/>
                <w:lang w:val="ka-GE"/>
              </w:rPr>
              <w:t>.</w:t>
            </w:r>
            <w:r w:rsidR="00B16093">
              <w:rPr>
                <w:rFonts w:ascii="Sylfaen" w:hAnsi="Sylfaen" w:cs="Sylfaen"/>
                <w:lang w:val="ka-GE"/>
              </w:rPr>
              <w:t xml:space="preserve"> </w:t>
            </w:r>
            <w:r w:rsidR="008E669E">
              <w:rPr>
                <w:rFonts w:ascii="Sylfaen" w:hAnsi="Sylfaen" w:cs="Sylfaen"/>
                <w:lang w:val="ka-GE"/>
              </w:rPr>
              <w:t>შესაბამისად</w:t>
            </w:r>
            <w:r w:rsidR="00B16093">
              <w:rPr>
                <w:rFonts w:ascii="Sylfaen" w:hAnsi="Sylfaen" w:cs="Sylfaen"/>
                <w:lang w:val="ka-GE"/>
              </w:rPr>
              <w:t>,</w:t>
            </w:r>
            <w:r w:rsidR="008E669E">
              <w:rPr>
                <w:rFonts w:ascii="Sylfaen" w:hAnsi="Sylfaen" w:cs="Sylfaen"/>
                <w:lang w:val="ka-GE"/>
              </w:rPr>
              <w:t xml:space="preserve"> დისციპლინურ პროცესში ჩართული მოსამართლის უფლებამოსილება ამ კუთხითაც გაუმჯობესდა.</w:t>
            </w:r>
          </w:p>
          <w:p w:rsidR="009120B4" w:rsidRPr="005C0CC9" w:rsidRDefault="009120B4" w:rsidP="009120B4">
            <w:pPr>
              <w:rPr>
                <w:rFonts w:ascii="Sylfaen" w:hAnsi="Sylfaen" w:cs="Sylfaen"/>
                <w:b/>
                <w:i/>
                <w:lang w:val="ka-GE"/>
              </w:rPr>
            </w:pPr>
            <w:r>
              <w:rPr>
                <w:rFonts w:ascii="Sylfaen" w:hAnsi="Sylfaen" w:cs="Sylfaen"/>
                <w:lang w:val="ka-GE"/>
              </w:rPr>
              <w:t xml:space="preserve">3) </w:t>
            </w:r>
            <w:r w:rsidRPr="005C0CC9">
              <w:rPr>
                <w:rFonts w:ascii="Sylfaen" w:hAnsi="Sylfaen" w:cs="Sylfaen"/>
                <w:b/>
                <w:i/>
                <w:lang w:val="ka-GE"/>
              </w:rPr>
              <w:t xml:space="preserve"> დიფერენცირებული მოპყრობის</w:t>
            </w:r>
            <w:r>
              <w:rPr>
                <w:rFonts w:ascii="Sylfaen" w:hAnsi="Sylfaen" w:cs="Sylfaen"/>
                <w:b/>
                <w:i/>
                <w:lang w:val="ka-GE"/>
              </w:rPr>
              <w:t xml:space="preserve"> გამართლებულობის </w:t>
            </w:r>
            <w:r w:rsidRPr="005C0CC9">
              <w:rPr>
                <w:rFonts w:ascii="Sylfaen" w:hAnsi="Sylfaen" w:cs="Sylfaen"/>
                <w:b/>
                <w:i/>
                <w:lang w:val="ka-GE"/>
              </w:rPr>
              <w:t>შეფასებისათვის გამოსაყენებელი ტესტი</w:t>
            </w:r>
          </w:p>
          <w:p w:rsidR="009120B4" w:rsidRDefault="009120B4" w:rsidP="009120B4">
            <w:pPr>
              <w:spacing w:line="240" w:lineRule="auto"/>
              <w:jc w:val="both"/>
              <w:rPr>
                <w:rFonts w:ascii="Sylfaen" w:hAnsi="Sylfaen" w:cs="Sylfaen"/>
                <w:lang w:val="ka-GE"/>
              </w:rPr>
            </w:pPr>
            <w:r w:rsidRPr="004B357C">
              <w:rPr>
                <w:rFonts w:ascii="Sylfaen" w:hAnsi="Sylfaen" w:cs="Sylfaen"/>
                <w:lang w:val="ka-GE"/>
              </w:rPr>
              <w:t>სასამართლოს მიერ ჩამოყალიბებული პრაქტიკის თანახმად, იმის მიხედვით თუ რა ნიშნითა თუ ინტესივობით ხდება უფლებაში ჩარევა, გამოიყენება შეფასების სხვადასხვა ტესტი. მოცემულ შემთხვევაში</w:t>
            </w:r>
            <w:r>
              <w:rPr>
                <w:rFonts w:ascii="Sylfaen" w:hAnsi="Sylfaen" w:cs="Sylfaen"/>
                <w:lang w:val="ka-GE"/>
              </w:rPr>
              <w:t>,</w:t>
            </w:r>
            <w:r w:rsidRPr="004B357C">
              <w:rPr>
                <w:rFonts w:ascii="Sylfaen" w:hAnsi="Sylfaen" w:cs="Sylfaen"/>
                <w:lang w:val="ka-GE"/>
              </w:rPr>
              <w:t xml:space="preserve">  </w:t>
            </w:r>
            <w:r>
              <w:rPr>
                <w:rFonts w:ascii="Sylfaen" w:hAnsi="Sylfaen" w:cs="Sylfaen"/>
                <w:lang w:val="ka-GE"/>
              </w:rPr>
              <w:t>დიფერენციაცია არ ხდება</w:t>
            </w:r>
            <w:r w:rsidRPr="004B357C">
              <w:rPr>
                <w:rFonts w:ascii="Sylfaen" w:hAnsi="Sylfaen" w:cs="Sylfaen"/>
                <w:lang w:val="ka-GE"/>
              </w:rPr>
              <w:t xml:space="preserve"> </w:t>
            </w:r>
            <w:r>
              <w:rPr>
                <w:rFonts w:ascii="Sylfaen" w:hAnsi="Sylfaen" w:cs="Sylfaen"/>
                <w:lang w:val="ka-GE"/>
              </w:rPr>
              <w:t>ე.წ.</w:t>
            </w:r>
            <w:r w:rsidRPr="004B357C">
              <w:rPr>
                <w:rFonts w:ascii="Sylfaen" w:hAnsi="Sylfaen" w:cs="Sylfaen"/>
                <w:lang w:val="ka-GE"/>
              </w:rPr>
              <w:t xml:space="preserve"> კლასიკური </w:t>
            </w:r>
            <w:r>
              <w:rPr>
                <w:rFonts w:ascii="Sylfaen" w:hAnsi="Sylfaen" w:cs="Sylfaen"/>
                <w:lang w:val="ka-GE"/>
              </w:rPr>
              <w:t>ნიშნის მიხედვით,</w:t>
            </w:r>
            <w:r w:rsidRPr="004B357C">
              <w:rPr>
                <w:rFonts w:ascii="Sylfaen" w:hAnsi="Sylfaen" w:cs="Sylfaen"/>
                <w:lang w:val="ka-GE"/>
              </w:rPr>
              <w:t xml:space="preserve"> შესაბამისად, ის თუ რა ტესტის </w:t>
            </w:r>
            <w:r>
              <w:rPr>
                <w:rFonts w:ascii="Sylfaen" w:hAnsi="Sylfaen" w:cs="Sylfaen"/>
                <w:lang w:val="ka-GE"/>
              </w:rPr>
              <w:t xml:space="preserve">გამოყენებს სასამართლო უნდა დადგინდეს </w:t>
            </w:r>
            <w:r w:rsidRPr="004B357C">
              <w:rPr>
                <w:rFonts w:ascii="Sylfaen" w:hAnsi="Sylfaen" w:cs="Sylfaen"/>
                <w:lang w:val="ka-GE"/>
              </w:rPr>
              <w:t>უფლებაში ჩარევის (დიფერენციაციის)</w:t>
            </w:r>
            <w:r>
              <w:rPr>
                <w:rFonts w:ascii="Sylfaen" w:hAnsi="Sylfaen" w:cs="Sylfaen"/>
                <w:lang w:val="ka-GE"/>
              </w:rPr>
              <w:t xml:space="preserve"> </w:t>
            </w:r>
            <w:r w:rsidRPr="004B357C">
              <w:rPr>
                <w:rFonts w:ascii="Sylfaen" w:hAnsi="Sylfaen" w:cs="Sylfaen"/>
                <w:lang w:val="ka-GE"/>
              </w:rPr>
              <w:t>ინსტე</w:t>
            </w:r>
            <w:r>
              <w:rPr>
                <w:rFonts w:ascii="Sylfaen" w:hAnsi="Sylfaen" w:cs="Sylfaen"/>
                <w:lang w:val="ka-GE"/>
              </w:rPr>
              <w:t>ნ</w:t>
            </w:r>
            <w:r w:rsidRPr="004B357C">
              <w:rPr>
                <w:rFonts w:ascii="Sylfaen" w:hAnsi="Sylfaen" w:cs="Sylfaen"/>
                <w:lang w:val="ka-GE"/>
              </w:rPr>
              <w:t>სივობის მიხედვით.</w:t>
            </w:r>
            <w:r>
              <w:rPr>
                <w:rFonts w:ascii="Sylfaen" w:hAnsi="Sylfaen" w:cs="Sylfaen"/>
                <w:lang w:val="ka-GE"/>
              </w:rPr>
              <w:t xml:space="preserve"> </w:t>
            </w:r>
            <w:r w:rsidRPr="004B357C">
              <w:rPr>
                <w:rFonts w:ascii="Sylfaen" w:hAnsi="Sylfaen" w:cs="Sylfaen"/>
                <w:lang w:val="ka-GE"/>
              </w:rPr>
              <w:t>აღნიშნულის ფარგლებში</w:t>
            </w:r>
            <w:r>
              <w:rPr>
                <w:rFonts w:ascii="Sylfaen" w:hAnsi="Sylfaen" w:cs="Sylfaen"/>
                <w:lang w:val="ka-GE"/>
              </w:rPr>
              <w:t>,</w:t>
            </w:r>
            <w:r w:rsidRPr="004B357C">
              <w:rPr>
                <w:rFonts w:ascii="Sylfaen" w:hAnsi="Sylfaen" w:cs="Sylfaen"/>
                <w:lang w:val="ka-GE"/>
              </w:rPr>
              <w:t xml:space="preserve"> სასამართლოს შეფასებით</w:t>
            </w:r>
            <w:r>
              <w:rPr>
                <w:rFonts w:ascii="Sylfaen" w:hAnsi="Sylfaen" w:cs="Sylfaen"/>
                <w:lang w:val="ka-GE"/>
              </w:rPr>
              <w:t>,</w:t>
            </w:r>
            <w:r w:rsidRPr="004B357C">
              <w:rPr>
                <w:rFonts w:ascii="Sylfaen" w:hAnsi="Sylfaen" w:cs="Sylfaen"/>
                <w:lang w:val="ka-GE"/>
              </w:rPr>
              <w:t xml:space="preserve"> გადამწყვეტი მნიშვნელობისაა ის, თუ</w:t>
            </w:r>
            <w:r>
              <w:rPr>
                <w:rFonts w:ascii="Sylfaen" w:hAnsi="Sylfaen" w:cs="Sylfaen"/>
                <w:lang w:val="ka-GE"/>
              </w:rPr>
              <w:t xml:space="preserve"> </w:t>
            </w:r>
            <w:r w:rsidRPr="004B357C">
              <w:rPr>
                <w:rFonts w:ascii="Sylfaen" w:hAnsi="Sylfaen" w:cs="Sylfaen"/>
                <w:lang w:val="ka-GE"/>
              </w:rPr>
              <w:t>არსებითად თანასწორი პირები რამდენად მნიშვნელოვნად განსხვავებულ პირობებში ექცევიან, ანუ დიფერენციაცია რამდენად მკვეთრად 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შესაძლებლობებისგან.</w:t>
            </w:r>
          </w:p>
          <w:p w:rsidR="009120B4" w:rsidRPr="004B357C" w:rsidRDefault="009120B4" w:rsidP="009120B4">
            <w:pPr>
              <w:spacing w:line="240" w:lineRule="auto"/>
              <w:jc w:val="both"/>
              <w:rPr>
                <w:rFonts w:ascii="Sylfaen" w:hAnsi="Sylfaen" w:cs="Sylfaen"/>
                <w:lang w:val="ka-GE"/>
              </w:rPr>
            </w:pPr>
            <w:r>
              <w:rPr>
                <w:rFonts w:ascii="Sylfaen" w:hAnsi="Sylfaen" w:cs="Sylfaen"/>
                <w:lang w:val="ka-GE"/>
              </w:rPr>
              <w:t>როგორც ზემოთ იქნა განხილული, სადავო ნორმა არაერთ მნიშვნელოვან საკითხში აყენებს დიფერენცირებულ მდგომარეობაში არსებითად თანასწორ პირებს, შესაბამისად დიფერენცირებული მოპრობა ინტენსიურ ხასიათს ატარებს, რის გამოც მოსარჩელე მიიჩნევს რომ სასამართლომ უნდა გამოიყენოს მკაცრი შეფასების ტესტი.</w:t>
            </w:r>
          </w:p>
          <w:p w:rsidR="00794CEB" w:rsidRDefault="009120B4" w:rsidP="009120B4">
            <w:pPr>
              <w:spacing w:line="240" w:lineRule="auto"/>
              <w:jc w:val="both"/>
              <w:rPr>
                <w:rFonts w:ascii="Sylfaen" w:eastAsia="Merriweather" w:hAnsi="Sylfaen" w:cs="Merriweather"/>
                <w:b/>
                <w:i/>
                <w:lang w:val="ka-GE"/>
              </w:rPr>
            </w:pPr>
            <w:r w:rsidRPr="005C0CC9">
              <w:rPr>
                <w:rFonts w:ascii="Sylfaen" w:eastAsia="Merriweather" w:hAnsi="Sylfaen" w:cs="Merriweather"/>
                <w:b/>
                <w:i/>
                <w:lang w:val="ka-GE"/>
              </w:rPr>
              <w:t xml:space="preserve"> </w:t>
            </w:r>
          </w:p>
          <w:p w:rsidR="009120B4" w:rsidRPr="005C0CC9" w:rsidRDefault="00794CEB" w:rsidP="009120B4">
            <w:pPr>
              <w:spacing w:line="240" w:lineRule="auto"/>
              <w:jc w:val="both"/>
              <w:rPr>
                <w:rFonts w:ascii="Sylfaen" w:eastAsia="Merriweather" w:hAnsi="Sylfaen" w:cs="Merriweather"/>
                <w:b/>
                <w:i/>
                <w:lang w:val="ka-GE"/>
              </w:rPr>
            </w:pPr>
            <w:r>
              <w:rPr>
                <w:rFonts w:ascii="Sylfaen" w:eastAsia="Merriweather" w:hAnsi="Sylfaen" w:cs="Merriweather"/>
                <w:b/>
                <w:i/>
                <w:lang w:val="ka-GE"/>
              </w:rPr>
              <w:t xml:space="preserve">4) </w:t>
            </w:r>
            <w:r w:rsidR="009120B4" w:rsidRPr="005C0CC9">
              <w:rPr>
                <w:rFonts w:ascii="Sylfaen" w:eastAsia="Merriweather" w:hAnsi="Sylfaen" w:cs="Merriweather"/>
                <w:b/>
                <w:i/>
                <w:lang w:val="ka-GE"/>
              </w:rPr>
              <w:t xml:space="preserve">დაუძლეველი ინტერესი და </w:t>
            </w:r>
            <w:r w:rsidR="00B16093">
              <w:rPr>
                <w:rFonts w:ascii="Sylfaen" w:eastAsia="Merriweather" w:hAnsi="Sylfaen" w:cs="Merriweather"/>
                <w:b/>
                <w:i/>
                <w:lang w:val="ka-GE"/>
              </w:rPr>
              <w:t>პროპორციულობა</w:t>
            </w:r>
          </w:p>
          <w:p w:rsidR="009120B4" w:rsidRPr="004B357C" w:rsidRDefault="009120B4" w:rsidP="009120B4">
            <w:pPr>
              <w:spacing w:line="240" w:lineRule="auto"/>
              <w:jc w:val="both"/>
              <w:rPr>
                <w:rFonts w:ascii="Sylfaen" w:eastAsia="Merriweather" w:hAnsi="Sylfaen" w:cs="Merriweather"/>
                <w:lang w:val="ka-GE"/>
              </w:rPr>
            </w:pPr>
            <w:r w:rsidRPr="004B357C">
              <w:rPr>
                <w:rFonts w:ascii="Sylfaen" w:eastAsia="Merriweather" w:hAnsi="Sylfaen" w:cs="Merriweather"/>
                <w:lang w:val="ka-GE"/>
              </w:rPr>
              <w:t>საკონსტიტუციო სასამართლოს მიერ ჩამოყალიბებული პრაქტიკის თანახმად, მკაცრი შეფასების ტესტის გამოყენებისას</w:t>
            </w:r>
            <w:r>
              <w:rPr>
                <w:rFonts w:ascii="Sylfaen" w:eastAsia="Merriweather" w:hAnsi="Sylfaen" w:cs="Merriweather"/>
                <w:lang w:val="ka-GE"/>
              </w:rPr>
              <w:t xml:space="preserve">, </w:t>
            </w:r>
            <w:r w:rsidRPr="004B357C">
              <w:rPr>
                <w:rFonts w:ascii="Sylfaen" w:eastAsia="Merriweather" w:hAnsi="Sylfaen" w:cs="Merriweather"/>
                <w:lang w:val="ka-GE"/>
              </w:rPr>
              <w:t>სასამართლო ამოწმებს თუ რამდენად არსებობს დაწესებული შეზღუდვის ლეგიტიმური</w:t>
            </w:r>
            <w:r>
              <w:rPr>
                <w:rFonts w:ascii="Sylfaen" w:eastAsia="Merriweather" w:hAnsi="Sylfaen" w:cs="Merriweather"/>
                <w:lang w:val="ka-GE"/>
              </w:rPr>
              <w:t xml:space="preserve"> </w:t>
            </w:r>
            <w:r w:rsidRPr="004B357C">
              <w:rPr>
                <w:rFonts w:ascii="Sylfaen" w:eastAsia="Merriweather" w:hAnsi="Sylfaen" w:cs="Merriweather"/>
                <w:lang w:val="ka-GE"/>
              </w:rPr>
              <w:t xml:space="preserve"> </w:t>
            </w:r>
            <w:r w:rsidRPr="004B357C">
              <w:rPr>
                <w:rFonts w:ascii="Sylfaen" w:eastAsia="Merriweather" w:hAnsi="Sylfaen" w:cs="Merriweather"/>
                <w:lang w:val="ka-GE"/>
              </w:rPr>
              <w:lastRenderedPageBreak/>
              <w:t>მიზანი, რომელიც სახელმწიფოსთვის წარმოადგენს დაუძლეველ ინტერესს და ამდენად ამართლებს დიფერენცირებულ მოპყრობას.</w:t>
            </w:r>
            <w:r w:rsidRPr="004B357C">
              <w:rPr>
                <w:rStyle w:val="af0"/>
                <w:rFonts w:ascii="Sylfaen" w:eastAsia="Merriweather" w:hAnsi="Sylfaen" w:cs="Merriweather"/>
                <w:lang w:val="ka-GE"/>
              </w:rPr>
              <w:footnoteReference w:id="10"/>
            </w:r>
            <w:r w:rsidRPr="004B357C">
              <w:rPr>
                <w:rFonts w:ascii="Sylfaen" w:eastAsia="Merriweather" w:hAnsi="Sylfaen" w:cs="Merriweather"/>
                <w:lang w:val="ka-GE"/>
              </w:rPr>
              <w:t xml:space="preserve"> </w:t>
            </w:r>
          </w:p>
          <w:p w:rsidR="009120B4" w:rsidRDefault="009120B4" w:rsidP="009120B4">
            <w:pPr>
              <w:spacing w:line="240" w:lineRule="auto"/>
              <w:jc w:val="both"/>
              <w:rPr>
                <w:rFonts w:ascii="Sylfaen" w:eastAsia="Merriweather" w:hAnsi="Sylfaen" w:cs="Merriweather"/>
                <w:lang w:val="ka-GE"/>
              </w:rPr>
            </w:pPr>
            <w:r>
              <w:rPr>
                <w:rFonts w:ascii="Sylfaen" w:eastAsia="Merriweather" w:hAnsi="Sylfaen" w:cs="Merriweather"/>
                <w:lang w:val="ka-GE"/>
              </w:rPr>
              <w:t xml:space="preserve">მოსარჩელე მხარისთვის გაუგებარია თუ რა </w:t>
            </w:r>
            <w:r w:rsidR="00B16093">
              <w:rPr>
                <w:rFonts w:ascii="Sylfaen" w:eastAsia="Merriweather" w:hAnsi="Sylfaen" w:cs="Merriweather"/>
                <w:lang w:val="ka-GE"/>
              </w:rPr>
              <w:t>ლეგიტიმურ</w:t>
            </w:r>
            <w:r>
              <w:rPr>
                <w:rFonts w:ascii="Sylfaen" w:eastAsia="Merriweather" w:hAnsi="Sylfaen" w:cs="Merriweather"/>
                <w:lang w:val="ka-GE"/>
              </w:rPr>
              <w:t xml:space="preserve"> მიზანს შეიძლება ემსახურებოდეს</w:t>
            </w:r>
            <w:r w:rsidR="00B16093">
              <w:rPr>
                <w:rFonts w:ascii="Sylfaen" w:eastAsia="Merriweather" w:hAnsi="Sylfaen" w:cs="Merriweather"/>
                <w:lang w:val="ka-GE"/>
              </w:rPr>
              <w:t xml:space="preserve"> სადავო ნორმით დადგენილი</w:t>
            </w:r>
            <w:r>
              <w:rPr>
                <w:rFonts w:ascii="Sylfaen" w:eastAsia="Merriweather" w:hAnsi="Sylfaen" w:cs="Merriweather"/>
                <w:lang w:val="ka-GE"/>
              </w:rPr>
              <w:t xml:space="preserve"> დიფერენცირებული მოპყრობა</w:t>
            </w:r>
            <w:r w:rsidR="00B16093">
              <w:rPr>
                <w:rFonts w:ascii="Sylfaen" w:eastAsia="Merriweather" w:hAnsi="Sylfaen" w:cs="Merriweather"/>
                <w:lang w:val="ka-GE"/>
              </w:rPr>
              <w:t xml:space="preserve"> და ბლანკეტურად ყველა იმ გაუმჯობესებული წესის გარკვეული დროით შემოსაზღვრა, რომლებიც მესამე ტალღით იქნა განხორციელებული.  </w:t>
            </w:r>
            <w:r>
              <w:rPr>
                <w:rFonts w:ascii="Sylfaen" w:eastAsia="Merriweather" w:hAnsi="Sylfaen" w:cs="Merriweather"/>
                <w:lang w:val="ka-GE"/>
              </w:rPr>
              <w:t xml:space="preserve"> შესაბამისად </w:t>
            </w:r>
            <w:r w:rsidR="00B16093">
              <w:rPr>
                <w:rFonts w:ascii="Sylfaen" w:eastAsia="Merriweather" w:hAnsi="Sylfaen" w:cs="Merriweather"/>
                <w:lang w:val="ka-GE"/>
              </w:rPr>
              <w:t>დიფერენცირებული მოპყრობა</w:t>
            </w:r>
            <w:r>
              <w:rPr>
                <w:rFonts w:ascii="Sylfaen" w:eastAsia="Merriweather" w:hAnsi="Sylfaen" w:cs="Merriweather"/>
                <w:lang w:val="ka-GE"/>
              </w:rPr>
              <w:t xml:space="preserve"> თვითმიზნურ ხასიათს ატარებს</w:t>
            </w:r>
            <w:r w:rsidR="002017A3">
              <w:rPr>
                <w:rFonts w:ascii="Sylfaen" w:eastAsia="Merriweather" w:hAnsi="Sylfaen" w:cs="Merriweather"/>
                <w:lang w:val="ka-GE"/>
              </w:rPr>
              <w:t>, არ გააჩნია რაციონალური საფუძველი</w:t>
            </w:r>
            <w:r>
              <w:rPr>
                <w:rFonts w:ascii="Sylfaen" w:eastAsia="Merriweather" w:hAnsi="Sylfaen" w:cs="Merriweather"/>
                <w:lang w:val="ka-GE"/>
              </w:rPr>
              <w:t xml:space="preserve"> </w:t>
            </w:r>
            <w:r w:rsidR="00B16093">
              <w:rPr>
                <w:rFonts w:ascii="Sylfaen" w:eastAsia="Merriweather" w:hAnsi="Sylfaen" w:cs="Merriweather"/>
                <w:lang w:val="ka-GE"/>
              </w:rPr>
              <w:t>და ეწინააღმდეგება საქართველოს კონსტიტუციის მე-14 მუხლს.</w:t>
            </w:r>
          </w:p>
          <w:p w:rsidR="009120B4" w:rsidRDefault="009120B4" w:rsidP="009120B4">
            <w:pPr>
              <w:spacing w:line="240" w:lineRule="auto"/>
              <w:jc w:val="both"/>
              <w:rPr>
                <w:rFonts w:ascii="Sylfaen" w:eastAsia="Merriweather" w:hAnsi="Sylfaen" w:cs="Merriweather"/>
                <w:lang w:val="ka-GE"/>
              </w:rPr>
            </w:pPr>
            <w:r>
              <w:rPr>
                <w:rFonts w:ascii="Sylfaen" w:eastAsia="Merriweather" w:hAnsi="Sylfaen" w:cs="Merriweather"/>
                <w:lang w:val="ka-GE"/>
              </w:rPr>
              <w:t>იმ შემთხვევაშიც</w:t>
            </w:r>
            <w:r w:rsidR="00B16093">
              <w:rPr>
                <w:rFonts w:ascii="Sylfaen" w:eastAsia="Merriweather" w:hAnsi="Sylfaen" w:cs="Merriweather"/>
                <w:lang w:val="ka-GE"/>
              </w:rPr>
              <w:t xml:space="preserve"> კი</w:t>
            </w:r>
            <w:r>
              <w:rPr>
                <w:rFonts w:ascii="Sylfaen" w:eastAsia="Merriweather" w:hAnsi="Sylfaen" w:cs="Merriweather"/>
                <w:lang w:val="ka-GE"/>
              </w:rPr>
              <w:t xml:space="preserve"> თუკი სასამართლო სადავო ნორმებს შეაფასებს რაციონალური დიფერენციაციის ტესტის გამოყენებით, არ არსებობს არც დიფერენცირებული მოპყრობის რაციონალურობის გამამართლებელი გარემოება და რაციონალური კავშირი დიფერენციაციის ობიექტურ მიზეზსა და მისი მოქმედების შედეგს შორის სწორედ ზემოთაღნიშნული გარემოებების გამო</w:t>
            </w:r>
            <w:r w:rsidR="00B16093">
              <w:rPr>
                <w:rFonts w:ascii="Sylfaen" w:eastAsia="Merriweather" w:hAnsi="Sylfaen" w:cs="Merriweather"/>
                <w:lang w:val="ka-GE"/>
              </w:rPr>
              <w:t>. შესაბამისად ამ შემთხვევაშიც სასამართლომ სადავო ნორმა არაკონსტიტუციურად უნდა სცნოს.</w:t>
            </w:r>
          </w:p>
          <w:p w:rsidR="009120B4" w:rsidRDefault="009120B4" w:rsidP="00884387">
            <w:pPr>
              <w:jc w:val="both"/>
              <w:rPr>
                <w:rFonts w:ascii="Sylfaen" w:hAnsi="Sylfaen" w:cs="Sylfaen"/>
                <w:lang w:val="ka-GE"/>
              </w:rPr>
            </w:pPr>
          </w:p>
          <w:p w:rsidR="008E669E" w:rsidRDefault="008E669E" w:rsidP="00884387">
            <w:pPr>
              <w:jc w:val="both"/>
              <w:rPr>
                <w:rFonts w:ascii="Sylfaen" w:hAnsi="Sylfaen" w:cs="Sylfaen"/>
                <w:lang w:val="ka-GE"/>
              </w:rPr>
            </w:pPr>
          </w:p>
          <w:p w:rsidR="00A3659B" w:rsidRDefault="00A3659B" w:rsidP="00884387">
            <w:pPr>
              <w:jc w:val="both"/>
              <w:rPr>
                <w:rFonts w:ascii="Sylfaen" w:hAnsi="Sylfaen" w:cs="Sylfaen"/>
                <w:lang w:val="ka-GE"/>
              </w:rPr>
            </w:pPr>
          </w:p>
          <w:p w:rsidR="00A3659B" w:rsidRPr="00812774" w:rsidRDefault="00A3659B" w:rsidP="00884387">
            <w:pPr>
              <w:jc w:val="both"/>
              <w:rPr>
                <w:rFonts w:ascii="Sylfaen" w:hAnsi="Sylfaen" w:cs="Sylfaen"/>
                <w:lang w:val="ka-GE"/>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E47F35" w:rsidRDefault="00E47F35" w:rsidP="00884387">
            <w:pPr>
              <w:jc w:val="both"/>
              <w:rPr>
                <w:rFonts w:ascii="Sylfaen" w:eastAsia="Arial Unicode MS" w:hAnsi="Sylfaen" w:cs="Arial Unicode MS"/>
                <w:noProof/>
              </w:rPr>
            </w:pPr>
          </w:p>
          <w:p w:rsidR="00BC4694" w:rsidRPr="00C254DA" w:rsidRDefault="00BC4694" w:rsidP="00B16093">
            <w:pPr>
              <w:jc w:val="both"/>
              <w:rPr>
                <w:color w:val="000000"/>
                <w:sz w:val="24"/>
                <w:szCs w:val="24"/>
                <w:lang w:val="ka-GE"/>
              </w:rPr>
            </w:pPr>
          </w:p>
        </w:tc>
      </w:tr>
    </w:tbl>
    <w:p w:rsidR="00BC4694" w:rsidRPr="00806B52"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r>
        <w:rPr>
          <w:rFonts w:ascii="Sylfaen" w:hAnsi="Sylfaen"/>
          <w:lang w:val="ka-GE"/>
        </w:rPr>
        <w:br w:type="page"/>
      </w:r>
    </w:p>
    <w:tbl>
      <w:tblPr>
        <w:tblW w:w="11317" w:type="dxa"/>
        <w:tblInd w:w="-327" w:type="dxa"/>
        <w:tblBorders>
          <w:top w:val="single" w:sz="8" w:space="0" w:color="000000"/>
          <w:bottom w:val="single" w:sz="8" w:space="0" w:color="000000"/>
        </w:tblBorders>
        <w:tblLook w:val="0400" w:firstRow="0" w:lastRow="0" w:firstColumn="0" w:lastColumn="0" w:noHBand="0" w:noVBand="1"/>
      </w:tblPr>
      <w:tblGrid>
        <w:gridCol w:w="11317"/>
      </w:tblGrid>
      <w:tr w:rsidR="007C2195" w:rsidRPr="000C0133" w:rsidTr="007C2195">
        <w:tc>
          <w:tcPr>
            <w:tcW w:w="11317" w:type="dxa"/>
            <w:tcBorders>
              <w:left w:val="nil"/>
              <w:right w:val="nil"/>
            </w:tcBorders>
            <w:shd w:val="clear" w:color="auto" w:fill="D9D9D9"/>
          </w:tcPr>
          <w:p w:rsidR="00BC4694" w:rsidRPr="000C0133" w:rsidRDefault="00BC4694" w:rsidP="00884387">
            <w:pPr>
              <w:spacing w:before="360" w:after="360" w:line="240" w:lineRule="auto"/>
              <w:jc w:val="both"/>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f0"/>
                <w:rFonts w:ascii="Sylfaen" w:hAnsi="Sylfaen"/>
                <w:b/>
                <w:color w:val="548DD4"/>
                <w:sz w:val="26"/>
                <w:szCs w:val="26"/>
                <w:lang w:val="ka-GE"/>
              </w:rPr>
              <w:footnoteReference w:customMarkFollows="1" w:id="11"/>
              <w:t>შენიშვნა 6</w:t>
            </w:r>
          </w:p>
        </w:tc>
      </w:tr>
      <w:tr w:rsidR="007C2195" w:rsidRPr="000C0133" w:rsidTr="007C2195">
        <w:tc>
          <w:tcPr>
            <w:tcW w:w="11317" w:type="dxa"/>
          </w:tcPr>
          <w:p w:rsidR="00BC4694" w:rsidRPr="000C0133" w:rsidRDefault="00BC4694" w:rsidP="00884387">
            <w:pPr>
              <w:spacing w:before="120" w:after="120" w:line="240" w:lineRule="auto"/>
              <w:jc w:val="both"/>
              <w:rPr>
                <w:rFonts w:ascii="Sylfaen" w:hAnsi="Sylfaen" w:cs="Sylfaen"/>
                <w:i/>
                <w:color w:val="000000"/>
                <w:lang w:val="ka-GE"/>
              </w:rPr>
            </w:pPr>
            <w:r w:rsidRPr="000C0133">
              <w:rPr>
                <w:color w:val="000000"/>
              </w:rPr>
              <w:t xml:space="preserve"> </w:t>
            </w:r>
          </w:p>
        </w:tc>
      </w:tr>
      <w:tr w:rsidR="007C2195" w:rsidRPr="000C0133" w:rsidTr="007C2195">
        <w:tc>
          <w:tcPr>
            <w:tcW w:w="11317" w:type="dxa"/>
            <w:tcBorders>
              <w:left w:val="nil"/>
              <w:bottom w:val="nil"/>
              <w:right w:val="nil"/>
            </w:tcBorders>
            <w:shd w:val="clear" w:color="auto" w:fill="D9D9D9"/>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2"/>
              <w:t>შენიშვნა 7</w:t>
            </w:r>
          </w:p>
        </w:tc>
      </w:tr>
      <w:tr w:rsidR="007C2195" w:rsidRPr="000C0133" w:rsidTr="007C2195">
        <w:trPr>
          <w:trHeight w:val="315"/>
        </w:trPr>
        <w:tc>
          <w:tcPr>
            <w:tcW w:w="11317" w:type="dxa"/>
            <w:tcBorders>
              <w:top w:val="nil"/>
              <w:bottom w:val="nil"/>
            </w:tcBorders>
          </w:tcPr>
          <w:p w:rsidR="00BC4694" w:rsidRPr="00ED752D" w:rsidRDefault="00AD47DC" w:rsidP="00884387">
            <w:pPr>
              <w:spacing w:after="0" w:line="240" w:lineRule="auto"/>
              <w:jc w:val="both"/>
              <w:rPr>
                <w:color w:val="000000"/>
                <w:sz w:val="24"/>
                <w:szCs w:val="24"/>
              </w:rPr>
            </w:pPr>
            <w:r w:rsidRPr="00ED752D">
              <w:rPr>
                <w:color w:val="000000"/>
                <w:sz w:val="24"/>
                <w:szCs w:val="24"/>
              </w:rPr>
              <w:fldChar w:fldCharType="begin">
                <w:ffData>
                  <w:name w:val="Text32"/>
                  <w:enabled/>
                  <w:calcOnExit w:val="0"/>
                  <w:textInput/>
                </w:ffData>
              </w:fldChar>
            </w:r>
            <w:bookmarkStart w:id="7" w:name="Text32"/>
            <w:r w:rsidR="00BC4694"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00BC4694" w:rsidRPr="00ED752D">
              <w:rPr>
                <w:noProof/>
                <w:color w:val="000000"/>
                <w:sz w:val="24"/>
                <w:szCs w:val="24"/>
              </w:rPr>
              <w:t> </w:t>
            </w:r>
            <w:r w:rsidRPr="00ED752D">
              <w:rPr>
                <w:color w:val="000000"/>
                <w:sz w:val="24"/>
                <w:szCs w:val="24"/>
              </w:rPr>
              <w:fldChar w:fldCharType="end"/>
            </w:r>
            <w:bookmarkEnd w:id="7"/>
          </w:p>
        </w:tc>
      </w:tr>
      <w:tr w:rsidR="007C2195" w:rsidRPr="000C0133" w:rsidTr="007C2195">
        <w:trPr>
          <w:trHeight w:val="423"/>
        </w:trPr>
        <w:tc>
          <w:tcPr>
            <w:tcW w:w="11317" w:type="dxa"/>
            <w:tcBorders>
              <w:top w:val="nil"/>
              <w:left w:val="nil"/>
              <w:bottom w:val="nil"/>
              <w:right w:val="nil"/>
            </w:tcBorders>
            <w:shd w:val="clear" w:color="auto" w:fill="C0C0C0"/>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3"/>
              <w:t>შენიშვნა 8</w:t>
            </w:r>
          </w:p>
        </w:tc>
      </w:tr>
      <w:tr w:rsidR="007C2195" w:rsidRPr="000C0133" w:rsidTr="007C2195">
        <w:trPr>
          <w:trHeight w:val="297"/>
        </w:trPr>
        <w:tc>
          <w:tcPr>
            <w:tcW w:w="11317" w:type="dxa"/>
            <w:tcBorders>
              <w:top w:val="nil"/>
              <w:bottom w:val="nil"/>
            </w:tcBorders>
          </w:tcPr>
          <w:p w:rsidR="007C2195" w:rsidRPr="00436031" w:rsidRDefault="007C2195" w:rsidP="007C2195">
            <w:pPr>
              <w:jc w:val="both"/>
              <w:rPr>
                <w:rFonts w:ascii="Sylfaen" w:hAnsi="Sylfaen"/>
                <w:lang w:val="ka-GE"/>
              </w:rPr>
            </w:pPr>
            <w:r w:rsidRPr="00436031">
              <w:rPr>
                <w:rFonts w:ascii="Sylfaen" w:hAnsi="Sylfaen"/>
                <w:lang w:val="ka-GE"/>
              </w:rPr>
              <w:t>საქართველოს ორგანული კანონის „საქართველოს საკონსტიტუციო სასამართლოს შესახებ“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w:t>
            </w:r>
          </w:p>
          <w:p w:rsidR="007C2195" w:rsidRPr="00436031" w:rsidRDefault="007C2195" w:rsidP="007C2195">
            <w:pPr>
              <w:jc w:val="both"/>
              <w:rPr>
                <w:rFonts w:ascii="Sylfaen" w:hAnsi="Sylfaen"/>
                <w:i/>
                <w:lang w:val="ka-GE"/>
              </w:rPr>
            </w:pPr>
            <w:r w:rsidRPr="00436031">
              <w:rPr>
                <w:rFonts w:ascii="Sylfaen" w:hAnsi="Sylfaen"/>
                <w:lang w:val="ka-GE"/>
              </w:rPr>
              <w:t xml:space="preserve">მართალია, ხსენებული ნორმის გრამატიკული განმარტება ტოვებს შთაბეჭდილებას, რომ სადავო ნორმის მოქმედების შეჩერების მოთხოვნა უნდა უკავშირდებოდეს  გამოუსწორებელ შედეგის უშუალოდ მხარისათვის  დადგომის საშიშროებას, მაგრამ საქართველოს საკონსტიტუციო სასამართლოს მიერ ჩამოყალიბებული პრაქტიკით ნორმის  მიზანს წარმოადგენს გამოუსწორებელი შედეგის თავიდან აცილება, განურჩევლად იმისა, თუ რა სახის დავასთან გვაქვს საქმე და ვინ არიან მოდავე სუბიექტები. </w:t>
            </w:r>
            <w:r w:rsidR="00436031" w:rsidRPr="00436031">
              <w:rPr>
                <w:rFonts w:ascii="Sylfaen" w:hAnsi="Sylfaen"/>
                <w:lang w:val="ka-GE"/>
              </w:rPr>
              <w:t>“</w:t>
            </w:r>
            <w:r w:rsidRPr="00436031">
              <w:rPr>
                <w:rFonts w:ascii="Sylfaen" w:hAnsi="Sylfaen"/>
                <w:lang w:val="ka-GE"/>
              </w:rPr>
              <w:t>მაგალითად, როდესაც სახალხო დამცველი მიმართავს სასამართლოს კონსტიტუციური სარჩელით, „საქართველოს საკონსტიტუციო სასამართლოს შესახებ“ საქართველოს ორგანული კანონის 39-ე მუხლზე დაყრდნობით, ის არის მხარე, თუმცა დაობს არა საკუთარი უფლებების, არამედ პირთა განუსაზღვრელი წრის უფლებების დასაცავად, რამდენადაც სხვათა უფლებებისა და თავისუფლებების დაცვა მის კონსტიტუციურ ვალდებულებას წარმოადგენს. შესაბამისად, სადავო ნორმის შეჩერების მოთხოვნისას მან უნდა ამტკიცოს სწორედ სხვა პირებისთვის და არა სახალხო დამცველისთვის, გამოუსწორებელი შედეგის დადგომის საფრთხე.</w:t>
            </w:r>
            <w:r w:rsidR="00436031" w:rsidRPr="00436031">
              <w:rPr>
                <w:rFonts w:ascii="Sylfaen" w:hAnsi="Sylfaen"/>
                <w:lang w:val="ka-GE"/>
              </w:rPr>
              <w:t>”</w:t>
            </w:r>
            <w:r w:rsidRPr="00436031">
              <w:rPr>
                <w:rFonts w:ascii="Sylfaen" w:hAnsi="Sylfaen"/>
                <w:lang w:val="ka-GE"/>
              </w:rPr>
              <w:t xml:space="preserve"> </w:t>
            </w:r>
            <w:r w:rsidRPr="00436031">
              <w:rPr>
                <w:rFonts w:ascii="Sylfaen" w:hAnsi="Sylfaen"/>
                <w:i/>
                <w:lang w:val="ka-GE"/>
              </w:rPr>
              <w:t>2015 წლის 12 ოქტომბერის №3/6/668 საოქმო ჩანაწერი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w:t>
            </w:r>
          </w:p>
          <w:p w:rsidR="007C2195" w:rsidRPr="00436031" w:rsidRDefault="00436031" w:rsidP="007C2195">
            <w:pPr>
              <w:jc w:val="both"/>
              <w:rPr>
                <w:rFonts w:ascii="Sylfaen" w:hAnsi="Sylfaen"/>
                <w:lang w:val="ka-GE"/>
              </w:rPr>
            </w:pPr>
            <w:r w:rsidRPr="00436031">
              <w:rPr>
                <w:rFonts w:ascii="Sylfaen" w:hAnsi="Sylfaen"/>
                <w:lang w:val="ka-GE"/>
              </w:rPr>
              <w:t>მოცემულ</w:t>
            </w:r>
            <w:r w:rsidR="007C2195" w:rsidRPr="00436031">
              <w:rPr>
                <w:rFonts w:ascii="Sylfaen" w:hAnsi="Sylfaen"/>
                <w:lang w:val="ka-GE"/>
              </w:rPr>
              <w:t xml:space="preserve"> საქმეზე თუ საკონსტიტუციო სასამართლო არ შეაჩერებს სადავო ნორმის მოქმედებას</w:t>
            </w:r>
            <w:r w:rsidRPr="00436031">
              <w:rPr>
                <w:rFonts w:ascii="Sylfaen" w:hAnsi="Sylfaen"/>
                <w:lang w:val="ka-GE"/>
              </w:rPr>
              <w:t>,</w:t>
            </w:r>
            <w:r w:rsidR="007C2195" w:rsidRPr="00436031">
              <w:rPr>
                <w:rFonts w:ascii="Sylfaen" w:hAnsi="Sylfaen"/>
                <w:lang w:val="ka-GE"/>
              </w:rPr>
              <w:t xml:space="preserve"> შესაძლებელია ისე დასრულდეს დისციპლინური საქმეები, რომ მოსამართლეთა ნაწილს არ მიეცეს გაუმჯობესებული წესებით სარგებლობის შესაძლებლობა, ამასთან შემდგომში საკონსტიტუციო სასამართლომ თუნდაც დააკმაყოფილოს კონსტიტუციური სარჩელი ეს ვერ გამოიწვევს დარღვეული კონსტიტუციური უფლების აღდგენას, რადგანაც </w:t>
            </w:r>
            <w:r w:rsidRPr="00436031">
              <w:rPr>
                <w:rFonts w:ascii="Sylfaen" w:hAnsi="Sylfaen"/>
                <w:lang w:val="ka-GE"/>
              </w:rPr>
              <w:t xml:space="preserve">ამ დროისთვის </w:t>
            </w:r>
            <w:r w:rsidR="007C2195" w:rsidRPr="00436031">
              <w:rPr>
                <w:rFonts w:ascii="Sylfaen" w:hAnsi="Sylfaen"/>
                <w:lang w:val="ka-GE"/>
              </w:rPr>
              <w:t>შესაძლებელია</w:t>
            </w:r>
            <w:r w:rsidRPr="00436031">
              <w:rPr>
                <w:rFonts w:ascii="Sylfaen" w:hAnsi="Sylfaen"/>
                <w:lang w:val="ka-GE"/>
              </w:rPr>
              <w:t xml:space="preserve"> დისციპლინური</w:t>
            </w:r>
            <w:r w:rsidR="007C2195" w:rsidRPr="00436031">
              <w:rPr>
                <w:rFonts w:ascii="Sylfaen" w:hAnsi="Sylfaen"/>
                <w:lang w:val="ka-GE"/>
              </w:rPr>
              <w:t xml:space="preserve"> პროცესები</w:t>
            </w:r>
            <w:r w:rsidRPr="00436031">
              <w:rPr>
                <w:rFonts w:ascii="Sylfaen" w:hAnsi="Sylfaen"/>
                <w:lang w:val="ka-GE"/>
              </w:rPr>
              <w:t xml:space="preserve"> უკვე</w:t>
            </w:r>
            <w:r w:rsidR="007C2195" w:rsidRPr="00436031">
              <w:rPr>
                <w:rFonts w:ascii="Sylfaen" w:hAnsi="Sylfaen"/>
                <w:lang w:val="ka-GE"/>
              </w:rPr>
              <w:t xml:space="preserve"> დასრულებული იყოს</w:t>
            </w:r>
            <w:r w:rsidRPr="00436031">
              <w:rPr>
                <w:rFonts w:ascii="Sylfaen" w:hAnsi="Sylfaen"/>
                <w:lang w:val="ka-GE"/>
              </w:rPr>
              <w:t>, შესაბამისი ნეგატიური შედეგებით.</w:t>
            </w:r>
          </w:p>
          <w:p w:rsidR="007C2195" w:rsidRPr="00436031" w:rsidRDefault="007C2195" w:rsidP="007C2195">
            <w:pPr>
              <w:jc w:val="both"/>
              <w:rPr>
                <w:rFonts w:ascii="Sylfaen" w:hAnsi="Sylfaen"/>
                <w:lang w:val="ka-GE"/>
              </w:rPr>
            </w:pPr>
            <w:r w:rsidRPr="00436031">
              <w:rPr>
                <w:rFonts w:ascii="Sylfaen" w:hAnsi="Sylfaen"/>
                <w:lang w:val="ka-GE"/>
              </w:rPr>
              <w:t>აქედან გამომდინარე</w:t>
            </w:r>
            <w:r w:rsidR="00436031" w:rsidRPr="00436031">
              <w:rPr>
                <w:rFonts w:ascii="Sylfaen" w:hAnsi="Sylfaen"/>
                <w:lang w:val="ka-GE"/>
              </w:rPr>
              <w:t xml:space="preserve">, “საკონსტიტუციო სასამართლომ საბოლოო გადაწყვეტილების მიღებამდე უნდა </w:t>
            </w:r>
            <w:r w:rsidR="00436031" w:rsidRPr="00436031">
              <w:rPr>
                <w:rFonts w:ascii="Sylfaen" w:hAnsi="Sylfaen"/>
                <w:lang w:val="ka-GE"/>
              </w:rPr>
              <w:lastRenderedPageBreak/>
              <w:t>შეაჩეროს სადავო ნორმის მოქმედება.</w:t>
            </w:r>
          </w:p>
          <w:p w:rsidR="007C2195" w:rsidRPr="0062363D" w:rsidRDefault="007C2195" w:rsidP="007C2195">
            <w:pPr>
              <w:rPr>
                <w:rFonts w:ascii="Sylfaen" w:hAnsi="Sylfaen"/>
                <w:lang w:val="ka-GE"/>
              </w:rPr>
            </w:pPr>
          </w:p>
          <w:p w:rsidR="00BC4694" w:rsidRPr="00ED752D" w:rsidRDefault="00BC4694" w:rsidP="00884387">
            <w:pPr>
              <w:spacing w:after="0" w:line="240" w:lineRule="auto"/>
              <w:jc w:val="both"/>
              <w:rPr>
                <w:color w:val="000000"/>
                <w:sz w:val="24"/>
                <w:szCs w:val="24"/>
              </w:rPr>
            </w:pPr>
          </w:p>
        </w:tc>
      </w:tr>
      <w:tr w:rsidR="007C2195" w:rsidRPr="000C0133" w:rsidTr="007C2195">
        <w:trPr>
          <w:trHeight w:val="423"/>
        </w:trPr>
        <w:tc>
          <w:tcPr>
            <w:tcW w:w="11317" w:type="dxa"/>
            <w:tcBorders>
              <w:top w:val="nil"/>
              <w:left w:val="nil"/>
              <w:bottom w:val="nil"/>
              <w:right w:val="nil"/>
            </w:tcBorders>
            <w:shd w:val="clear" w:color="auto" w:fill="C0C0C0"/>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s="Sylfaen"/>
                <w:color w:val="000000"/>
                <w:lang w:val="ka-GE"/>
              </w:rPr>
              <w:lastRenderedPageBreak/>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f0"/>
                <w:rFonts w:ascii="Sylfaen" w:hAnsi="Sylfaen"/>
                <w:b/>
                <w:color w:val="548DD4"/>
                <w:sz w:val="26"/>
                <w:szCs w:val="26"/>
                <w:lang w:val="ka-GE"/>
              </w:rPr>
              <w:footnoteReference w:customMarkFollows="1" w:id="14"/>
              <w:t>შენიშვნა 9</w:t>
            </w:r>
          </w:p>
        </w:tc>
      </w:tr>
      <w:tr w:rsidR="007C2195" w:rsidRPr="000C0133" w:rsidTr="007C2195">
        <w:trPr>
          <w:trHeight w:val="2898"/>
        </w:trPr>
        <w:tc>
          <w:tcPr>
            <w:tcW w:w="11317" w:type="dxa"/>
            <w:tcBorders>
              <w:top w:val="nil"/>
              <w:bottom w:val="single" w:sz="4" w:space="0" w:color="auto"/>
            </w:tcBorders>
          </w:tcPr>
          <w:p w:rsidR="00F0177A" w:rsidRDefault="00F0177A" w:rsidP="00884387">
            <w:pPr>
              <w:spacing w:after="0" w:line="240" w:lineRule="auto"/>
              <w:jc w:val="both"/>
              <w:rPr>
                <w:rFonts w:ascii="Sylfaen" w:hAnsi="Sylfaen"/>
                <w:color w:val="000000"/>
                <w:sz w:val="24"/>
                <w:szCs w:val="24"/>
                <w:lang w:val="ka-GE"/>
              </w:rPr>
            </w:pPr>
          </w:p>
        </w:tc>
      </w:tr>
    </w:tbl>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p>
    <w:p w:rsidR="00BC4694" w:rsidRDefault="00BC4694" w:rsidP="00884387">
      <w:pPr>
        <w:jc w:val="both"/>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BC4694" w:rsidRPr="000C0133" w:rsidTr="00884387">
        <w:tc>
          <w:tcPr>
            <w:tcW w:w="11016" w:type="dxa"/>
            <w:gridSpan w:val="2"/>
            <w:tcBorders>
              <w:left w:val="nil"/>
              <w:right w:val="nil"/>
            </w:tcBorders>
            <w:shd w:val="clear" w:color="auto" w:fill="D9D9D9"/>
          </w:tcPr>
          <w:p w:rsidR="00BC4694" w:rsidRPr="000C0133" w:rsidRDefault="00BC4694" w:rsidP="00884387">
            <w:pPr>
              <w:spacing w:before="360" w:after="360" w:line="240" w:lineRule="auto"/>
              <w:jc w:val="both"/>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BC4694" w:rsidRPr="000C0133" w:rsidTr="00884387">
        <w:trPr>
          <w:trHeight w:val="378"/>
        </w:trPr>
        <w:tc>
          <w:tcPr>
            <w:tcW w:w="11016" w:type="dxa"/>
            <w:gridSpan w:val="2"/>
          </w:tcPr>
          <w:p w:rsidR="00BC4694" w:rsidRPr="000C0133" w:rsidRDefault="00BC4694" w:rsidP="00884387">
            <w:pPr>
              <w:spacing w:after="0" w:line="240" w:lineRule="auto"/>
              <w:jc w:val="both"/>
              <w:rPr>
                <w:rFonts w:ascii="Sylfaen" w:hAnsi="Sylfaen" w:cs="Sylfaen"/>
                <w:i/>
                <w:color w:val="000000"/>
                <w:lang w:val="ka-GE"/>
              </w:rPr>
            </w:pPr>
          </w:p>
        </w:tc>
      </w:tr>
      <w:tr w:rsidR="00BC4694" w:rsidRPr="000C0133" w:rsidTr="00884387">
        <w:tc>
          <w:tcPr>
            <w:tcW w:w="11016" w:type="dxa"/>
            <w:gridSpan w:val="2"/>
            <w:tcBorders>
              <w:left w:val="nil"/>
              <w:bottom w:val="nil"/>
              <w:right w:val="nil"/>
            </w:tcBorders>
            <w:shd w:val="clear" w:color="auto" w:fill="D9D9D9"/>
          </w:tcPr>
          <w:p w:rsidR="00BC4694" w:rsidRPr="000C0133" w:rsidRDefault="00BC4694" w:rsidP="00884387">
            <w:pPr>
              <w:spacing w:before="120" w:after="120" w:line="240" w:lineRule="auto"/>
              <w:jc w:val="both"/>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BC4694" w:rsidRPr="000C0133" w:rsidTr="00884387">
        <w:tc>
          <w:tcPr>
            <w:tcW w:w="10531" w:type="dxa"/>
            <w:tcBorders>
              <w:top w:val="nil"/>
              <w:left w:val="nil"/>
              <w:bottom w:val="nil"/>
              <w:right w:val="nil"/>
            </w:tcBorders>
            <w:shd w:val="clear" w:color="auto" w:fill="auto"/>
          </w:tcPr>
          <w:p w:rsidR="00BC4694" w:rsidRPr="000C0133" w:rsidRDefault="00BC4694" w:rsidP="00884387">
            <w:pPr>
              <w:spacing w:after="0" w:line="240" w:lineRule="auto"/>
              <w:jc w:val="both"/>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BC4694" w:rsidRPr="000C0133" w:rsidRDefault="00AD47DC" w:rsidP="00884387">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BC4694" w:rsidRPr="000C0133">
              <w:rPr>
                <w:color w:val="000000"/>
              </w:rPr>
              <w:instrText xml:space="preserve"> FORMCHECKBOX </w:instrText>
            </w:r>
            <w:r w:rsidR="00583DCE">
              <w:rPr>
                <w:color w:val="000000"/>
              </w:rPr>
            </w:r>
            <w:r w:rsidR="00583DCE">
              <w:rPr>
                <w:color w:val="000000"/>
              </w:rPr>
              <w:fldChar w:fldCharType="separate"/>
            </w:r>
            <w:r w:rsidRPr="000C0133">
              <w:rPr>
                <w:color w:val="000000"/>
              </w:rPr>
              <w:fldChar w:fldCharType="end"/>
            </w:r>
          </w:p>
        </w:tc>
      </w:tr>
      <w:tr w:rsidR="00BC4694" w:rsidRPr="000C0133" w:rsidTr="00884387">
        <w:tc>
          <w:tcPr>
            <w:tcW w:w="10531" w:type="dxa"/>
            <w:tcBorders>
              <w:top w:val="nil"/>
              <w:left w:val="nil"/>
              <w:bottom w:val="nil"/>
              <w:right w:val="nil"/>
            </w:tcBorders>
            <w:shd w:val="clear" w:color="auto" w:fill="auto"/>
          </w:tcPr>
          <w:p w:rsidR="00BC4694" w:rsidRPr="000C0133" w:rsidRDefault="00BC4694" w:rsidP="00884387">
            <w:pPr>
              <w:spacing w:after="0" w:line="240" w:lineRule="auto"/>
              <w:jc w:val="both"/>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BC4694" w:rsidRPr="000C0133" w:rsidRDefault="00BC4694" w:rsidP="00884387">
            <w:pPr>
              <w:spacing w:after="0" w:line="240" w:lineRule="auto"/>
              <w:jc w:val="both"/>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BC4694" w:rsidRPr="000C0133" w:rsidRDefault="00AD47DC" w:rsidP="00884387">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00583DCE">
              <w:rPr>
                <w:color w:val="000000"/>
              </w:rPr>
            </w:r>
            <w:r w:rsidR="00583DCE">
              <w:rPr>
                <w:color w:val="000000"/>
              </w:rPr>
              <w:fldChar w:fldCharType="separate"/>
            </w:r>
            <w:r w:rsidRPr="000C0133">
              <w:rPr>
                <w:color w:val="000000"/>
              </w:rPr>
              <w:fldChar w:fldCharType="end"/>
            </w:r>
          </w:p>
        </w:tc>
      </w:tr>
      <w:tr w:rsidR="00BC4694" w:rsidRPr="000C0133" w:rsidTr="00884387">
        <w:tc>
          <w:tcPr>
            <w:tcW w:w="10531" w:type="dxa"/>
            <w:tcBorders>
              <w:top w:val="nil"/>
              <w:left w:val="nil"/>
              <w:bottom w:val="nil"/>
              <w:right w:val="nil"/>
            </w:tcBorders>
            <w:shd w:val="clear" w:color="auto" w:fill="auto"/>
          </w:tcPr>
          <w:p w:rsidR="00BC4694" w:rsidRPr="000C0133" w:rsidRDefault="00BC4694" w:rsidP="00884387">
            <w:pPr>
              <w:spacing w:after="0" w:line="240" w:lineRule="auto"/>
              <w:jc w:val="both"/>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BC4694" w:rsidRPr="000C0133" w:rsidRDefault="00AD47DC" w:rsidP="00884387">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00583DCE">
              <w:rPr>
                <w:color w:val="000000"/>
              </w:rPr>
            </w:r>
            <w:r w:rsidR="00583DCE">
              <w:rPr>
                <w:color w:val="000000"/>
              </w:rPr>
              <w:fldChar w:fldCharType="separate"/>
            </w:r>
            <w:r w:rsidRPr="000C0133">
              <w:rPr>
                <w:color w:val="000000"/>
              </w:rPr>
              <w:fldChar w:fldCharType="end"/>
            </w:r>
          </w:p>
        </w:tc>
      </w:tr>
      <w:tr w:rsidR="00BC4694" w:rsidRPr="000C0133" w:rsidTr="00884387">
        <w:tc>
          <w:tcPr>
            <w:tcW w:w="10531" w:type="dxa"/>
            <w:tcBorders>
              <w:top w:val="nil"/>
              <w:left w:val="nil"/>
              <w:bottom w:val="nil"/>
              <w:right w:val="nil"/>
            </w:tcBorders>
            <w:shd w:val="clear" w:color="auto" w:fill="auto"/>
          </w:tcPr>
          <w:p w:rsidR="00BC4694" w:rsidRPr="000C0133" w:rsidRDefault="00BC4694" w:rsidP="00884387">
            <w:pPr>
              <w:spacing w:after="0" w:line="240" w:lineRule="auto"/>
              <w:jc w:val="both"/>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BC4694" w:rsidRPr="000C0133" w:rsidRDefault="00AD47DC" w:rsidP="00884387">
            <w:pPr>
              <w:spacing w:after="0" w:line="240" w:lineRule="auto"/>
              <w:jc w:val="both"/>
              <w:rPr>
                <w:rFonts w:ascii="Sylfaen" w:hAnsi="Sylfaen"/>
                <w:color w:val="000000"/>
              </w:rPr>
            </w:pPr>
            <w:r w:rsidRPr="000C0133">
              <w:rPr>
                <w:color w:val="000000"/>
              </w:rPr>
              <w:fldChar w:fldCharType="begin">
                <w:ffData>
                  <w:name w:val="Check1"/>
                  <w:enabled/>
                  <w:calcOnExit w:val="0"/>
                  <w:checkBox>
                    <w:sizeAuto/>
                    <w:default w:val="0"/>
                  </w:checkBox>
                </w:ffData>
              </w:fldChar>
            </w:r>
            <w:r w:rsidR="00BC4694" w:rsidRPr="000C0133">
              <w:rPr>
                <w:color w:val="000000"/>
              </w:rPr>
              <w:instrText xml:space="preserve"> FORMCHECKBOX </w:instrText>
            </w:r>
            <w:r w:rsidR="00583DCE">
              <w:rPr>
                <w:color w:val="000000"/>
              </w:rPr>
            </w:r>
            <w:r w:rsidR="00583DCE">
              <w:rPr>
                <w:color w:val="000000"/>
              </w:rPr>
              <w:fldChar w:fldCharType="separate"/>
            </w:r>
            <w:r w:rsidRPr="000C0133">
              <w:rPr>
                <w:color w:val="000000"/>
              </w:rPr>
              <w:fldChar w:fldCharType="end"/>
            </w:r>
          </w:p>
        </w:tc>
      </w:tr>
      <w:tr w:rsidR="00BC4694" w:rsidRPr="000C0133" w:rsidTr="00884387">
        <w:trPr>
          <w:trHeight w:val="80"/>
        </w:trPr>
        <w:tc>
          <w:tcPr>
            <w:tcW w:w="11016" w:type="dxa"/>
            <w:gridSpan w:val="2"/>
            <w:tcBorders>
              <w:top w:val="nil"/>
              <w:bottom w:val="nil"/>
            </w:tcBorders>
          </w:tcPr>
          <w:p w:rsidR="00BC4694" w:rsidRPr="00E77425" w:rsidRDefault="00BC4694" w:rsidP="00884387">
            <w:pPr>
              <w:spacing w:after="0" w:line="240" w:lineRule="auto"/>
              <w:jc w:val="both"/>
              <w:rPr>
                <w:rFonts w:ascii="Sylfaen" w:hAnsi="Sylfaen"/>
                <w:color w:val="000000"/>
                <w:lang w:val="ka-GE"/>
              </w:rPr>
            </w:pPr>
          </w:p>
        </w:tc>
      </w:tr>
      <w:tr w:rsidR="00BC4694" w:rsidRPr="000C0133" w:rsidTr="00884387">
        <w:trPr>
          <w:trHeight w:val="423"/>
        </w:trPr>
        <w:tc>
          <w:tcPr>
            <w:tcW w:w="11016" w:type="dxa"/>
            <w:gridSpan w:val="2"/>
            <w:tcBorders>
              <w:top w:val="nil"/>
              <w:left w:val="nil"/>
              <w:bottom w:val="nil"/>
              <w:right w:val="nil"/>
            </w:tcBorders>
            <w:shd w:val="clear" w:color="auto" w:fill="C0C0C0"/>
          </w:tcPr>
          <w:p w:rsidR="00BC4694" w:rsidRPr="000C0133" w:rsidRDefault="00BC4694" w:rsidP="00884387">
            <w:pPr>
              <w:spacing w:after="0" w:line="240" w:lineRule="auto"/>
              <w:jc w:val="both"/>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BC4694" w:rsidRPr="000C0133" w:rsidTr="00884387">
        <w:trPr>
          <w:trHeight w:val="107"/>
        </w:trPr>
        <w:tc>
          <w:tcPr>
            <w:tcW w:w="11016" w:type="dxa"/>
            <w:gridSpan w:val="2"/>
            <w:tcBorders>
              <w:top w:val="nil"/>
              <w:left w:val="nil"/>
              <w:bottom w:val="nil"/>
              <w:right w:val="nil"/>
            </w:tcBorders>
            <w:shd w:val="clear" w:color="auto" w:fill="FFFFFF"/>
          </w:tcPr>
          <w:p w:rsidR="00BC4694" w:rsidRPr="00E77425" w:rsidRDefault="00BC4694" w:rsidP="00884387">
            <w:pPr>
              <w:spacing w:after="0" w:line="240" w:lineRule="auto"/>
              <w:jc w:val="both"/>
              <w:rPr>
                <w:rFonts w:ascii="Sylfaen" w:hAnsi="Sylfaen"/>
                <w:color w:val="000000"/>
                <w:sz w:val="12"/>
                <w:szCs w:val="12"/>
                <w:lang w:val="ka-GE"/>
              </w:rPr>
            </w:pPr>
          </w:p>
        </w:tc>
      </w:tr>
      <w:tr w:rsidR="00BC4694" w:rsidRPr="000C0133" w:rsidTr="00884387">
        <w:trPr>
          <w:trHeight w:val="423"/>
        </w:trPr>
        <w:tc>
          <w:tcPr>
            <w:tcW w:w="11016" w:type="dxa"/>
            <w:gridSpan w:val="2"/>
            <w:tcBorders>
              <w:top w:val="nil"/>
              <w:left w:val="nil"/>
              <w:bottom w:val="single" w:sz="4" w:space="0" w:color="auto"/>
              <w:right w:val="nil"/>
            </w:tcBorders>
          </w:tcPr>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1.</w:t>
            </w:r>
            <w:r w:rsidR="00AD47DC">
              <w:rPr>
                <w:rFonts w:ascii="Sylfaen" w:hAnsi="Sylfaen"/>
                <w:color w:val="000000"/>
                <w:lang w:val="ka-GE"/>
              </w:rPr>
              <w:fldChar w:fldCharType="begin">
                <w:ffData>
                  <w:name w:val="Text35"/>
                  <w:enabled/>
                  <w:calcOnExit w:val="0"/>
                  <w:textInput/>
                </w:ffData>
              </w:fldChar>
            </w:r>
            <w:bookmarkStart w:id="8" w:name="Text35"/>
            <w:r>
              <w:rPr>
                <w:rFonts w:ascii="Sylfaen" w:hAnsi="Sylfaen"/>
                <w:color w:val="000000"/>
                <w:lang w:val="ka-GE"/>
              </w:rPr>
              <w:instrText xml:space="preserve"> FORMTEXT </w:instrText>
            </w:r>
            <w:r w:rsidR="00AD47DC">
              <w:rPr>
                <w:rFonts w:ascii="Sylfaen" w:hAnsi="Sylfaen"/>
                <w:color w:val="000000"/>
                <w:lang w:val="ka-GE"/>
              </w:rPr>
            </w:r>
            <w:r w:rsidR="00AD47DC">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sidR="00AD47DC">
              <w:rPr>
                <w:rFonts w:ascii="Sylfaen" w:hAnsi="Sylfaen"/>
                <w:color w:val="000000"/>
                <w:lang w:val="ka-GE"/>
              </w:rPr>
              <w:fldChar w:fldCharType="end"/>
            </w:r>
            <w:bookmarkEnd w:id="8"/>
          </w:p>
          <w:p w:rsidR="00BC4694" w:rsidRPr="000C0133" w:rsidRDefault="00BC4694" w:rsidP="00884387">
            <w:pPr>
              <w:spacing w:after="0" w:line="240" w:lineRule="auto"/>
              <w:jc w:val="both"/>
              <w:rPr>
                <w:rFonts w:ascii="Sylfaen" w:hAnsi="Sylfaen"/>
                <w:color w:val="000000"/>
                <w:lang w:val="ka-GE"/>
              </w:rPr>
            </w:pPr>
            <w:r w:rsidRPr="000C0133">
              <w:rPr>
                <w:rFonts w:ascii="Sylfaen" w:hAnsi="Sylfaen"/>
                <w:color w:val="000000"/>
                <w:lang w:val="ka-GE"/>
              </w:rPr>
              <w:t>2.</w:t>
            </w:r>
            <w:r w:rsidR="00AD47DC">
              <w:rPr>
                <w:rFonts w:ascii="Sylfaen" w:hAnsi="Sylfaen"/>
                <w:color w:val="000000"/>
                <w:lang w:val="ka-GE"/>
              </w:rPr>
              <w:fldChar w:fldCharType="begin">
                <w:ffData>
                  <w:name w:val="Text36"/>
                  <w:enabled/>
                  <w:calcOnExit w:val="0"/>
                  <w:textInput/>
                </w:ffData>
              </w:fldChar>
            </w:r>
            <w:bookmarkStart w:id="9" w:name="Text36"/>
            <w:r>
              <w:rPr>
                <w:rFonts w:ascii="Sylfaen" w:hAnsi="Sylfaen"/>
                <w:color w:val="000000"/>
                <w:lang w:val="ka-GE"/>
              </w:rPr>
              <w:instrText xml:space="preserve"> FORMTEXT </w:instrText>
            </w:r>
            <w:r w:rsidR="00AD47DC">
              <w:rPr>
                <w:rFonts w:ascii="Sylfaen" w:hAnsi="Sylfaen"/>
                <w:color w:val="000000"/>
                <w:lang w:val="ka-GE"/>
              </w:rPr>
            </w:r>
            <w:r w:rsidR="00AD47DC">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sidR="00AD47DC">
              <w:rPr>
                <w:rFonts w:ascii="Sylfaen" w:hAnsi="Sylfaen"/>
                <w:color w:val="000000"/>
                <w:lang w:val="ka-GE"/>
              </w:rPr>
              <w:fldChar w:fldCharType="end"/>
            </w:r>
            <w:bookmarkEnd w:id="9"/>
          </w:p>
        </w:tc>
      </w:tr>
    </w:tbl>
    <w:p w:rsidR="00BC4694" w:rsidRDefault="00BC4694" w:rsidP="00884387">
      <w:pPr>
        <w:jc w:val="both"/>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BC4694" w:rsidRPr="000C0133" w:rsidTr="00884387">
        <w:trPr>
          <w:trHeight w:val="423"/>
        </w:trPr>
        <w:tc>
          <w:tcPr>
            <w:tcW w:w="11016" w:type="dxa"/>
            <w:gridSpan w:val="2"/>
            <w:tcBorders>
              <w:top w:val="nil"/>
              <w:left w:val="nil"/>
              <w:bottom w:val="nil"/>
              <w:right w:val="nil"/>
            </w:tcBorders>
            <w:shd w:val="clear" w:color="auto" w:fill="C0C0C0"/>
          </w:tcPr>
          <w:p w:rsidR="00BC4694" w:rsidRPr="000C0133" w:rsidRDefault="00BC4694" w:rsidP="00884387">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BC4694" w:rsidRPr="000C0133" w:rsidTr="00884387">
        <w:trPr>
          <w:trHeight w:val="423"/>
        </w:trPr>
        <w:tc>
          <w:tcPr>
            <w:tcW w:w="5868" w:type="dxa"/>
            <w:tcBorders>
              <w:top w:val="nil"/>
              <w:bottom w:val="single" w:sz="4" w:space="0" w:color="auto"/>
              <w:right w:val="single" w:sz="4" w:space="0" w:color="auto"/>
            </w:tcBorders>
          </w:tcPr>
          <w:p w:rsidR="00BC4694" w:rsidRPr="000C0133" w:rsidRDefault="00BC4694" w:rsidP="00884387">
            <w:pPr>
              <w:spacing w:after="0" w:line="240" w:lineRule="auto"/>
              <w:jc w:val="both"/>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BC4694" w:rsidRPr="00002883" w:rsidRDefault="00BC4694" w:rsidP="00884387">
            <w:pPr>
              <w:spacing w:after="0" w:line="240" w:lineRule="auto"/>
              <w:jc w:val="both"/>
              <w:rPr>
                <w:color w:val="000000"/>
              </w:rPr>
            </w:pPr>
            <w:r w:rsidRPr="000C0133">
              <w:rPr>
                <w:rFonts w:ascii="Sylfaen" w:hAnsi="Sylfaen"/>
                <w:color w:val="000000"/>
                <w:lang w:val="ka-GE"/>
              </w:rPr>
              <w:t>თარიღი:</w:t>
            </w:r>
            <w:r>
              <w:rPr>
                <w:rFonts w:ascii="Sylfaen" w:hAnsi="Sylfaen"/>
                <w:color w:val="000000"/>
                <w:lang w:val="ka-GE"/>
              </w:rPr>
              <w:t xml:space="preserve"> </w:t>
            </w:r>
            <w:r w:rsidR="00002883">
              <w:rPr>
                <w:rFonts w:ascii="Sylfaen" w:hAnsi="Sylfaen"/>
                <w:color w:val="000000"/>
              </w:rPr>
              <w:t>05.12.2017</w:t>
            </w:r>
          </w:p>
        </w:tc>
      </w:tr>
    </w:tbl>
    <w:p w:rsidR="00BC4694" w:rsidRPr="007B5F62" w:rsidRDefault="00BC4694" w:rsidP="00884387">
      <w:pPr>
        <w:jc w:val="both"/>
        <w:rPr>
          <w:rFonts w:ascii="Sylfaen" w:hAnsi="Sylfaen"/>
        </w:rPr>
      </w:pPr>
    </w:p>
    <w:p w:rsidR="00123344" w:rsidRDefault="00123344" w:rsidP="00884387">
      <w:pPr>
        <w:jc w:val="both"/>
      </w:pPr>
    </w:p>
    <w:sectPr w:rsidR="00123344" w:rsidSect="00884387">
      <w:footerReference w:type="default" r:id="rId12"/>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CE" w:rsidRDefault="00583DCE" w:rsidP="00BC4694">
      <w:pPr>
        <w:spacing w:after="0" w:line="240" w:lineRule="auto"/>
      </w:pPr>
      <w:r>
        <w:separator/>
      </w:r>
    </w:p>
  </w:endnote>
  <w:endnote w:type="continuationSeparator" w:id="0">
    <w:p w:rsidR="00583DCE" w:rsidRDefault="00583DCE" w:rsidP="00BC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yriad Pro Light">
    <w:altName w:val="Myriad Pro Light"/>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87" w:rsidRDefault="00AD47DC">
    <w:pPr>
      <w:pStyle w:val="af4"/>
      <w:jc w:val="right"/>
    </w:pPr>
    <w:r>
      <w:fldChar w:fldCharType="begin"/>
    </w:r>
    <w:r w:rsidR="00884387">
      <w:instrText xml:space="preserve"> PAGE   \* MERGEFORMAT </w:instrText>
    </w:r>
    <w:r>
      <w:fldChar w:fldCharType="separate"/>
    </w:r>
    <w:r w:rsidR="005D1233">
      <w:rPr>
        <w:noProof/>
      </w:rPr>
      <w:t>3</w:t>
    </w:r>
    <w:r>
      <w:fldChar w:fldCharType="end"/>
    </w:r>
  </w:p>
  <w:p w:rsidR="00884387" w:rsidRDefault="0088438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CE" w:rsidRDefault="00583DCE" w:rsidP="00BC4694">
      <w:pPr>
        <w:spacing w:after="0" w:line="240" w:lineRule="auto"/>
      </w:pPr>
      <w:r>
        <w:separator/>
      </w:r>
    </w:p>
  </w:footnote>
  <w:footnote w:type="continuationSeparator" w:id="0">
    <w:p w:rsidR="00583DCE" w:rsidRDefault="00583DCE" w:rsidP="00BC4694">
      <w:pPr>
        <w:spacing w:after="0" w:line="240" w:lineRule="auto"/>
      </w:pPr>
      <w:r>
        <w:continuationSeparator/>
      </w:r>
    </w:p>
  </w:footnote>
  <w:footnote w:id="1">
    <w:p w:rsidR="00884387" w:rsidRPr="00D87B37" w:rsidRDefault="00884387" w:rsidP="00BC4694">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884387" w:rsidRPr="00D87B37" w:rsidRDefault="00884387" w:rsidP="00BC4694">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884387" w:rsidRPr="007F70A8" w:rsidRDefault="00884387" w:rsidP="00BC4694">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884387" w:rsidRPr="003874A1" w:rsidRDefault="00884387" w:rsidP="00BC4694">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884387" w:rsidRPr="007A5C80" w:rsidRDefault="00884387" w:rsidP="00BC4694">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884387" w:rsidRPr="004B357C" w:rsidRDefault="00884387" w:rsidP="00E47F35">
      <w:pPr>
        <w:pStyle w:val="ae"/>
        <w:jc w:val="both"/>
        <w:rPr>
          <w:rFonts w:ascii="Sylfaen" w:hAnsi="Sylfaen"/>
          <w:lang w:val="ka-GE"/>
        </w:rPr>
      </w:pPr>
      <w:r w:rsidRPr="004B357C">
        <w:rPr>
          <w:rStyle w:val="af0"/>
          <w:rFonts w:ascii="Sylfaen" w:hAnsi="Sylfaen"/>
        </w:rPr>
        <w:footnoteRef/>
      </w:r>
      <w:r w:rsidRPr="004B357C">
        <w:rPr>
          <w:rFonts w:ascii="Sylfaen" w:hAnsi="Sylfaen" w:cs="Sylfaen"/>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w:t>
      </w:r>
      <w:r w:rsidRPr="004B357C">
        <w:rPr>
          <w:rFonts w:ascii="Sylfaen" w:hAnsi="Sylfaen" w:cs="Sylfaen"/>
        </w:rPr>
        <w:t>II.</w:t>
      </w:r>
      <w:r w:rsidRPr="004B357C">
        <w:rPr>
          <w:rFonts w:ascii="Sylfaen" w:hAnsi="Sylfaen" w:cs="Sylfaen"/>
          <w:lang w:val="ka-GE"/>
        </w:rPr>
        <w:t>პ.1</w:t>
      </w:r>
    </w:p>
  </w:footnote>
  <w:footnote w:id="7">
    <w:p w:rsidR="00884387" w:rsidRPr="004B357C" w:rsidRDefault="00884387" w:rsidP="00E47F35">
      <w:pPr>
        <w:pStyle w:val="ae"/>
        <w:rPr>
          <w:rFonts w:ascii="Sylfaen" w:hAnsi="Sylfaen"/>
          <w:lang w:val="ka-GE"/>
        </w:rPr>
      </w:pPr>
      <w:r w:rsidRPr="004B357C">
        <w:rPr>
          <w:rStyle w:val="af0"/>
          <w:rFonts w:ascii="Sylfaen" w:hAnsi="Sylfaen"/>
        </w:rPr>
        <w:footnoteRef/>
      </w:r>
      <w:r w:rsidRPr="004B357C">
        <w:rPr>
          <w:rFonts w:ascii="Sylfaen" w:hAnsi="Sylfaen"/>
          <w:lang w:val="ka-GE"/>
        </w:rPr>
        <w:t>იქვე</w:t>
      </w:r>
    </w:p>
  </w:footnote>
  <w:footnote w:id="8">
    <w:p w:rsidR="00884387" w:rsidRPr="004B357C" w:rsidRDefault="00884387" w:rsidP="00E47F35">
      <w:pPr>
        <w:pStyle w:val="ae"/>
        <w:rPr>
          <w:rFonts w:ascii="Sylfaen" w:hAnsi="Sylfaen"/>
          <w:lang w:val="ka-GE"/>
        </w:rPr>
      </w:pPr>
      <w:r w:rsidRPr="004B357C">
        <w:rPr>
          <w:rStyle w:val="af0"/>
          <w:rFonts w:ascii="Sylfaen" w:hAnsi="Sylfaen"/>
        </w:rPr>
        <w:footnoteRef/>
      </w:r>
      <w:r w:rsidRPr="004B357C">
        <w:rPr>
          <w:rFonts w:ascii="Sylfaen" w:hAnsi="Sylfaen" w:cs="Sylfaen"/>
          <w:lang w:val="ka-GE"/>
        </w:rPr>
        <w:t>იქვე, II.პ.2</w:t>
      </w:r>
    </w:p>
  </w:footnote>
  <w:footnote w:id="9">
    <w:p w:rsidR="00884387" w:rsidRPr="004B357C" w:rsidRDefault="00884387" w:rsidP="00E47F35">
      <w:pPr>
        <w:pStyle w:val="ae"/>
        <w:jc w:val="both"/>
        <w:rPr>
          <w:rFonts w:ascii="Sylfaen" w:hAnsi="Sylfaen"/>
          <w:lang w:val="ka-GE"/>
        </w:rPr>
      </w:pPr>
      <w:r w:rsidRPr="004B357C">
        <w:rPr>
          <w:rStyle w:val="af0"/>
          <w:rFonts w:ascii="Sylfaen" w:hAnsi="Sylfaen"/>
        </w:rPr>
        <w:footnoteRef/>
      </w:r>
      <w:r w:rsidRPr="004B357C">
        <w:rPr>
          <w:rFonts w:ascii="Sylfaen" w:hAnsi="Sylfaen"/>
          <w:lang w:val="ka-GE"/>
        </w:rPr>
        <w:t>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ვალერიან გელბახიანი, მამუკა ნიკოლაიშვილი და ალექსანდრე სილაგაძე საქართველოს პარლამენტის წინააღმდეგ“ II. პ.13 [გელბახიანის საქმე]</w:t>
      </w:r>
    </w:p>
  </w:footnote>
  <w:footnote w:id="10">
    <w:p w:rsidR="009120B4" w:rsidRPr="004B357C" w:rsidRDefault="009120B4" w:rsidP="009120B4">
      <w:pPr>
        <w:jc w:val="both"/>
        <w:rPr>
          <w:rFonts w:ascii="Sylfaen" w:eastAsia="Merriweather" w:hAnsi="Sylfaen" w:cs="Merriweather"/>
          <w:sz w:val="20"/>
          <w:szCs w:val="20"/>
          <w:lang w:val="ka-GE"/>
        </w:rPr>
      </w:pPr>
      <w:r w:rsidRPr="004B357C">
        <w:rPr>
          <w:rStyle w:val="af0"/>
          <w:rFonts w:ascii="Sylfaen" w:hAnsi="Sylfaen"/>
          <w:sz w:val="20"/>
          <w:szCs w:val="20"/>
        </w:rPr>
        <w:footnoteRef/>
      </w:r>
      <w:r w:rsidRPr="004B357C">
        <w:rPr>
          <w:rFonts w:ascii="Sylfaen" w:eastAsia="Merriweather" w:hAnsi="Sylfaen" w:cs="Merriweather"/>
          <w:sz w:val="20"/>
          <w:szCs w:val="20"/>
          <w:lang w:val="ka-GE"/>
        </w:rPr>
        <w:t xml:space="preserve">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w:t>
      </w:r>
      <w:r w:rsidRPr="004B357C">
        <w:rPr>
          <w:rFonts w:ascii="Sylfaen" w:eastAsia="Merriweather" w:hAnsi="Sylfaen" w:cs="Merriweather"/>
          <w:sz w:val="20"/>
          <w:szCs w:val="20"/>
          <w:lang w:val="de-DE"/>
        </w:rPr>
        <w:t>II</w:t>
      </w:r>
      <w:r w:rsidRPr="004B357C">
        <w:rPr>
          <w:rFonts w:ascii="Sylfaen" w:eastAsia="Merriweather" w:hAnsi="Sylfaen" w:cs="Merriweather"/>
          <w:sz w:val="20"/>
          <w:szCs w:val="20"/>
          <w:lang w:val="ka-GE"/>
        </w:rPr>
        <w:t xml:space="preserve">.პ.6; </w:t>
      </w:r>
    </w:p>
  </w:footnote>
  <w:footnote w:id="11">
    <w:p w:rsidR="00884387" w:rsidRPr="00E77425" w:rsidRDefault="00884387" w:rsidP="00BC4694">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12">
    <w:p w:rsidR="00884387" w:rsidRPr="00E77425" w:rsidRDefault="00884387" w:rsidP="00BC4694">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13">
    <w:p w:rsidR="00884387" w:rsidRPr="00AE4D95" w:rsidRDefault="00884387" w:rsidP="00BC4694">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4">
    <w:p w:rsidR="00884387" w:rsidRPr="00D87B37" w:rsidRDefault="00884387" w:rsidP="00BC4694">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F14ED"/>
    <w:multiLevelType w:val="hybridMultilevel"/>
    <w:tmpl w:val="65165E50"/>
    <w:lvl w:ilvl="0" w:tplc="11E27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727F1"/>
    <w:multiLevelType w:val="hybridMultilevel"/>
    <w:tmpl w:val="A49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94CD6"/>
    <w:multiLevelType w:val="hybridMultilevel"/>
    <w:tmpl w:val="112E6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FC505A"/>
    <w:multiLevelType w:val="hybridMultilevel"/>
    <w:tmpl w:val="4FD8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C05C6B"/>
    <w:multiLevelType w:val="hybridMultilevel"/>
    <w:tmpl w:val="36885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44ED0"/>
    <w:multiLevelType w:val="hybridMultilevel"/>
    <w:tmpl w:val="057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C270C"/>
    <w:multiLevelType w:val="hybridMultilevel"/>
    <w:tmpl w:val="3E70CB56"/>
    <w:lvl w:ilvl="0" w:tplc="79485F4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276759"/>
    <w:multiLevelType w:val="hybridMultilevel"/>
    <w:tmpl w:val="DA00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B5121"/>
    <w:multiLevelType w:val="hybridMultilevel"/>
    <w:tmpl w:val="875EB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CF1CCA"/>
    <w:multiLevelType w:val="hybridMultilevel"/>
    <w:tmpl w:val="AA6EB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5"/>
  </w:num>
  <w:num w:numId="5">
    <w:abstractNumId w:val="9"/>
  </w:num>
  <w:num w:numId="6">
    <w:abstractNumId w:val="3"/>
  </w:num>
  <w:num w:numId="7">
    <w:abstractNumId w:val="2"/>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4694"/>
    <w:rsid w:val="00002883"/>
    <w:rsid w:val="00004246"/>
    <w:rsid w:val="00021D86"/>
    <w:rsid w:val="00030210"/>
    <w:rsid w:val="0008547E"/>
    <w:rsid w:val="000D5365"/>
    <w:rsid w:val="00114B56"/>
    <w:rsid w:val="00123344"/>
    <w:rsid w:val="00141D52"/>
    <w:rsid w:val="001805A6"/>
    <w:rsid w:val="00194738"/>
    <w:rsid w:val="001E724A"/>
    <w:rsid w:val="002017A3"/>
    <w:rsid w:val="0020670F"/>
    <w:rsid w:val="00250B79"/>
    <w:rsid w:val="002938AB"/>
    <w:rsid w:val="002A182F"/>
    <w:rsid w:val="002D1CC3"/>
    <w:rsid w:val="002E7D37"/>
    <w:rsid w:val="002F4DBB"/>
    <w:rsid w:val="003C6353"/>
    <w:rsid w:val="0042610B"/>
    <w:rsid w:val="00436031"/>
    <w:rsid w:val="00451658"/>
    <w:rsid w:val="004D7974"/>
    <w:rsid w:val="005037A1"/>
    <w:rsid w:val="00507E45"/>
    <w:rsid w:val="005126B2"/>
    <w:rsid w:val="005371AA"/>
    <w:rsid w:val="0054100E"/>
    <w:rsid w:val="00546DDE"/>
    <w:rsid w:val="00550258"/>
    <w:rsid w:val="00583DCE"/>
    <w:rsid w:val="00590906"/>
    <w:rsid w:val="005C0F59"/>
    <w:rsid w:val="005D1233"/>
    <w:rsid w:val="005E63C1"/>
    <w:rsid w:val="00637656"/>
    <w:rsid w:val="00655A9D"/>
    <w:rsid w:val="00660C84"/>
    <w:rsid w:val="00702D1E"/>
    <w:rsid w:val="007121E3"/>
    <w:rsid w:val="00794CEB"/>
    <w:rsid w:val="007C2195"/>
    <w:rsid w:val="007D66DB"/>
    <w:rsid w:val="00884387"/>
    <w:rsid w:val="00890C4E"/>
    <w:rsid w:val="008C5C21"/>
    <w:rsid w:val="008E669E"/>
    <w:rsid w:val="009120B4"/>
    <w:rsid w:val="00923F21"/>
    <w:rsid w:val="009634E3"/>
    <w:rsid w:val="009F1D77"/>
    <w:rsid w:val="00A00C15"/>
    <w:rsid w:val="00A0692E"/>
    <w:rsid w:val="00A3659B"/>
    <w:rsid w:val="00A45649"/>
    <w:rsid w:val="00A82341"/>
    <w:rsid w:val="00A87DDB"/>
    <w:rsid w:val="00A97A04"/>
    <w:rsid w:val="00AA0FAB"/>
    <w:rsid w:val="00AB1A99"/>
    <w:rsid w:val="00AD47DC"/>
    <w:rsid w:val="00AD57B1"/>
    <w:rsid w:val="00AE7412"/>
    <w:rsid w:val="00B16093"/>
    <w:rsid w:val="00B25A3E"/>
    <w:rsid w:val="00B40076"/>
    <w:rsid w:val="00B43DBF"/>
    <w:rsid w:val="00B64F43"/>
    <w:rsid w:val="00BA4B7D"/>
    <w:rsid w:val="00BC2CE4"/>
    <w:rsid w:val="00BC4694"/>
    <w:rsid w:val="00C21FFF"/>
    <w:rsid w:val="00C254DA"/>
    <w:rsid w:val="00C57125"/>
    <w:rsid w:val="00C71D67"/>
    <w:rsid w:val="00C846EE"/>
    <w:rsid w:val="00C971EF"/>
    <w:rsid w:val="00CC4F66"/>
    <w:rsid w:val="00D31681"/>
    <w:rsid w:val="00D96C9B"/>
    <w:rsid w:val="00DF6B80"/>
    <w:rsid w:val="00DF7DE5"/>
    <w:rsid w:val="00E47F35"/>
    <w:rsid w:val="00E758C7"/>
    <w:rsid w:val="00E8727E"/>
    <w:rsid w:val="00EA519B"/>
    <w:rsid w:val="00EC78D5"/>
    <w:rsid w:val="00EF6060"/>
    <w:rsid w:val="00F0177A"/>
    <w:rsid w:val="00F01885"/>
    <w:rsid w:val="00F2717C"/>
    <w:rsid w:val="00F3176F"/>
    <w:rsid w:val="00F428C0"/>
    <w:rsid w:val="00F6606A"/>
    <w:rsid w:val="00F85E82"/>
    <w:rsid w:val="00FA035D"/>
    <w:rsid w:val="00FD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4F062-A3A5-4A12-91D1-974F7720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94"/>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6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C4694"/>
    <w:pPr>
      <w:spacing w:after="0" w:line="240" w:lineRule="auto"/>
    </w:pPr>
    <w:rPr>
      <w:rFonts w:ascii="Calibri" w:eastAsia="Calibri" w:hAnsi="Calibri" w:cs="Times New Roman"/>
      <w:lang w:val="en-US"/>
    </w:rPr>
  </w:style>
  <w:style w:type="paragraph" w:styleId="a5">
    <w:name w:val="Balloon Text"/>
    <w:basedOn w:val="a"/>
    <w:link w:val="a6"/>
    <w:uiPriority w:val="99"/>
    <w:semiHidden/>
    <w:unhideWhenUsed/>
    <w:rsid w:val="00BC4694"/>
    <w:pPr>
      <w:spacing w:after="0" w:line="240" w:lineRule="auto"/>
    </w:pPr>
    <w:rPr>
      <w:rFonts w:ascii="Tahoma" w:hAnsi="Tahoma"/>
      <w:sz w:val="16"/>
      <w:szCs w:val="16"/>
    </w:rPr>
  </w:style>
  <w:style w:type="character" w:customStyle="1" w:styleId="a6">
    <w:name w:val="Текст выноски Знак"/>
    <w:basedOn w:val="a0"/>
    <w:link w:val="a5"/>
    <w:uiPriority w:val="99"/>
    <w:semiHidden/>
    <w:rsid w:val="00BC4694"/>
    <w:rPr>
      <w:rFonts w:ascii="Tahoma" w:eastAsia="Calibri" w:hAnsi="Tahoma" w:cs="Times New Roman"/>
      <w:sz w:val="16"/>
      <w:szCs w:val="16"/>
    </w:rPr>
  </w:style>
  <w:style w:type="character" w:styleId="a7">
    <w:name w:val="Hyperlink"/>
    <w:uiPriority w:val="99"/>
    <w:unhideWhenUsed/>
    <w:rsid w:val="00BC4694"/>
    <w:rPr>
      <w:color w:val="0000FF"/>
      <w:u w:val="single"/>
    </w:rPr>
  </w:style>
  <w:style w:type="character" w:styleId="a8">
    <w:name w:val="annotation reference"/>
    <w:uiPriority w:val="99"/>
    <w:semiHidden/>
    <w:rsid w:val="00BC4694"/>
    <w:rPr>
      <w:sz w:val="16"/>
      <w:szCs w:val="16"/>
    </w:rPr>
  </w:style>
  <w:style w:type="paragraph" w:styleId="a9">
    <w:name w:val="annotation text"/>
    <w:basedOn w:val="a"/>
    <w:link w:val="aa"/>
    <w:uiPriority w:val="99"/>
    <w:semiHidden/>
    <w:rsid w:val="00BC4694"/>
    <w:rPr>
      <w:rFonts w:eastAsia="Times New Roman"/>
      <w:sz w:val="20"/>
      <w:szCs w:val="20"/>
    </w:rPr>
  </w:style>
  <w:style w:type="character" w:customStyle="1" w:styleId="aa">
    <w:name w:val="Текст примечания Знак"/>
    <w:basedOn w:val="a0"/>
    <w:link w:val="a9"/>
    <w:uiPriority w:val="99"/>
    <w:semiHidden/>
    <w:rsid w:val="00BC4694"/>
    <w:rPr>
      <w:rFonts w:ascii="Calibri" w:eastAsia="Times New Roman" w:hAnsi="Calibri" w:cs="Times New Roman"/>
      <w:sz w:val="20"/>
      <w:szCs w:val="20"/>
    </w:rPr>
  </w:style>
  <w:style w:type="table" w:styleId="-5">
    <w:name w:val="Light Shading Accent 5"/>
    <w:basedOn w:val="a1"/>
    <w:uiPriority w:val="60"/>
    <w:rsid w:val="00BC4694"/>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BC46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BC469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BC469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BC4694"/>
    <w:pPr>
      <w:spacing w:after="0" w:line="240" w:lineRule="auto"/>
    </w:pPr>
    <w:rPr>
      <w:sz w:val="20"/>
      <w:szCs w:val="20"/>
    </w:rPr>
  </w:style>
  <w:style w:type="character" w:customStyle="1" w:styleId="ac">
    <w:name w:val="Текст концевой сноски Знак"/>
    <w:basedOn w:val="a0"/>
    <w:link w:val="ab"/>
    <w:uiPriority w:val="99"/>
    <w:semiHidden/>
    <w:rsid w:val="00BC4694"/>
    <w:rPr>
      <w:rFonts w:ascii="Calibri" w:eastAsia="Calibri" w:hAnsi="Calibri" w:cs="Times New Roman"/>
      <w:sz w:val="20"/>
      <w:szCs w:val="20"/>
    </w:rPr>
  </w:style>
  <w:style w:type="character" w:styleId="ad">
    <w:name w:val="endnote reference"/>
    <w:uiPriority w:val="99"/>
    <w:semiHidden/>
    <w:unhideWhenUsed/>
    <w:rsid w:val="00BC4694"/>
    <w:rPr>
      <w:vertAlign w:val="superscript"/>
    </w:rPr>
  </w:style>
  <w:style w:type="paragraph" w:styleId="ae">
    <w:name w:val="footnote text"/>
    <w:basedOn w:val="a"/>
    <w:link w:val="af"/>
    <w:uiPriority w:val="99"/>
    <w:unhideWhenUsed/>
    <w:rsid w:val="00BC4694"/>
    <w:pPr>
      <w:spacing w:after="0" w:line="240" w:lineRule="auto"/>
    </w:pPr>
    <w:rPr>
      <w:sz w:val="20"/>
      <w:szCs w:val="20"/>
    </w:rPr>
  </w:style>
  <w:style w:type="character" w:customStyle="1" w:styleId="af">
    <w:name w:val="Текст сноски Знак"/>
    <w:basedOn w:val="a0"/>
    <w:link w:val="ae"/>
    <w:uiPriority w:val="99"/>
    <w:rsid w:val="00BC4694"/>
    <w:rPr>
      <w:rFonts w:ascii="Calibri" w:eastAsia="Calibri" w:hAnsi="Calibri" w:cs="Times New Roman"/>
      <w:sz w:val="20"/>
      <w:szCs w:val="20"/>
    </w:rPr>
  </w:style>
  <w:style w:type="character" w:styleId="af0">
    <w:name w:val="footnote reference"/>
    <w:uiPriority w:val="99"/>
    <w:semiHidden/>
    <w:unhideWhenUsed/>
    <w:rsid w:val="00BC4694"/>
    <w:rPr>
      <w:vertAlign w:val="superscript"/>
    </w:rPr>
  </w:style>
  <w:style w:type="paragraph" w:styleId="af1">
    <w:name w:val="List Paragraph"/>
    <w:basedOn w:val="a"/>
    <w:uiPriority w:val="34"/>
    <w:qFormat/>
    <w:rsid w:val="00BC4694"/>
    <w:pPr>
      <w:ind w:left="720"/>
      <w:contextualSpacing/>
    </w:pPr>
    <w:rPr>
      <w:rFonts w:eastAsia="Times New Roman"/>
    </w:rPr>
  </w:style>
  <w:style w:type="paragraph" w:styleId="af2">
    <w:name w:val="header"/>
    <w:basedOn w:val="a"/>
    <w:link w:val="af3"/>
    <w:uiPriority w:val="99"/>
    <w:semiHidden/>
    <w:unhideWhenUsed/>
    <w:rsid w:val="00BC4694"/>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BC4694"/>
    <w:rPr>
      <w:rFonts w:ascii="Calibri" w:eastAsia="Calibri" w:hAnsi="Calibri" w:cs="Times New Roman"/>
      <w:lang w:val="en-US"/>
    </w:rPr>
  </w:style>
  <w:style w:type="paragraph" w:styleId="af4">
    <w:name w:val="footer"/>
    <w:basedOn w:val="a"/>
    <w:link w:val="af5"/>
    <w:uiPriority w:val="99"/>
    <w:unhideWhenUsed/>
    <w:rsid w:val="00BC4694"/>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BC4694"/>
    <w:rPr>
      <w:rFonts w:ascii="Calibri" w:eastAsia="Calibri" w:hAnsi="Calibri" w:cs="Times New Roman"/>
      <w:lang w:val="en-US"/>
    </w:rPr>
  </w:style>
  <w:style w:type="character" w:styleId="af6">
    <w:name w:val="Placeholder Text"/>
    <w:uiPriority w:val="99"/>
    <w:semiHidden/>
    <w:rsid w:val="00BC4694"/>
    <w:rPr>
      <w:color w:val="808080"/>
    </w:rPr>
  </w:style>
  <w:style w:type="paragraph" w:styleId="af7">
    <w:name w:val="annotation subject"/>
    <w:basedOn w:val="a9"/>
    <w:next w:val="a9"/>
    <w:link w:val="af8"/>
    <w:uiPriority w:val="99"/>
    <w:semiHidden/>
    <w:rsid w:val="00BC4694"/>
    <w:rPr>
      <w:rFonts w:eastAsia="Calibri"/>
      <w:b/>
      <w:bCs/>
    </w:rPr>
  </w:style>
  <w:style w:type="character" w:customStyle="1" w:styleId="af8">
    <w:name w:val="Тема примечания Знак"/>
    <w:basedOn w:val="aa"/>
    <w:link w:val="af7"/>
    <w:uiPriority w:val="99"/>
    <w:semiHidden/>
    <w:rsid w:val="00BC4694"/>
    <w:rPr>
      <w:rFonts w:ascii="Calibri" w:eastAsia="Calibri" w:hAnsi="Calibri" w:cs="Times New Roman"/>
      <w:b/>
      <w:bCs/>
      <w:sz w:val="20"/>
      <w:szCs w:val="20"/>
    </w:rPr>
  </w:style>
  <w:style w:type="character" w:customStyle="1" w:styleId="A70">
    <w:name w:val="A7"/>
    <w:uiPriority w:val="99"/>
    <w:rsid w:val="00BC4694"/>
    <w:rPr>
      <w:rFonts w:cs="Myriad Pro Light"/>
      <w:color w:val="000000"/>
      <w:sz w:val="22"/>
      <w:szCs w:val="22"/>
    </w:rPr>
  </w:style>
  <w:style w:type="character" w:customStyle="1" w:styleId="apple-converted-space">
    <w:name w:val="apple-converted-space"/>
    <w:basedOn w:val="a0"/>
    <w:rsid w:val="00BC4694"/>
  </w:style>
  <w:style w:type="paragraph" w:customStyle="1" w:styleId="abzacixml">
    <w:name w:val="abzacixml"/>
    <w:basedOn w:val="a"/>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uxlixml">
    <w:name w:val="muxlixml"/>
    <w:basedOn w:val="a"/>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ataurixml">
    <w:name w:val="sataurixml"/>
    <w:basedOn w:val="a"/>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avixml">
    <w:name w:val="tavixml"/>
    <w:basedOn w:val="a"/>
    <w:rsid w:val="00BC469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BC4694"/>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25834">
      <w:bodyDiv w:val="1"/>
      <w:marLeft w:val="0"/>
      <w:marRight w:val="0"/>
      <w:marTop w:val="0"/>
      <w:marBottom w:val="0"/>
      <w:divBdr>
        <w:top w:val="none" w:sz="0" w:space="0" w:color="auto"/>
        <w:left w:val="none" w:sz="0" w:space="0" w:color="auto"/>
        <w:bottom w:val="none" w:sz="0" w:space="0" w:color="auto"/>
        <w:right w:val="none" w:sz="0" w:space="0" w:color="auto"/>
      </w:divBdr>
    </w:div>
    <w:div w:id="458308377">
      <w:bodyDiv w:val="1"/>
      <w:marLeft w:val="0"/>
      <w:marRight w:val="0"/>
      <w:marTop w:val="0"/>
      <w:marBottom w:val="0"/>
      <w:divBdr>
        <w:top w:val="none" w:sz="0" w:space="0" w:color="auto"/>
        <w:left w:val="none" w:sz="0" w:space="0" w:color="auto"/>
        <w:bottom w:val="none" w:sz="0" w:space="0" w:color="auto"/>
        <w:right w:val="none" w:sz="0" w:space="0" w:color="auto"/>
      </w:divBdr>
    </w:div>
    <w:div w:id="502625140">
      <w:bodyDiv w:val="1"/>
      <w:marLeft w:val="0"/>
      <w:marRight w:val="0"/>
      <w:marTop w:val="0"/>
      <w:marBottom w:val="0"/>
      <w:divBdr>
        <w:top w:val="none" w:sz="0" w:space="0" w:color="auto"/>
        <w:left w:val="none" w:sz="0" w:space="0" w:color="auto"/>
        <w:bottom w:val="none" w:sz="0" w:space="0" w:color="auto"/>
        <w:right w:val="none" w:sz="0" w:space="0" w:color="auto"/>
      </w:divBdr>
    </w:div>
    <w:div w:id="519969729">
      <w:bodyDiv w:val="1"/>
      <w:marLeft w:val="0"/>
      <w:marRight w:val="0"/>
      <w:marTop w:val="0"/>
      <w:marBottom w:val="0"/>
      <w:divBdr>
        <w:top w:val="none" w:sz="0" w:space="0" w:color="auto"/>
        <w:left w:val="none" w:sz="0" w:space="0" w:color="auto"/>
        <w:bottom w:val="none" w:sz="0" w:space="0" w:color="auto"/>
        <w:right w:val="none" w:sz="0" w:space="0" w:color="auto"/>
      </w:divBdr>
    </w:div>
    <w:div w:id="527640330">
      <w:bodyDiv w:val="1"/>
      <w:marLeft w:val="0"/>
      <w:marRight w:val="0"/>
      <w:marTop w:val="0"/>
      <w:marBottom w:val="0"/>
      <w:divBdr>
        <w:top w:val="none" w:sz="0" w:space="0" w:color="auto"/>
        <w:left w:val="none" w:sz="0" w:space="0" w:color="auto"/>
        <w:bottom w:val="none" w:sz="0" w:space="0" w:color="auto"/>
        <w:right w:val="none" w:sz="0" w:space="0" w:color="auto"/>
      </w:divBdr>
    </w:div>
    <w:div w:id="603805760">
      <w:bodyDiv w:val="1"/>
      <w:marLeft w:val="0"/>
      <w:marRight w:val="0"/>
      <w:marTop w:val="0"/>
      <w:marBottom w:val="0"/>
      <w:divBdr>
        <w:top w:val="none" w:sz="0" w:space="0" w:color="auto"/>
        <w:left w:val="none" w:sz="0" w:space="0" w:color="auto"/>
        <w:bottom w:val="none" w:sz="0" w:space="0" w:color="auto"/>
        <w:right w:val="none" w:sz="0" w:space="0" w:color="auto"/>
      </w:divBdr>
    </w:div>
    <w:div w:id="801727949">
      <w:bodyDiv w:val="1"/>
      <w:marLeft w:val="0"/>
      <w:marRight w:val="0"/>
      <w:marTop w:val="0"/>
      <w:marBottom w:val="0"/>
      <w:divBdr>
        <w:top w:val="none" w:sz="0" w:space="0" w:color="auto"/>
        <w:left w:val="none" w:sz="0" w:space="0" w:color="auto"/>
        <w:bottom w:val="none" w:sz="0" w:space="0" w:color="auto"/>
        <w:right w:val="none" w:sz="0" w:space="0" w:color="auto"/>
      </w:divBdr>
    </w:div>
    <w:div w:id="969364567">
      <w:bodyDiv w:val="1"/>
      <w:marLeft w:val="0"/>
      <w:marRight w:val="0"/>
      <w:marTop w:val="0"/>
      <w:marBottom w:val="0"/>
      <w:divBdr>
        <w:top w:val="none" w:sz="0" w:space="0" w:color="auto"/>
        <w:left w:val="none" w:sz="0" w:space="0" w:color="auto"/>
        <w:bottom w:val="none" w:sz="0" w:space="0" w:color="auto"/>
        <w:right w:val="none" w:sz="0" w:space="0" w:color="auto"/>
      </w:divBdr>
    </w:div>
    <w:div w:id="1164862113">
      <w:bodyDiv w:val="1"/>
      <w:marLeft w:val="0"/>
      <w:marRight w:val="0"/>
      <w:marTop w:val="0"/>
      <w:marBottom w:val="0"/>
      <w:divBdr>
        <w:top w:val="none" w:sz="0" w:space="0" w:color="auto"/>
        <w:left w:val="none" w:sz="0" w:space="0" w:color="auto"/>
        <w:bottom w:val="none" w:sz="0" w:space="0" w:color="auto"/>
        <w:right w:val="none" w:sz="0" w:space="0" w:color="auto"/>
      </w:divBdr>
    </w:div>
    <w:div w:id="1434125827">
      <w:bodyDiv w:val="1"/>
      <w:marLeft w:val="0"/>
      <w:marRight w:val="0"/>
      <w:marTop w:val="0"/>
      <w:marBottom w:val="0"/>
      <w:divBdr>
        <w:top w:val="none" w:sz="0" w:space="0" w:color="auto"/>
        <w:left w:val="none" w:sz="0" w:space="0" w:color="auto"/>
        <w:bottom w:val="none" w:sz="0" w:space="0" w:color="auto"/>
        <w:right w:val="none" w:sz="0" w:space="0" w:color="auto"/>
      </w:divBdr>
    </w:div>
    <w:div w:id="1499731851">
      <w:bodyDiv w:val="1"/>
      <w:marLeft w:val="0"/>
      <w:marRight w:val="0"/>
      <w:marTop w:val="0"/>
      <w:marBottom w:val="0"/>
      <w:divBdr>
        <w:top w:val="none" w:sz="0" w:space="0" w:color="auto"/>
        <w:left w:val="none" w:sz="0" w:space="0" w:color="auto"/>
        <w:bottom w:val="none" w:sz="0" w:space="0" w:color="auto"/>
        <w:right w:val="none" w:sz="0" w:space="0" w:color="auto"/>
      </w:divBdr>
    </w:div>
    <w:div w:id="1556818620">
      <w:bodyDiv w:val="1"/>
      <w:marLeft w:val="0"/>
      <w:marRight w:val="0"/>
      <w:marTop w:val="0"/>
      <w:marBottom w:val="0"/>
      <w:divBdr>
        <w:top w:val="none" w:sz="0" w:space="0" w:color="auto"/>
        <w:left w:val="none" w:sz="0" w:space="0" w:color="auto"/>
        <w:bottom w:val="none" w:sz="0" w:space="0" w:color="auto"/>
        <w:right w:val="none" w:sz="0" w:space="0" w:color="auto"/>
      </w:divBdr>
    </w:div>
    <w:div w:id="186628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sne.gov.ge/ka/document/view/3297586" TargetMode="External"/><Relationship Id="rId5" Type="http://schemas.openxmlformats.org/officeDocument/2006/relationships/footnotes" Target="footnotes.xml"/><Relationship Id="rId10" Type="http://schemas.openxmlformats.org/officeDocument/2006/relationships/hyperlink" Target="https://matsne.gov.ge/ka/document/view/3297586" TargetMode="External"/><Relationship Id="rId4" Type="http://schemas.openxmlformats.org/officeDocument/2006/relationships/webSettings" Target="web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23979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nika khibaia</cp:lastModifiedBy>
  <cp:revision>6</cp:revision>
  <cp:lastPrinted>2016-06-14T07:07:00Z</cp:lastPrinted>
  <dcterms:created xsi:type="dcterms:W3CDTF">2017-12-05T11:16:00Z</dcterms:created>
  <dcterms:modified xsi:type="dcterms:W3CDTF">2018-01-24T14:07:00Z</dcterms:modified>
</cp:coreProperties>
</file>