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F5010" w14:textId="77777777" w:rsidR="006804AD" w:rsidRDefault="006804AD" w:rsidP="00A37045">
      <w:pPr>
        <w:spacing w:after="100" w:afterAutospacing="1" w:line="276" w:lineRule="auto"/>
        <w:ind w:firstLine="284"/>
        <w:jc w:val="both"/>
        <w:rPr>
          <w:rFonts w:ascii="Sylfaen" w:hAnsi="Sylfaen"/>
          <w:b/>
          <w:sz w:val="24"/>
          <w:szCs w:val="24"/>
          <w:lang w:val="ka-GE"/>
        </w:rPr>
      </w:pPr>
    </w:p>
    <w:p w14:paraId="7EFF5C50" w14:textId="77777777" w:rsidR="006804AD" w:rsidRDefault="006804AD" w:rsidP="00A37045">
      <w:pPr>
        <w:spacing w:after="100" w:afterAutospacing="1" w:line="276" w:lineRule="auto"/>
        <w:ind w:firstLine="284"/>
        <w:jc w:val="both"/>
        <w:rPr>
          <w:rFonts w:ascii="Sylfaen" w:hAnsi="Sylfaen"/>
          <w:b/>
          <w:sz w:val="24"/>
          <w:szCs w:val="24"/>
          <w:lang w:val="ka-GE"/>
        </w:rPr>
      </w:pPr>
    </w:p>
    <w:p w14:paraId="2585557C" w14:textId="77777777" w:rsidR="006804AD" w:rsidRDefault="006804AD" w:rsidP="00A37045">
      <w:pPr>
        <w:spacing w:after="100" w:afterAutospacing="1" w:line="276" w:lineRule="auto"/>
        <w:ind w:firstLine="284"/>
        <w:jc w:val="both"/>
        <w:rPr>
          <w:rFonts w:ascii="Sylfaen" w:hAnsi="Sylfaen"/>
          <w:b/>
          <w:sz w:val="24"/>
          <w:szCs w:val="24"/>
          <w:lang w:val="ka-GE"/>
        </w:rPr>
      </w:pPr>
    </w:p>
    <w:p w14:paraId="072D4999" w14:textId="77777777" w:rsidR="006804AD" w:rsidRDefault="006804AD" w:rsidP="00A37045">
      <w:pPr>
        <w:spacing w:after="100" w:afterAutospacing="1" w:line="276" w:lineRule="auto"/>
        <w:ind w:firstLine="284"/>
        <w:jc w:val="both"/>
        <w:rPr>
          <w:rFonts w:ascii="Sylfaen" w:hAnsi="Sylfaen"/>
          <w:b/>
          <w:sz w:val="24"/>
          <w:szCs w:val="24"/>
          <w:lang w:val="ka-GE"/>
        </w:rPr>
      </w:pPr>
    </w:p>
    <w:p w14:paraId="6F6D13FF" w14:textId="77777777" w:rsidR="006804AD" w:rsidRDefault="006804AD" w:rsidP="00A37045">
      <w:pPr>
        <w:spacing w:after="100" w:afterAutospacing="1" w:line="276" w:lineRule="auto"/>
        <w:ind w:firstLine="284"/>
        <w:jc w:val="both"/>
        <w:rPr>
          <w:rFonts w:ascii="Sylfaen" w:hAnsi="Sylfaen"/>
          <w:b/>
          <w:sz w:val="24"/>
          <w:szCs w:val="24"/>
          <w:lang w:val="ka-GE"/>
        </w:rPr>
      </w:pPr>
    </w:p>
    <w:p w14:paraId="46A51E4A" w14:textId="77777777" w:rsidR="006804AD" w:rsidRDefault="006804AD" w:rsidP="00A37045">
      <w:pPr>
        <w:spacing w:after="100" w:afterAutospacing="1" w:line="276" w:lineRule="auto"/>
        <w:ind w:firstLine="284"/>
        <w:jc w:val="both"/>
        <w:rPr>
          <w:rFonts w:ascii="Sylfaen" w:hAnsi="Sylfaen"/>
          <w:b/>
          <w:sz w:val="24"/>
          <w:szCs w:val="24"/>
          <w:lang w:val="ka-GE"/>
        </w:rPr>
      </w:pPr>
    </w:p>
    <w:p w14:paraId="4787D213" w14:textId="77777777" w:rsidR="006804AD" w:rsidRDefault="006804AD" w:rsidP="00A37045">
      <w:pPr>
        <w:spacing w:after="100" w:afterAutospacing="1" w:line="276" w:lineRule="auto"/>
        <w:ind w:firstLine="284"/>
        <w:jc w:val="both"/>
        <w:rPr>
          <w:rFonts w:ascii="Sylfaen" w:hAnsi="Sylfaen"/>
          <w:b/>
          <w:sz w:val="24"/>
          <w:szCs w:val="24"/>
          <w:lang w:val="ka-GE"/>
        </w:rPr>
      </w:pPr>
    </w:p>
    <w:p w14:paraId="409310E6" w14:textId="77777777" w:rsidR="006804AD" w:rsidRDefault="006804AD" w:rsidP="00A37045">
      <w:pPr>
        <w:spacing w:after="100" w:afterAutospacing="1" w:line="276" w:lineRule="auto"/>
        <w:ind w:firstLine="284"/>
        <w:jc w:val="both"/>
        <w:rPr>
          <w:rFonts w:ascii="Sylfaen" w:hAnsi="Sylfaen"/>
          <w:b/>
          <w:sz w:val="24"/>
          <w:szCs w:val="24"/>
          <w:lang w:val="ka-GE"/>
        </w:rPr>
      </w:pPr>
    </w:p>
    <w:p w14:paraId="64FC13E8" w14:textId="77777777" w:rsidR="006804AD" w:rsidRDefault="006804AD" w:rsidP="00A37045">
      <w:pPr>
        <w:spacing w:after="100" w:afterAutospacing="1" w:line="276" w:lineRule="auto"/>
        <w:ind w:firstLine="284"/>
        <w:jc w:val="both"/>
        <w:rPr>
          <w:rFonts w:ascii="Sylfaen" w:hAnsi="Sylfaen"/>
          <w:b/>
          <w:sz w:val="24"/>
          <w:szCs w:val="24"/>
          <w:lang w:val="ka-GE"/>
        </w:rPr>
      </w:pPr>
    </w:p>
    <w:p w14:paraId="359488A5" w14:textId="77777777" w:rsidR="006804AD" w:rsidRDefault="006804AD" w:rsidP="00A37045">
      <w:pPr>
        <w:spacing w:after="100" w:afterAutospacing="1" w:line="276" w:lineRule="auto"/>
        <w:ind w:firstLine="284"/>
        <w:jc w:val="both"/>
        <w:rPr>
          <w:rFonts w:ascii="Sylfaen" w:hAnsi="Sylfaen"/>
          <w:b/>
          <w:sz w:val="24"/>
          <w:szCs w:val="24"/>
          <w:lang w:val="ka-GE"/>
        </w:rPr>
      </w:pPr>
    </w:p>
    <w:p w14:paraId="1E4AE1DC" w14:textId="77777777" w:rsidR="006804AD" w:rsidRDefault="006804AD" w:rsidP="00A37045">
      <w:pPr>
        <w:spacing w:after="100" w:afterAutospacing="1" w:line="276" w:lineRule="auto"/>
        <w:ind w:firstLine="284"/>
        <w:jc w:val="both"/>
        <w:rPr>
          <w:rFonts w:ascii="Sylfaen" w:hAnsi="Sylfaen"/>
          <w:b/>
          <w:sz w:val="24"/>
          <w:szCs w:val="24"/>
          <w:lang w:val="ka-GE"/>
        </w:rPr>
      </w:pPr>
    </w:p>
    <w:p w14:paraId="7FBD9CA9" w14:textId="063F3D9E" w:rsidR="001202B5" w:rsidRPr="002B3758" w:rsidRDefault="001202B5" w:rsidP="00A37045">
      <w:pPr>
        <w:spacing w:after="100" w:afterAutospacing="1" w:line="276" w:lineRule="auto"/>
        <w:ind w:firstLine="284"/>
        <w:jc w:val="both"/>
        <w:rPr>
          <w:rFonts w:ascii="Sylfaen" w:hAnsi="Sylfaen"/>
          <w:b/>
          <w:sz w:val="24"/>
          <w:szCs w:val="24"/>
          <w:lang w:val="ka-GE"/>
        </w:rPr>
      </w:pPr>
      <w:r w:rsidRPr="00C24AB7">
        <w:rPr>
          <w:rFonts w:ascii="Sylfaen" w:hAnsi="Sylfaen"/>
          <w:b/>
          <w:sz w:val="24"/>
          <w:szCs w:val="24"/>
          <w:lang w:val="ka-GE"/>
        </w:rPr>
        <w:t>№</w:t>
      </w:r>
      <w:r w:rsidR="0075053E" w:rsidRPr="00C24AB7">
        <w:rPr>
          <w:rFonts w:ascii="Sylfaen" w:hAnsi="Sylfaen"/>
          <w:b/>
          <w:sz w:val="24"/>
          <w:szCs w:val="24"/>
          <w:lang w:val="ka-GE"/>
        </w:rPr>
        <w:t>1</w:t>
      </w:r>
      <w:r w:rsidRPr="00C24AB7">
        <w:rPr>
          <w:rFonts w:ascii="Sylfaen" w:hAnsi="Sylfaen"/>
          <w:b/>
          <w:sz w:val="24"/>
          <w:szCs w:val="24"/>
          <w:lang w:val="ka-GE"/>
        </w:rPr>
        <w:t>/</w:t>
      </w:r>
      <w:r w:rsidR="00BA477B">
        <w:rPr>
          <w:rFonts w:ascii="Sylfaen" w:hAnsi="Sylfaen"/>
          <w:b/>
          <w:sz w:val="24"/>
          <w:szCs w:val="24"/>
        </w:rPr>
        <w:t>7</w:t>
      </w:r>
      <w:r w:rsidR="00C24AB7" w:rsidRPr="00C24AB7">
        <w:rPr>
          <w:rFonts w:ascii="Sylfaen" w:hAnsi="Sylfaen"/>
          <w:b/>
          <w:sz w:val="24"/>
          <w:szCs w:val="24"/>
          <w:lang w:val="ka-GE"/>
        </w:rPr>
        <w:t>/</w:t>
      </w:r>
      <w:r w:rsidRPr="00C24AB7">
        <w:rPr>
          <w:rFonts w:ascii="Sylfaen" w:hAnsi="Sylfaen"/>
          <w:b/>
          <w:sz w:val="24"/>
          <w:szCs w:val="24"/>
          <w:lang w:val="ka-GE"/>
        </w:rPr>
        <w:t>1</w:t>
      </w:r>
      <w:r w:rsidR="004225DD" w:rsidRPr="00C24AB7">
        <w:rPr>
          <w:rFonts w:ascii="Sylfaen" w:hAnsi="Sylfaen"/>
          <w:b/>
          <w:sz w:val="24"/>
          <w:szCs w:val="24"/>
          <w:lang w:val="ka-GE"/>
        </w:rPr>
        <w:t>713</w:t>
      </w:r>
      <w:r w:rsidR="00D059A5" w:rsidRPr="002B3758">
        <w:rPr>
          <w:rFonts w:ascii="Sylfaen" w:hAnsi="Sylfaen"/>
          <w:b/>
          <w:sz w:val="24"/>
          <w:szCs w:val="24"/>
          <w:lang w:val="ka-GE"/>
        </w:rPr>
        <w:tab/>
      </w:r>
      <w:r w:rsidR="00D059A5" w:rsidRPr="002B3758">
        <w:rPr>
          <w:rFonts w:ascii="Sylfaen" w:hAnsi="Sylfaen"/>
          <w:b/>
          <w:sz w:val="24"/>
          <w:szCs w:val="24"/>
          <w:lang w:val="ka-GE"/>
        </w:rPr>
        <w:tab/>
      </w:r>
      <w:r w:rsidR="00D059A5" w:rsidRPr="002B3758">
        <w:rPr>
          <w:rFonts w:ascii="Sylfaen" w:hAnsi="Sylfaen"/>
          <w:b/>
          <w:sz w:val="24"/>
          <w:szCs w:val="24"/>
          <w:lang w:val="ka-GE"/>
        </w:rPr>
        <w:tab/>
      </w:r>
      <w:r w:rsidR="00D059A5" w:rsidRPr="002B3758">
        <w:rPr>
          <w:rFonts w:ascii="Sylfaen" w:hAnsi="Sylfaen"/>
          <w:b/>
          <w:sz w:val="24"/>
          <w:szCs w:val="24"/>
          <w:lang w:val="ka-GE"/>
        </w:rPr>
        <w:tab/>
      </w:r>
      <w:r w:rsidR="00D059A5" w:rsidRPr="002B3758">
        <w:rPr>
          <w:rFonts w:ascii="Sylfaen" w:hAnsi="Sylfaen"/>
          <w:b/>
          <w:sz w:val="24"/>
          <w:szCs w:val="24"/>
          <w:lang w:val="ka-GE"/>
        </w:rPr>
        <w:tab/>
      </w:r>
      <w:r w:rsidR="00FA674A">
        <w:rPr>
          <w:rFonts w:ascii="Sylfaen" w:hAnsi="Sylfaen"/>
          <w:b/>
          <w:sz w:val="24"/>
          <w:szCs w:val="24"/>
          <w:lang w:val="ka-GE"/>
        </w:rPr>
        <w:t xml:space="preserve"> </w:t>
      </w:r>
      <w:r w:rsidR="00C24AB7">
        <w:rPr>
          <w:rFonts w:ascii="Sylfaen" w:hAnsi="Sylfaen"/>
          <w:b/>
          <w:sz w:val="24"/>
          <w:szCs w:val="24"/>
          <w:lang w:val="ka-GE"/>
        </w:rPr>
        <w:tab/>
        <w:t xml:space="preserve">  </w:t>
      </w:r>
      <w:r w:rsidR="00FA674A">
        <w:rPr>
          <w:rFonts w:ascii="Sylfaen" w:hAnsi="Sylfaen"/>
          <w:b/>
          <w:sz w:val="24"/>
          <w:szCs w:val="24"/>
          <w:lang w:val="ka-GE"/>
        </w:rPr>
        <w:t xml:space="preserve">   </w:t>
      </w:r>
      <w:r w:rsidRPr="002B3758">
        <w:rPr>
          <w:rFonts w:ascii="Sylfaen" w:hAnsi="Sylfaen" w:cs="Sylfaen"/>
          <w:b/>
          <w:sz w:val="24"/>
          <w:szCs w:val="24"/>
          <w:lang w:val="ka-GE"/>
        </w:rPr>
        <w:t>ბათუმი</w:t>
      </w:r>
      <w:r w:rsidRPr="002B3758">
        <w:rPr>
          <w:rFonts w:ascii="Sylfaen" w:hAnsi="Sylfaen"/>
          <w:b/>
          <w:sz w:val="24"/>
          <w:szCs w:val="24"/>
          <w:lang w:val="ka-GE"/>
        </w:rPr>
        <w:t>, 202</w:t>
      </w:r>
      <w:r w:rsidR="002F7E99" w:rsidRPr="002B3758">
        <w:rPr>
          <w:rFonts w:ascii="Sylfaen" w:hAnsi="Sylfaen"/>
          <w:b/>
          <w:sz w:val="24"/>
          <w:szCs w:val="24"/>
          <w:lang w:val="ka-GE"/>
        </w:rPr>
        <w:t>3</w:t>
      </w:r>
      <w:r w:rsidRPr="002B3758">
        <w:rPr>
          <w:rFonts w:ascii="Sylfaen" w:hAnsi="Sylfaen"/>
          <w:b/>
          <w:sz w:val="24"/>
          <w:szCs w:val="24"/>
          <w:lang w:val="ka-GE"/>
        </w:rPr>
        <w:t xml:space="preserve"> </w:t>
      </w:r>
      <w:r w:rsidRPr="002B3758">
        <w:rPr>
          <w:rFonts w:ascii="Sylfaen" w:hAnsi="Sylfaen" w:cs="Sylfaen"/>
          <w:b/>
          <w:sz w:val="24"/>
          <w:szCs w:val="24"/>
          <w:lang w:val="ka-GE"/>
        </w:rPr>
        <w:t>წლის</w:t>
      </w:r>
      <w:r w:rsidRPr="002B3758">
        <w:rPr>
          <w:rFonts w:ascii="Sylfaen" w:hAnsi="Sylfaen"/>
          <w:b/>
          <w:sz w:val="24"/>
          <w:szCs w:val="24"/>
          <w:lang w:val="ka-GE"/>
        </w:rPr>
        <w:t xml:space="preserve"> </w:t>
      </w:r>
      <w:r w:rsidR="00FA674A">
        <w:rPr>
          <w:rFonts w:ascii="Sylfaen" w:hAnsi="Sylfaen"/>
          <w:b/>
          <w:sz w:val="24"/>
          <w:szCs w:val="24"/>
          <w:lang w:val="ka-GE"/>
        </w:rPr>
        <w:t xml:space="preserve">22 </w:t>
      </w:r>
      <w:r w:rsidR="002F7E99" w:rsidRPr="002B3758">
        <w:rPr>
          <w:rFonts w:ascii="Sylfaen" w:hAnsi="Sylfaen"/>
          <w:b/>
          <w:sz w:val="24"/>
          <w:szCs w:val="24"/>
          <w:lang w:val="ka-GE"/>
        </w:rPr>
        <w:t>თებერვალი</w:t>
      </w:r>
    </w:p>
    <w:p w14:paraId="282FFA34" w14:textId="72883F5A" w:rsidR="001202B5" w:rsidRPr="002B3758" w:rsidRDefault="001202B5" w:rsidP="00A37045">
      <w:pPr>
        <w:spacing w:after="0" w:line="276" w:lineRule="auto"/>
        <w:ind w:firstLine="284"/>
        <w:jc w:val="both"/>
        <w:rPr>
          <w:rFonts w:ascii="Sylfaen" w:hAnsi="Sylfaen"/>
          <w:b/>
          <w:sz w:val="24"/>
          <w:szCs w:val="24"/>
          <w:lang w:val="ka-GE"/>
        </w:rPr>
      </w:pPr>
      <w:r w:rsidRPr="002B3758">
        <w:rPr>
          <w:rFonts w:ascii="Sylfaen" w:hAnsi="Sylfaen" w:cs="Sylfaen"/>
          <w:b/>
          <w:sz w:val="24"/>
          <w:szCs w:val="24"/>
          <w:lang w:val="ka-GE"/>
        </w:rPr>
        <w:t>კოლეგიის</w:t>
      </w:r>
      <w:r w:rsidR="0065014D" w:rsidRPr="002B3758">
        <w:rPr>
          <w:rFonts w:ascii="Sylfaen" w:hAnsi="Sylfaen"/>
          <w:b/>
          <w:sz w:val="24"/>
          <w:szCs w:val="24"/>
          <w:lang w:val="ka-GE"/>
        </w:rPr>
        <w:t xml:space="preserve"> </w:t>
      </w:r>
      <w:r w:rsidRPr="002B3758">
        <w:rPr>
          <w:rFonts w:ascii="Sylfaen" w:hAnsi="Sylfaen" w:cs="Sylfaen"/>
          <w:b/>
          <w:sz w:val="24"/>
          <w:szCs w:val="24"/>
          <w:lang w:val="ka-GE"/>
        </w:rPr>
        <w:t>შემადგენლობა</w:t>
      </w:r>
      <w:r w:rsidRPr="002B3758">
        <w:rPr>
          <w:rFonts w:ascii="Sylfaen" w:hAnsi="Sylfaen"/>
          <w:b/>
          <w:sz w:val="24"/>
          <w:szCs w:val="24"/>
          <w:lang w:val="ka-GE"/>
        </w:rPr>
        <w:t>:</w:t>
      </w:r>
    </w:p>
    <w:p w14:paraId="539E6BA4" w14:textId="6FA109C6" w:rsidR="001202B5" w:rsidRPr="002B3758" w:rsidRDefault="0075053E" w:rsidP="00A37045">
      <w:pPr>
        <w:spacing w:after="0" w:line="276" w:lineRule="auto"/>
        <w:ind w:firstLine="284"/>
        <w:jc w:val="both"/>
        <w:rPr>
          <w:rFonts w:ascii="Sylfaen" w:hAnsi="Sylfaen"/>
          <w:sz w:val="24"/>
          <w:szCs w:val="24"/>
          <w:lang w:val="ka-GE"/>
        </w:rPr>
      </w:pPr>
      <w:r w:rsidRPr="002B3758">
        <w:rPr>
          <w:rFonts w:ascii="Sylfaen" w:hAnsi="Sylfaen" w:cs="Sylfaen"/>
          <w:sz w:val="24"/>
          <w:szCs w:val="24"/>
          <w:lang w:val="ka-GE"/>
        </w:rPr>
        <w:t>ვასილ როინიშვილი</w:t>
      </w:r>
      <w:r w:rsidR="001202B5" w:rsidRPr="002B3758">
        <w:rPr>
          <w:rFonts w:ascii="Sylfaen" w:hAnsi="Sylfaen"/>
          <w:sz w:val="24"/>
          <w:szCs w:val="24"/>
          <w:lang w:val="ka-GE"/>
        </w:rPr>
        <w:t xml:space="preserve"> – </w:t>
      </w:r>
      <w:r w:rsidR="001202B5" w:rsidRPr="002B3758">
        <w:rPr>
          <w:rFonts w:ascii="Sylfaen" w:hAnsi="Sylfaen" w:cs="Sylfaen"/>
          <w:sz w:val="24"/>
          <w:szCs w:val="24"/>
          <w:lang w:val="ka-GE"/>
        </w:rPr>
        <w:t>სხდომის</w:t>
      </w:r>
      <w:r w:rsidR="001202B5" w:rsidRPr="002B3758">
        <w:rPr>
          <w:rFonts w:ascii="Sylfaen" w:hAnsi="Sylfaen"/>
          <w:sz w:val="24"/>
          <w:szCs w:val="24"/>
          <w:lang w:val="ka-GE"/>
        </w:rPr>
        <w:t xml:space="preserve"> </w:t>
      </w:r>
      <w:r w:rsidR="001202B5" w:rsidRPr="002B3758">
        <w:rPr>
          <w:rFonts w:ascii="Sylfaen" w:hAnsi="Sylfaen" w:cs="Sylfaen"/>
          <w:sz w:val="24"/>
          <w:szCs w:val="24"/>
          <w:lang w:val="ka-GE"/>
        </w:rPr>
        <w:t>თავმჯდომარე</w:t>
      </w:r>
      <w:r w:rsidR="001202B5" w:rsidRPr="002B3758">
        <w:rPr>
          <w:rFonts w:ascii="Sylfaen" w:hAnsi="Sylfaen"/>
          <w:sz w:val="24"/>
          <w:szCs w:val="24"/>
          <w:lang w:val="ka-GE"/>
        </w:rPr>
        <w:t>;</w:t>
      </w:r>
    </w:p>
    <w:p w14:paraId="7F9448BE" w14:textId="34FE71DE" w:rsidR="001202B5" w:rsidRPr="002B3758" w:rsidRDefault="0075053E" w:rsidP="00A37045">
      <w:pPr>
        <w:spacing w:after="0" w:line="276" w:lineRule="auto"/>
        <w:ind w:firstLine="284"/>
        <w:jc w:val="both"/>
        <w:rPr>
          <w:rFonts w:ascii="Sylfaen" w:hAnsi="Sylfaen" w:cs="Sylfaen"/>
          <w:sz w:val="24"/>
          <w:szCs w:val="24"/>
          <w:lang w:val="ka-GE"/>
        </w:rPr>
      </w:pPr>
      <w:r w:rsidRPr="002B3758">
        <w:rPr>
          <w:rFonts w:ascii="Sylfaen" w:hAnsi="Sylfaen" w:cs="Sylfaen"/>
          <w:sz w:val="24"/>
          <w:szCs w:val="24"/>
          <w:lang w:val="ka-GE"/>
        </w:rPr>
        <w:t>ევა გოცირიძე</w:t>
      </w:r>
      <w:r w:rsidR="001202B5" w:rsidRPr="002B3758">
        <w:rPr>
          <w:rFonts w:ascii="Sylfaen" w:hAnsi="Sylfaen" w:cs="Sylfaen"/>
          <w:sz w:val="24"/>
          <w:szCs w:val="24"/>
          <w:lang w:val="ka-GE"/>
        </w:rPr>
        <w:t xml:space="preserve"> </w:t>
      </w:r>
      <w:r w:rsidR="001202B5" w:rsidRPr="002B3758">
        <w:rPr>
          <w:rFonts w:ascii="Sylfaen" w:hAnsi="Sylfaen"/>
          <w:sz w:val="24"/>
          <w:szCs w:val="24"/>
          <w:lang w:val="ka-GE"/>
        </w:rPr>
        <w:t xml:space="preserve">– </w:t>
      </w:r>
      <w:r w:rsidR="001202B5" w:rsidRPr="002B3758">
        <w:rPr>
          <w:rFonts w:ascii="Sylfaen" w:hAnsi="Sylfaen" w:cs="Sylfaen"/>
          <w:sz w:val="24"/>
          <w:szCs w:val="24"/>
          <w:lang w:val="ka-GE"/>
        </w:rPr>
        <w:t>წევრი;</w:t>
      </w:r>
    </w:p>
    <w:p w14:paraId="6DC02A03" w14:textId="1363066E" w:rsidR="001202B5" w:rsidRPr="002B3758" w:rsidRDefault="0075053E" w:rsidP="00A37045">
      <w:pPr>
        <w:spacing w:after="0" w:line="276" w:lineRule="auto"/>
        <w:ind w:firstLine="284"/>
        <w:jc w:val="both"/>
        <w:rPr>
          <w:rFonts w:ascii="Sylfaen" w:hAnsi="Sylfaen" w:cs="Sylfaen"/>
          <w:sz w:val="24"/>
          <w:szCs w:val="24"/>
          <w:lang w:val="ka-GE"/>
        </w:rPr>
      </w:pPr>
      <w:r w:rsidRPr="002B3758">
        <w:rPr>
          <w:rFonts w:ascii="Sylfaen" w:hAnsi="Sylfaen" w:cs="Sylfaen"/>
          <w:sz w:val="24"/>
          <w:szCs w:val="24"/>
          <w:lang w:val="ka-GE"/>
        </w:rPr>
        <w:t>გიორგი თევდორაშვილი</w:t>
      </w:r>
      <w:r w:rsidR="001202B5" w:rsidRPr="002B3758">
        <w:rPr>
          <w:rFonts w:ascii="Sylfaen" w:hAnsi="Sylfaen" w:cs="Sylfaen"/>
          <w:sz w:val="24"/>
          <w:szCs w:val="24"/>
          <w:lang w:val="ka-GE"/>
        </w:rPr>
        <w:t xml:space="preserve"> </w:t>
      </w:r>
      <w:r w:rsidR="001202B5" w:rsidRPr="002B3758">
        <w:rPr>
          <w:rFonts w:ascii="Sylfaen" w:hAnsi="Sylfaen"/>
          <w:sz w:val="24"/>
          <w:szCs w:val="24"/>
          <w:lang w:val="ka-GE"/>
        </w:rPr>
        <w:t>– წევრი</w:t>
      </w:r>
      <w:r w:rsidR="00582301" w:rsidRPr="002B3758">
        <w:rPr>
          <w:rFonts w:ascii="Sylfaen" w:hAnsi="Sylfaen"/>
          <w:sz w:val="24"/>
          <w:szCs w:val="24"/>
          <w:lang w:val="ka-GE"/>
        </w:rPr>
        <w:t>;</w:t>
      </w:r>
    </w:p>
    <w:p w14:paraId="7D0A4751" w14:textId="014D2D8E" w:rsidR="001202B5" w:rsidRPr="002B3758" w:rsidRDefault="0075053E" w:rsidP="00A37045">
      <w:pPr>
        <w:spacing w:after="100" w:afterAutospacing="1" w:line="276" w:lineRule="auto"/>
        <w:ind w:firstLine="284"/>
        <w:jc w:val="both"/>
        <w:rPr>
          <w:rFonts w:ascii="Sylfaen" w:hAnsi="Sylfaen"/>
          <w:sz w:val="24"/>
          <w:szCs w:val="24"/>
          <w:lang w:val="ka-GE"/>
        </w:rPr>
      </w:pPr>
      <w:r w:rsidRPr="002B3758">
        <w:rPr>
          <w:rFonts w:ascii="Sylfaen" w:hAnsi="Sylfaen" w:cs="Sylfaen"/>
          <w:sz w:val="24"/>
          <w:szCs w:val="24"/>
          <w:lang w:val="ka-GE"/>
        </w:rPr>
        <w:t>გიორგი კვერენჩხილაძე</w:t>
      </w:r>
      <w:r w:rsidR="001202B5" w:rsidRPr="002B3758">
        <w:rPr>
          <w:rFonts w:ascii="Sylfaen" w:hAnsi="Sylfaen"/>
          <w:sz w:val="24"/>
          <w:szCs w:val="24"/>
          <w:lang w:val="ka-GE"/>
        </w:rPr>
        <w:t xml:space="preserve"> – </w:t>
      </w:r>
      <w:r w:rsidR="001202B5" w:rsidRPr="002B3758">
        <w:rPr>
          <w:rFonts w:ascii="Sylfaen" w:hAnsi="Sylfaen" w:cs="Sylfaen"/>
          <w:sz w:val="24"/>
          <w:szCs w:val="24"/>
          <w:lang w:val="ka-GE"/>
        </w:rPr>
        <w:t>წევრი</w:t>
      </w:r>
      <w:r w:rsidR="00582301" w:rsidRPr="002B3758">
        <w:rPr>
          <w:rFonts w:ascii="Sylfaen" w:hAnsi="Sylfaen" w:cs="Sylfaen"/>
          <w:sz w:val="24"/>
          <w:szCs w:val="24"/>
          <w:lang w:val="ka-GE"/>
        </w:rPr>
        <w:t xml:space="preserve">, მომხსენებელი მოსამართლე. </w:t>
      </w:r>
    </w:p>
    <w:p w14:paraId="0E5ED7B4" w14:textId="2B0659EE" w:rsidR="001202B5" w:rsidRPr="002B3758" w:rsidRDefault="001202B5" w:rsidP="00A37045">
      <w:pPr>
        <w:spacing w:after="100" w:afterAutospacing="1" w:line="276" w:lineRule="auto"/>
        <w:ind w:firstLine="284"/>
        <w:jc w:val="both"/>
        <w:rPr>
          <w:rFonts w:ascii="Sylfaen" w:hAnsi="Sylfaen"/>
          <w:sz w:val="24"/>
          <w:szCs w:val="24"/>
          <w:lang w:val="ka-GE"/>
        </w:rPr>
      </w:pPr>
      <w:r w:rsidRPr="002B3758">
        <w:rPr>
          <w:rFonts w:ascii="Sylfaen" w:hAnsi="Sylfaen" w:cs="Sylfaen"/>
          <w:b/>
          <w:sz w:val="24"/>
          <w:szCs w:val="24"/>
          <w:lang w:val="ka-GE"/>
        </w:rPr>
        <w:t>სხდომის</w:t>
      </w:r>
      <w:r w:rsidRPr="002B3758">
        <w:rPr>
          <w:rFonts w:ascii="Sylfaen" w:hAnsi="Sylfaen"/>
          <w:b/>
          <w:sz w:val="24"/>
          <w:szCs w:val="24"/>
          <w:lang w:val="ka-GE"/>
        </w:rPr>
        <w:t xml:space="preserve"> </w:t>
      </w:r>
      <w:r w:rsidRPr="002B3758">
        <w:rPr>
          <w:rFonts w:ascii="Sylfaen" w:hAnsi="Sylfaen" w:cs="Sylfaen"/>
          <w:b/>
          <w:sz w:val="24"/>
          <w:szCs w:val="24"/>
          <w:lang w:val="ka-GE"/>
        </w:rPr>
        <w:t>მდივანი</w:t>
      </w:r>
      <w:r w:rsidRPr="002B3758">
        <w:rPr>
          <w:rFonts w:ascii="Sylfaen" w:hAnsi="Sylfaen"/>
          <w:b/>
          <w:sz w:val="24"/>
          <w:szCs w:val="24"/>
          <w:lang w:val="ka-GE"/>
        </w:rPr>
        <w:t>:</w:t>
      </w:r>
      <w:r w:rsidRPr="002B3758">
        <w:rPr>
          <w:rFonts w:ascii="Sylfaen" w:hAnsi="Sylfaen"/>
          <w:sz w:val="24"/>
          <w:szCs w:val="24"/>
          <w:lang w:val="ka-GE"/>
        </w:rPr>
        <w:t xml:space="preserve"> </w:t>
      </w:r>
      <w:r w:rsidR="002F7E99" w:rsidRPr="002B3758">
        <w:rPr>
          <w:rFonts w:ascii="Sylfaen" w:hAnsi="Sylfaen" w:cs="Sylfaen"/>
          <w:sz w:val="24"/>
          <w:szCs w:val="24"/>
          <w:lang w:val="ka-GE"/>
        </w:rPr>
        <w:t>მანანა ლომთათიძე</w:t>
      </w:r>
      <w:r w:rsidRPr="002B3758">
        <w:rPr>
          <w:rFonts w:ascii="Sylfaen" w:hAnsi="Sylfaen" w:cs="Sylfaen"/>
          <w:sz w:val="24"/>
          <w:szCs w:val="24"/>
          <w:lang w:val="ka-GE"/>
        </w:rPr>
        <w:t xml:space="preserve"> </w:t>
      </w:r>
    </w:p>
    <w:p w14:paraId="0C9BBC09" w14:textId="0AAE107E" w:rsidR="001202B5" w:rsidRPr="002B3758" w:rsidRDefault="001202B5" w:rsidP="00A37045">
      <w:pPr>
        <w:spacing w:line="276" w:lineRule="auto"/>
        <w:ind w:firstLine="284"/>
        <w:jc w:val="both"/>
        <w:rPr>
          <w:rFonts w:ascii="Sylfaen" w:hAnsi="Sylfaen"/>
          <w:sz w:val="24"/>
          <w:szCs w:val="24"/>
          <w:lang w:val="ka-GE"/>
        </w:rPr>
      </w:pPr>
      <w:r w:rsidRPr="002B3758">
        <w:rPr>
          <w:rFonts w:ascii="Sylfaen" w:hAnsi="Sylfaen" w:cs="Sylfaen"/>
          <w:b/>
          <w:sz w:val="24"/>
          <w:szCs w:val="24"/>
          <w:lang w:val="ka-GE"/>
        </w:rPr>
        <w:t>საქმის</w:t>
      </w:r>
      <w:r w:rsidRPr="002B3758">
        <w:rPr>
          <w:rFonts w:ascii="Sylfaen" w:hAnsi="Sylfaen"/>
          <w:b/>
          <w:sz w:val="24"/>
          <w:szCs w:val="24"/>
          <w:lang w:val="ka-GE"/>
        </w:rPr>
        <w:t xml:space="preserve"> </w:t>
      </w:r>
      <w:r w:rsidRPr="002B3758">
        <w:rPr>
          <w:rFonts w:ascii="Sylfaen" w:hAnsi="Sylfaen" w:cs="Sylfaen"/>
          <w:b/>
          <w:sz w:val="24"/>
          <w:szCs w:val="24"/>
          <w:lang w:val="ka-GE"/>
        </w:rPr>
        <w:t>დასახელება</w:t>
      </w:r>
      <w:r w:rsidRPr="002B3758">
        <w:rPr>
          <w:rFonts w:ascii="Sylfaen" w:hAnsi="Sylfaen"/>
          <w:b/>
          <w:sz w:val="24"/>
          <w:szCs w:val="24"/>
          <w:lang w:val="ka-GE"/>
        </w:rPr>
        <w:t>:</w:t>
      </w:r>
      <w:r w:rsidRPr="002B3758">
        <w:rPr>
          <w:rFonts w:ascii="Sylfaen" w:hAnsi="Sylfaen"/>
          <w:sz w:val="24"/>
          <w:szCs w:val="24"/>
          <w:lang w:val="ka-GE"/>
        </w:rPr>
        <w:t xml:space="preserve"> </w:t>
      </w:r>
      <w:bookmarkStart w:id="0" w:name="_Hlk58366281"/>
      <w:r w:rsidR="004225DD" w:rsidRPr="002B3758">
        <w:rPr>
          <w:rFonts w:ascii="Sylfaen" w:hAnsi="Sylfaen"/>
          <w:sz w:val="24"/>
          <w:szCs w:val="24"/>
          <w:lang w:val="ka-GE"/>
        </w:rPr>
        <w:t>დურმიშხან შაინიძე საქართველოს პარლამენტის წინააღმდეგ.</w:t>
      </w:r>
      <w:r w:rsidR="002F7E99" w:rsidRPr="002B3758">
        <w:rPr>
          <w:rFonts w:ascii="Sylfaen" w:hAnsi="Sylfaen"/>
          <w:sz w:val="24"/>
          <w:szCs w:val="24"/>
          <w:lang w:val="ka-GE"/>
        </w:rPr>
        <w:t xml:space="preserve"> </w:t>
      </w:r>
    </w:p>
    <w:bookmarkEnd w:id="0"/>
    <w:p w14:paraId="4E7DC25B" w14:textId="15D5E253" w:rsidR="001E44A4" w:rsidRPr="002B3758" w:rsidRDefault="001202B5" w:rsidP="00A37045">
      <w:pPr>
        <w:spacing w:after="100" w:afterAutospacing="1" w:line="276" w:lineRule="auto"/>
        <w:ind w:firstLine="284"/>
        <w:jc w:val="both"/>
        <w:rPr>
          <w:rFonts w:ascii="Sylfaen" w:hAnsi="Sylfaen"/>
          <w:sz w:val="24"/>
          <w:szCs w:val="24"/>
          <w:lang w:val="ka-GE"/>
        </w:rPr>
      </w:pPr>
      <w:r w:rsidRPr="002B3758">
        <w:rPr>
          <w:rFonts w:ascii="Sylfaen" w:hAnsi="Sylfaen" w:cs="Sylfaen"/>
          <w:b/>
          <w:sz w:val="24"/>
          <w:szCs w:val="24"/>
          <w:lang w:val="ka-GE"/>
        </w:rPr>
        <w:t>დავის</w:t>
      </w:r>
      <w:r w:rsidRPr="002B3758">
        <w:rPr>
          <w:rFonts w:ascii="Sylfaen" w:hAnsi="Sylfaen"/>
          <w:b/>
          <w:sz w:val="24"/>
          <w:szCs w:val="24"/>
          <w:lang w:val="ka-GE"/>
        </w:rPr>
        <w:t xml:space="preserve"> </w:t>
      </w:r>
      <w:r w:rsidRPr="002B3758">
        <w:rPr>
          <w:rFonts w:ascii="Sylfaen" w:hAnsi="Sylfaen" w:cs="Sylfaen"/>
          <w:b/>
          <w:sz w:val="24"/>
          <w:szCs w:val="24"/>
          <w:lang w:val="ka-GE"/>
        </w:rPr>
        <w:t>საგანი</w:t>
      </w:r>
      <w:r w:rsidRPr="002B3758">
        <w:rPr>
          <w:rFonts w:ascii="Sylfaen" w:hAnsi="Sylfaen"/>
          <w:b/>
          <w:sz w:val="24"/>
          <w:szCs w:val="24"/>
          <w:lang w:val="ka-GE"/>
        </w:rPr>
        <w:t>:</w:t>
      </w:r>
      <w:r w:rsidR="00666841" w:rsidRPr="002B3758">
        <w:rPr>
          <w:rFonts w:ascii="Sylfaen" w:hAnsi="Sylfaen"/>
          <w:sz w:val="24"/>
          <w:szCs w:val="24"/>
          <w:lang w:val="ka-GE"/>
        </w:rPr>
        <w:t xml:space="preserve"> </w:t>
      </w:r>
      <w:r w:rsidR="004225DD" w:rsidRPr="002B3758">
        <w:rPr>
          <w:rFonts w:ascii="Sylfaen" w:hAnsi="Sylfaen"/>
          <w:sz w:val="24"/>
          <w:szCs w:val="24"/>
          <w:lang w:val="ka-GE"/>
        </w:rPr>
        <w:t>საქართველოს ადმინისტრაციულ სამართალდარღვევათა კოდექსის 121-ე მუხლის პირველი ნაწილის კონსტიტუციურობა საქართველოს კონსტიტუციის მე-4 მუხლის მე-2 პუნქტთან, მე-5 მუხლის მე-4 პუნქტთან, მე-11 მუხლის პირველ პუნქტთან, მე-12 მუხლთან, მე-14 მუხლის პირველ პუნქტთან, მე-19 მუხლის პირველ და მე-2 პუნქტებთან და 34-ე მუხლის მე-2 და მე-3 პუნქტებთან მიმართებით</w:t>
      </w:r>
      <w:r w:rsidR="00C904C1" w:rsidRPr="002B3758">
        <w:rPr>
          <w:rFonts w:ascii="Sylfaen" w:hAnsi="Sylfaen"/>
          <w:sz w:val="24"/>
          <w:szCs w:val="24"/>
          <w:lang w:val="ka-GE"/>
        </w:rPr>
        <w:t>.</w:t>
      </w:r>
    </w:p>
    <w:p w14:paraId="6182C86D" w14:textId="77777777" w:rsidR="001202B5" w:rsidRPr="002B3758" w:rsidRDefault="001202B5" w:rsidP="00A37045">
      <w:pPr>
        <w:pStyle w:val="Heading1"/>
        <w:spacing w:before="0" w:after="100" w:afterAutospacing="1"/>
        <w:jc w:val="center"/>
        <w:rPr>
          <w:rFonts w:ascii="Sylfaen" w:hAnsi="Sylfaen"/>
          <w:b/>
          <w:color w:val="auto"/>
          <w:sz w:val="24"/>
          <w:szCs w:val="24"/>
          <w:lang w:val="ka-GE"/>
        </w:rPr>
      </w:pPr>
      <w:r w:rsidRPr="002B3758">
        <w:rPr>
          <w:rFonts w:ascii="Sylfaen" w:hAnsi="Sylfaen"/>
          <w:b/>
          <w:color w:val="auto"/>
          <w:sz w:val="24"/>
          <w:szCs w:val="24"/>
          <w:lang w:val="ka-GE"/>
        </w:rPr>
        <w:lastRenderedPageBreak/>
        <w:t>I</w:t>
      </w:r>
      <w:r w:rsidRPr="002B3758">
        <w:rPr>
          <w:rFonts w:ascii="Sylfaen" w:hAnsi="Sylfaen"/>
          <w:b/>
          <w:color w:val="auto"/>
          <w:sz w:val="24"/>
          <w:szCs w:val="24"/>
          <w:lang w:val="ka-GE"/>
        </w:rPr>
        <w:br/>
      </w:r>
      <w:r w:rsidRPr="002B3758">
        <w:rPr>
          <w:rFonts w:ascii="Sylfaen" w:eastAsia="Calibri" w:hAnsi="Sylfaen" w:cs="Sylfaen"/>
          <w:b/>
          <w:color w:val="auto"/>
          <w:sz w:val="24"/>
          <w:szCs w:val="24"/>
          <w:lang w:val="ka-GE"/>
        </w:rPr>
        <w:t>აღწერილობითი</w:t>
      </w:r>
      <w:r w:rsidRPr="002B3758">
        <w:rPr>
          <w:rFonts w:ascii="Sylfaen" w:eastAsia="Calibri" w:hAnsi="Sylfaen"/>
          <w:b/>
          <w:color w:val="auto"/>
          <w:sz w:val="24"/>
          <w:szCs w:val="24"/>
          <w:lang w:val="ka-GE"/>
        </w:rPr>
        <w:t xml:space="preserve"> </w:t>
      </w:r>
      <w:r w:rsidRPr="002B3758">
        <w:rPr>
          <w:rFonts w:ascii="Sylfaen" w:eastAsia="Calibri" w:hAnsi="Sylfaen" w:cs="Sylfaen"/>
          <w:b/>
          <w:color w:val="auto"/>
          <w:sz w:val="24"/>
          <w:szCs w:val="24"/>
          <w:lang w:val="ka-GE"/>
        </w:rPr>
        <w:t>ნაწილი</w:t>
      </w:r>
    </w:p>
    <w:p w14:paraId="714FFA0D" w14:textId="710C0E90" w:rsidR="001202B5" w:rsidRPr="002B3758" w:rsidRDefault="001202B5" w:rsidP="00A37045">
      <w:pPr>
        <w:pStyle w:val="ListParagraph1"/>
        <w:numPr>
          <w:ilvl w:val="0"/>
          <w:numId w:val="1"/>
        </w:numPr>
        <w:spacing w:after="0"/>
        <w:ind w:left="0" w:firstLine="284"/>
        <w:jc w:val="both"/>
        <w:rPr>
          <w:rFonts w:ascii="Sylfaen" w:hAnsi="Sylfaen" w:cs="AcadNusx"/>
          <w:bCs/>
          <w:sz w:val="24"/>
          <w:szCs w:val="24"/>
          <w:lang w:val="ka-GE"/>
        </w:rPr>
      </w:pPr>
      <w:r w:rsidRPr="002B3758">
        <w:rPr>
          <w:rFonts w:ascii="Sylfaen" w:eastAsia="Calibri" w:hAnsi="Sylfaen"/>
          <w:sz w:val="24"/>
          <w:szCs w:val="24"/>
          <w:lang w:val="ka-GE"/>
        </w:rPr>
        <w:t>საქართველოს საკონსტიტუციო სასამართლოს 202</w:t>
      </w:r>
      <w:r w:rsidR="004E287B" w:rsidRPr="002B3758">
        <w:rPr>
          <w:rFonts w:ascii="Sylfaen" w:eastAsia="Calibri" w:hAnsi="Sylfaen"/>
          <w:sz w:val="24"/>
          <w:szCs w:val="24"/>
          <w:lang w:val="ka-GE"/>
        </w:rPr>
        <w:t>2</w:t>
      </w:r>
      <w:r w:rsidRPr="002B3758">
        <w:rPr>
          <w:rFonts w:ascii="Sylfaen" w:eastAsia="Calibri" w:hAnsi="Sylfaen"/>
          <w:sz w:val="24"/>
          <w:szCs w:val="24"/>
          <w:lang w:val="ka-GE"/>
        </w:rPr>
        <w:t xml:space="preserve"> წლის </w:t>
      </w:r>
      <w:r w:rsidR="004E287B" w:rsidRPr="002B3758">
        <w:rPr>
          <w:rFonts w:ascii="Sylfaen" w:eastAsia="Calibri" w:hAnsi="Sylfaen"/>
          <w:sz w:val="24"/>
          <w:szCs w:val="24"/>
          <w:lang w:val="ka-GE"/>
        </w:rPr>
        <w:t>28</w:t>
      </w:r>
      <w:r w:rsidR="00A845A0" w:rsidRPr="002B3758">
        <w:rPr>
          <w:rFonts w:ascii="Sylfaen" w:eastAsia="Calibri" w:hAnsi="Sylfaen"/>
          <w:sz w:val="24"/>
          <w:szCs w:val="24"/>
          <w:lang w:val="ka-GE"/>
        </w:rPr>
        <w:t xml:space="preserve"> </w:t>
      </w:r>
      <w:r w:rsidR="004E287B" w:rsidRPr="002B3758">
        <w:rPr>
          <w:rFonts w:ascii="Sylfaen" w:eastAsia="Calibri" w:hAnsi="Sylfaen"/>
          <w:sz w:val="24"/>
          <w:szCs w:val="24"/>
          <w:lang w:val="ka-GE"/>
        </w:rPr>
        <w:t>ივნისს</w:t>
      </w:r>
      <w:r w:rsidR="00C461E7" w:rsidRPr="002B3758">
        <w:rPr>
          <w:rFonts w:ascii="Sylfaen" w:eastAsia="Calibri" w:hAnsi="Sylfaen"/>
          <w:sz w:val="24"/>
          <w:szCs w:val="24"/>
          <w:lang w:val="ka-GE"/>
        </w:rPr>
        <w:t xml:space="preserve"> </w:t>
      </w:r>
      <w:r w:rsidRPr="002B3758">
        <w:rPr>
          <w:rFonts w:ascii="Sylfaen" w:eastAsia="Calibri" w:hAnsi="Sylfaen"/>
          <w:sz w:val="24"/>
          <w:szCs w:val="24"/>
          <w:lang w:val="ka-GE"/>
        </w:rPr>
        <w:t>კონსტიტუციური სარჩელით (რეგისტრაციის №1</w:t>
      </w:r>
      <w:r w:rsidR="004E287B" w:rsidRPr="002B3758">
        <w:rPr>
          <w:rFonts w:ascii="Sylfaen" w:eastAsia="Calibri" w:hAnsi="Sylfaen"/>
          <w:sz w:val="24"/>
          <w:szCs w:val="24"/>
          <w:lang w:val="ka-GE"/>
        </w:rPr>
        <w:t>713</w:t>
      </w:r>
      <w:r w:rsidRPr="002B3758">
        <w:rPr>
          <w:rFonts w:ascii="Sylfaen" w:eastAsia="Calibri" w:hAnsi="Sylfaen"/>
          <w:sz w:val="24"/>
          <w:szCs w:val="24"/>
          <w:lang w:val="ka-GE"/>
        </w:rPr>
        <w:t xml:space="preserve">) მომართა </w:t>
      </w:r>
      <w:r w:rsidR="004E287B" w:rsidRPr="002B3758">
        <w:rPr>
          <w:rFonts w:ascii="Sylfaen" w:eastAsia="Calibri" w:hAnsi="Sylfaen"/>
          <w:sz w:val="24"/>
          <w:szCs w:val="24"/>
          <w:lang w:val="ka-GE"/>
        </w:rPr>
        <w:t>დურმიშხან შაინიძემ.</w:t>
      </w:r>
      <w:r w:rsidRPr="002B3758">
        <w:rPr>
          <w:rFonts w:ascii="Sylfaen" w:hAnsi="Sylfaen" w:cs="AcadNusx"/>
          <w:bCs/>
          <w:sz w:val="24"/>
          <w:szCs w:val="24"/>
          <w:lang w:val="ka-GE"/>
        </w:rPr>
        <w:t xml:space="preserve"> №1</w:t>
      </w:r>
      <w:r w:rsidR="004E287B" w:rsidRPr="002B3758">
        <w:rPr>
          <w:rFonts w:ascii="Sylfaen" w:hAnsi="Sylfaen" w:cs="AcadNusx"/>
          <w:bCs/>
          <w:sz w:val="24"/>
          <w:szCs w:val="24"/>
          <w:lang w:val="ka-GE"/>
        </w:rPr>
        <w:t>713</w:t>
      </w:r>
      <w:r w:rsidRPr="002B3758">
        <w:rPr>
          <w:rFonts w:ascii="Sylfaen" w:hAnsi="Sylfaen" w:cs="AcadNusx"/>
          <w:bCs/>
          <w:sz w:val="24"/>
          <w:szCs w:val="24"/>
          <w:lang w:val="ka-GE"/>
        </w:rPr>
        <w:t xml:space="preserve"> კონსტიტუციური სარჩელი</w:t>
      </w:r>
      <w:r w:rsidR="00C461E7" w:rsidRPr="002B3758">
        <w:rPr>
          <w:rFonts w:ascii="Sylfaen" w:hAnsi="Sylfaen" w:cs="AcadNusx"/>
          <w:bCs/>
          <w:sz w:val="24"/>
          <w:szCs w:val="24"/>
          <w:lang w:val="ka-GE"/>
        </w:rPr>
        <w:t>,</w:t>
      </w:r>
      <w:r w:rsidRPr="002B3758">
        <w:rPr>
          <w:rFonts w:ascii="Sylfaen" w:hAnsi="Sylfaen" w:cs="AcadNusx"/>
          <w:bCs/>
          <w:sz w:val="24"/>
          <w:szCs w:val="24"/>
          <w:lang w:val="ka-GE"/>
        </w:rPr>
        <w:t xml:space="preserve"> საქართველოს </w:t>
      </w:r>
      <w:r w:rsidRPr="002B3758">
        <w:rPr>
          <w:rFonts w:ascii="Sylfaen" w:hAnsi="Sylfaen" w:cs="Sylfaen"/>
          <w:sz w:val="24"/>
          <w:szCs w:val="24"/>
          <w:lang w:val="ka-GE"/>
        </w:rPr>
        <w:t>საკონსტიტუციო</w:t>
      </w:r>
      <w:r w:rsidRPr="002B3758">
        <w:rPr>
          <w:rFonts w:ascii="Sylfaen" w:hAnsi="Sylfaen" w:cs="Calibri"/>
          <w:sz w:val="24"/>
          <w:szCs w:val="24"/>
          <w:lang w:val="ka-GE"/>
        </w:rPr>
        <w:t xml:space="preserve"> </w:t>
      </w:r>
      <w:r w:rsidRPr="002B3758">
        <w:rPr>
          <w:rFonts w:ascii="Sylfaen" w:hAnsi="Sylfaen" w:cs="Sylfaen"/>
          <w:sz w:val="24"/>
          <w:szCs w:val="24"/>
          <w:lang w:val="ka-GE"/>
        </w:rPr>
        <w:t>სასამართლოს</w:t>
      </w:r>
      <w:r w:rsidRPr="002B3758">
        <w:rPr>
          <w:rFonts w:ascii="Sylfaen" w:hAnsi="Sylfaen" w:cs="Calibri"/>
          <w:sz w:val="24"/>
          <w:szCs w:val="24"/>
          <w:lang w:val="ka-GE"/>
        </w:rPr>
        <w:t xml:space="preserve"> </w:t>
      </w:r>
      <w:r w:rsidR="009B5BBA" w:rsidRPr="002B3758">
        <w:rPr>
          <w:rFonts w:ascii="Sylfaen" w:hAnsi="Sylfaen" w:cs="Sylfaen"/>
          <w:sz w:val="24"/>
          <w:szCs w:val="24"/>
          <w:lang w:val="ka-GE"/>
        </w:rPr>
        <w:t>პირველ</w:t>
      </w:r>
      <w:r w:rsidRPr="002B3758">
        <w:rPr>
          <w:rFonts w:ascii="Sylfaen" w:hAnsi="Sylfaen" w:cs="Calibri"/>
          <w:sz w:val="24"/>
          <w:szCs w:val="24"/>
          <w:lang w:val="ka-GE"/>
        </w:rPr>
        <w:t xml:space="preserve"> </w:t>
      </w:r>
      <w:r w:rsidRPr="002B3758">
        <w:rPr>
          <w:rFonts w:ascii="Sylfaen" w:hAnsi="Sylfaen" w:cs="Sylfaen"/>
          <w:sz w:val="24"/>
          <w:szCs w:val="24"/>
          <w:lang w:val="ka-GE"/>
        </w:rPr>
        <w:t>კოლეგიას,</w:t>
      </w:r>
      <w:r w:rsidRPr="002B3758">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2B3758">
        <w:rPr>
          <w:rFonts w:ascii="Sylfaen" w:hAnsi="Sylfaen" w:cs="Sylfaen"/>
          <w:sz w:val="24"/>
          <w:szCs w:val="24"/>
          <w:lang w:val="ka-GE"/>
        </w:rPr>
        <w:t>გადმოეცა</w:t>
      </w:r>
      <w:r w:rsidRPr="002B3758">
        <w:rPr>
          <w:rFonts w:ascii="Sylfaen" w:hAnsi="Sylfaen" w:cs="Calibri"/>
          <w:sz w:val="24"/>
          <w:szCs w:val="24"/>
          <w:lang w:val="ka-GE"/>
        </w:rPr>
        <w:t xml:space="preserve"> 202</w:t>
      </w:r>
      <w:r w:rsidR="00AE3013" w:rsidRPr="002B3758">
        <w:rPr>
          <w:rFonts w:ascii="Sylfaen" w:hAnsi="Sylfaen" w:cs="Calibri"/>
          <w:sz w:val="24"/>
          <w:szCs w:val="24"/>
          <w:lang w:val="ka-GE"/>
        </w:rPr>
        <w:t>2</w:t>
      </w:r>
      <w:r w:rsidRPr="002B3758">
        <w:rPr>
          <w:rFonts w:ascii="Sylfaen" w:hAnsi="Sylfaen" w:cs="Calibri"/>
          <w:sz w:val="24"/>
          <w:szCs w:val="24"/>
          <w:lang w:val="ka-GE"/>
        </w:rPr>
        <w:t xml:space="preserve"> წლის </w:t>
      </w:r>
      <w:r w:rsidR="00AE3013" w:rsidRPr="002B3758">
        <w:rPr>
          <w:rFonts w:ascii="Sylfaen" w:hAnsi="Sylfaen" w:cs="Calibri"/>
          <w:sz w:val="24"/>
          <w:szCs w:val="24"/>
          <w:lang w:val="ka-GE"/>
        </w:rPr>
        <w:t>30</w:t>
      </w:r>
      <w:r w:rsidR="00A845A0" w:rsidRPr="002B3758">
        <w:rPr>
          <w:rFonts w:ascii="Sylfaen" w:hAnsi="Sylfaen" w:cs="Calibri"/>
          <w:sz w:val="24"/>
          <w:szCs w:val="24"/>
          <w:lang w:val="ka-GE"/>
        </w:rPr>
        <w:t xml:space="preserve"> </w:t>
      </w:r>
      <w:r w:rsidR="00AE3013" w:rsidRPr="002B3758">
        <w:rPr>
          <w:rFonts w:ascii="Sylfaen" w:hAnsi="Sylfaen" w:cs="Calibri"/>
          <w:sz w:val="24"/>
          <w:szCs w:val="24"/>
          <w:lang w:val="ka-GE"/>
        </w:rPr>
        <w:t>ივნისს.</w:t>
      </w:r>
      <w:r w:rsidR="008A0B8A" w:rsidRPr="002B3758">
        <w:rPr>
          <w:rFonts w:ascii="Sylfaen" w:hAnsi="Sylfaen" w:cs="Calibri"/>
          <w:sz w:val="24"/>
          <w:szCs w:val="24"/>
          <w:lang w:val="ka-GE"/>
        </w:rPr>
        <w:t xml:space="preserve"> </w:t>
      </w:r>
      <w:r w:rsidRPr="002B3758">
        <w:rPr>
          <w:rFonts w:ascii="Sylfaen" w:hAnsi="Sylfaen" w:cs="Calibri"/>
          <w:sz w:val="24"/>
          <w:szCs w:val="24"/>
          <w:lang w:val="ka-GE"/>
        </w:rPr>
        <w:t>საქართველოს საკონსტიტუციო სასამართლოს</w:t>
      </w:r>
      <w:r w:rsidR="00FE55B0">
        <w:rPr>
          <w:rFonts w:ascii="Sylfaen" w:hAnsi="Sylfaen" w:cs="Calibri"/>
          <w:sz w:val="24"/>
          <w:szCs w:val="24"/>
          <w:lang w:val="ka-GE"/>
        </w:rPr>
        <w:t xml:space="preserve"> პირველი კოლეგიის</w:t>
      </w:r>
      <w:r w:rsidRPr="002B3758">
        <w:rPr>
          <w:rFonts w:ascii="Sylfaen" w:hAnsi="Sylfaen" w:cs="Calibri"/>
          <w:sz w:val="24"/>
          <w:szCs w:val="24"/>
          <w:lang w:val="ka-GE"/>
        </w:rPr>
        <w:t xml:space="preserve"> </w:t>
      </w:r>
      <w:proofErr w:type="spellStart"/>
      <w:r w:rsidRPr="002B3758">
        <w:rPr>
          <w:rFonts w:ascii="Sylfaen" w:hAnsi="Sylfaen" w:cs="Calibri"/>
          <w:sz w:val="24"/>
          <w:szCs w:val="24"/>
          <w:lang w:val="ka-GE"/>
        </w:rPr>
        <w:t>განმწესრიგებელი</w:t>
      </w:r>
      <w:proofErr w:type="spellEnd"/>
      <w:r w:rsidRPr="002B3758">
        <w:rPr>
          <w:rFonts w:ascii="Sylfaen" w:hAnsi="Sylfaen" w:cs="Calibri"/>
          <w:sz w:val="24"/>
          <w:szCs w:val="24"/>
          <w:lang w:val="ka-GE"/>
        </w:rPr>
        <w:t xml:space="preserve"> სხდომა, ზეპირი მოსმენის გარეშე, გაიმართა 202</w:t>
      </w:r>
      <w:r w:rsidR="006A4A68" w:rsidRPr="002B3758">
        <w:rPr>
          <w:rFonts w:ascii="Sylfaen" w:hAnsi="Sylfaen" w:cs="Calibri"/>
          <w:sz w:val="24"/>
          <w:szCs w:val="24"/>
          <w:lang w:val="ka-GE"/>
        </w:rPr>
        <w:t>3</w:t>
      </w:r>
      <w:r w:rsidRPr="002B3758">
        <w:rPr>
          <w:rFonts w:ascii="Sylfaen" w:hAnsi="Sylfaen" w:cs="Calibri"/>
          <w:sz w:val="24"/>
          <w:szCs w:val="24"/>
          <w:lang w:val="ka-GE"/>
        </w:rPr>
        <w:t xml:space="preserve"> წლის </w:t>
      </w:r>
      <w:r w:rsidR="00FA674A">
        <w:rPr>
          <w:rFonts w:ascii="Sylfaen" w:hAnsi="Sylfaen" w:cs="Calibri"/>
          <w:sz w:val="24"/>
          <w:szCs w:val="24"/>
          <w:lang w:val="ka-GE"/>
        </w:rPr>
        <w:t>22</w:t>
      </w:r>
      <w:r w:rsidRPr="002B3758">
        <w:rPr>
          <w:rFonts w:ascii="Sylfaen" w:hAnsi="Sylfaen" w:cs="Calibri"/>
          <w:sz w:val="24"/>
          <w:szCs w:val="24"/>
          <w:lang w:val="ka-GE"/>
        </w:rPr>
        <w:t xml:space="preserve"> </w:t>
      </w:r>
      <w:r w:rsidR="006A4A68" w:rsidRPr="002B3758">
        <w:rPr>
          <w:rFonts w:ascii="Sylfaen" w:hAnsi="Sylfaen" w:cs="Calibri"/>
          <w:sz w:val="24"/>
          <w:szCs w:val="24"/>
          <w:lang w:val="ka-GE"/>
        </w:rPr>
        <w:t>თებერვალს.</w:t>
      </w:r>
      <w:r w:rsidRPr="002B3758">
        <w:rPr>
          <w:rFonts w:ascii="Sylfaen" w:hAnsi="Sylfaen" w:cs="Calibri"/>
          <w:sz w:val="24"/>
          <w:szCs w:val="24"/>
          <w:lang w:val="ka-GE"/>
        </w:rPr>
        <w:t xml:space="preserve"> </w:t>
      </w:r>
    </w:p>
    <w:p w14:paraId="15C7CCC8" w14:textId="65375D5F" w:rsidR="00960704" w:rsidRPr="002B3758" w:rsidRDefault="001202B5" w:rsidP="00A37045">
      <w:pPr>
        <w:pStyle w:val="ListParagraph1"/>
        <w:numPr>
          <w:ilvl w:val="0"/>
          <w:numId w:val="1"/>
        </w:numPr>
        <w:spacing w:after="0"/>
        <w:ind w:left="0" w:firstLine="284"/>
        <w:jc w:val="both"/>
        <w:rPr>
          <w:rFonts w:ascii="Sylfaen" w:hAnsi="Sylfaen" w:cs="AcadNusx"/>
          <w:bCs/>
          <w:sz w:val="24"/>
          <w:szCs w:val="24"/>
          <w:lang w:val="ka-GE"/>
        </w:rPr>
      </w:pPr>
      <w:r w:rsidRPr="002B3758">
        <w:rPr>
          <w:rFonts w:ascii="Sylfaen" w:eastAsia="Calibri" w:hAnsi="Sylfaen"/>
          <w:sz w:val="24"/>
          <w:szCs w:val="24"/>
          <w:lang w:val="ka-GE"/>
        </w:rPr>
        <w:t>№1</w:t>
      </w:r>
      <w:r w:rsidR="00AE3013" w:rsidRPr="002B3758">
        <w:rPr>
          <w:rFonts w:ascii="Sylfaen" w:eastAsia="Calibri" w:hAnsi="Sylfaen"/>
          <w:sz w:val="24"/>
          <w:szCs w:val="24"/>
          <w:lang w:val="ka-GE"/>
        </w:rPr>
        <w:t>713</w:t>
      </w:r>
      <w:r w:rsidRPr="002B3758">
        <w:rPr>
          <w:rFonts w:ascii="Sylfaen" w:eastAsia="Calibri" w:hAnsi="Sylfaen"/>
          <w:sz w:val="24"/>
          <w:szCs w:val="24"/>
          <w:lang w:val="ka-GE"/>
        </w:rPr>
        <w:t xml:space="preserve">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Pr="002B3758">
        <w:rPr>
          <w:rFonts w:ascii="Sylfaen" w:hAnsi="Sylfaen" w:cs="AcadNusx"/>
          <w:bCs/>
          <w:sz w:val="24"/>
          <w:szCs w:val="24"/>
          <w:lang w:val="ka-GE"/>
        </w:rPr>
        <w:t xml:space="preserve"> საქართველოს კონსტიტუციის 31-ე მუხლის პირვე</w:t>
      </w:r>
      <w:r w:rsidR="00AE3013" w:rsidRPr="002B3758">
        <w:rPr>
          <w:rFonts w:ascii="Sylfaen" w:hAnsi="Sylfaen" w:cs="AcadNusx"/>
          <w:bCs/>
          <w:sz w:val="24"/>
          <w:szCs w:val="24"/>
          <w:lang w:val="ka-GE"/>
        </w:rPr>
        <w:t>ლი პუნქტი და მე-60 მუხლის მე-4</w:t>
      </w:r>
      <w:r w:rsidRPr="002B3758">
        <w:rPr>
          <w:rFonts w:ascii="Sylfaen" w:hAnsi="Sylfaen" w:cs="AcadNusx"/>
          <w:bCs/>
          <w:sz w:val="24"/>
          <w:szCs w:val="24"/>
          <w:lang w:val="ka-GE"/>
        </w:rPr>
        <w:t xml:space="preserve">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2B3758">
        <w:rPr>
          <w:rFonts w:ascii="Sylfaen" w:hAnsi="Sylfaen" w:cs="AcadNusx"/>
          <w:bCs/>
          <w:sz w:val="24"/>
          <w:szCs w:val="24"/>
          <w:vertAlign w:val="superscript"/>
          <w:lang w:val="ka-GE"/>
        </w:rPr>
        <w:t>1</w:t>
      </w:r>
      <w:r w:rsidRPr="002B3758">
        <w:rPr>
          <w:rFonts w:ascii="Sylfaen" w:hAnsi="Sylfaen" w:cs="AcadNusx"/>
          <w:bCs/>
          <w:sz w:val="24"/>
          <w:szCs w:val="24"/>
          <w:lang w:val="ka-GE"/>
        </w:rPr>
        <w:t xml:space="preserve"> მუხლები</w:t>
      </w:r>
      <w:r w:rsidR="0007576C" w:rsidRPr="002B3758">
        <w:rPr>
          <w:rFonts w:ascii="Sylfaen" w:hAnsi="Sylfaen" w:cs="AcadNusx"/>
          <w:bCs/>
          <w:sz w:val="24"/>
          <w:szCs w:val="24"/>
          <w:lang w:val="ka-GE"/>
        </w:rPr>
        <w:t xml:space="preserve"> და</w:t>
      </w:r>
      <w:r w:rsidR="0065014D" w:rsidRPr="002B3758">
        <w:rPr>
          <w:rFonts w:ascii="Sylfaen" w:hAnsi="Sylfaen" w:cs="AcadNusx"/>
          <w:bCs/>
          <w:sz w:val="24"/>
          <w:szCs w:val="24"/>
          <w:lang w:val="ka-GE"/>
        </w:rPr>
        <w:t xml:space="preserve"> </w:t>
      </w:r>
      <w:r w:rsidR="0007576C" w:rsidRPr="002B3758">
        <w:rPr>
          <w:rFonts w:ascii="Sylfaen" w:hAnsi="Sylfaen" w:cs="AcadNusx"/>
          <w:bCs/>
          <w:sz w:val="24"/>
          <w:szCs w:val="24"/>
          <w:lang w:val="ka-GE"/>
        </w:rPr>
        <w:t>39-ე მუხლი</w:t>
      </w:r>
      <w:r w:rsidR="00A845A0" w:rsidRPr="002B3758">
        <w:rPr>
          <w:rFonts w:ascii="Sylfaen" w:hAnsi="Sylfaen" w:cs="AcadNusx"/>
          <w:bCs/>
          <w:sz w:val="24"/>
          <w:szCs w:val="24"/>
          <w:lang w:val="ka-GE"/>
        </w:rPr>
        <w:t xml:space="preserve">ს პირველი პუნქტის „ა“ ქვეპუნქტი. </w:t>
      </w:r>
    </w:p>
    <w:p w14:paraId="2E9B58CD" w14:textId="4C705565" w:rsidR="007823B2" w:rsidRPr="002B3758" w:rsidRDefault="009E5DF5" w:rsidP="00A37045">
      <w:pPr>
        <w:pStyle w:val="ListParagraph1"/>
        <w:numPr>
          <w:ilvl w:val="0"/>
          <w:numId w:val="1"/>
        </w:numPr>
        <w:spacing w:after="0"/>
        <w:ind w:left="0" w:firstLine="284"/>
        <w:jc w:val="both"/>
        <w:rPr>
          <w:rFonts w:ascii="Sylfaen" w:hAnsi="Sylfaen" w:cs="AcadNusx"/>
          <w:bCs/>
          <w:sz w:val="24"/>
          <w:szCs w:val="24"/>
          <w:lang w:val="ka-GE"/>
        </w:rPr>
      </w:pPr>
      <w:r w:rsidRPr="002B3758">
        <w:rPr>
          <w:rFonts w:ascii="Sylfaen" w:hAnsi="Sylfaen" w:cs="AcadNusx"/>
          <w:bCs/>
          <w:sz w:val="24"/>
          <w:szCs w:val="24"/>
          <w:lang w:val="ka-GE"/>
        </w:rPr>
        <w:t>საქართველოს ადმინისტრაციულ სამართალდარღვევათა კოდექ</w:t>
      </w:r>
      <w:r w:rsidR="007823B2" w:rsidRPr="002B3758">
        <w:rPr>
          <w:rFonts w:ascii="Sylfaen" w:hAnsi="Sylfaen" w:cs="AcadNusx"/>
          <w:bCs/>
          <w:sz w:val="24"/>
          <w:szCs w:val="24"/>
          <w:lang w:val="ka-GE"/>
        </w:rPr>
        <w:t xml:space="preserve">სის 121-ე მუხლის პირველი ნაწილით დადგენილია, რომ სატრანსპორტო საშუალების მართვა პირის მიერ, რომელსაც არ აქვს სატრანსპორტო საშუალების მართვის უფლება ან ეს უფლება შეჩერებული აქვს სხვა დარღვევისათვის, – გამოიწვევს სატრანსპორტო საშუალების ექსპლუატაციის განმახორციელებელი პირის დაჯარიმებას 500 ლარის ოდენობით. </w:t>
      </w:r>
    </w:p>
    <w:p w14:paraId="17EC492C" w14:textId="365BBA17" w:rsidR="009B6A0D" w:rsidRPr="002B3758" w:rsidRDefault="007823B2" w:rsidP="00A37045">
      <w:pPr>
        <w:pStyle w:val="ListParagraph1"/>
        <w:numPr>
          <w:ilvl w:val="0"/>
          <w:numId w:val="1"/>
        </w:numPr>
        <w:spacing w:after="0"/>
        <w:ind w:left="0" w:firstLine="284"/>
        <w:jc w:val="both"/>
        <w:rPr>
          <w:rFonts w:ascii="Sylfaen" w:hAnsi="Sylfaen" w:cs="AcadNusx"/>
          <w:bCs/>
          <w:sz w:val="24"/>
          <w:szCs w:val="24"/>
          <w:lang w:val="ka-GE"/>
        </w:rPr>
      </w:pPr>
      <w:r w:rsidRPr="002B3758">
        <w:rPr>
          <w:rFonts w:ascii="Sylfaen" w:hAnsi="Sylfaen" w:cs="AcadNusx"/>
          <w:bCs/>
          <w:sz w:val="24"/>
          <w:szCs w:val="24"/>
          <w:lang w:val="ka-GE"/>
        </w:rPr>
        <w:t>საქართველოს კონსტიტუციის მე-4 მუხლის მე-2 პუნქტის მიხედვით,</w:t>
      </w:r>
      <w:r w:rsidR="0065014D" w:rsidRPr="002B3758">
        <w:rPr>
          <w:rFonts w:ascii="Sylfaen" w:hAnsi="Sylfaen" w:cs="AcadNusx"/>
          <w:bCs/>
          <w:sz w:val="24"/>
          <w:szCs w:val="24"/>
          <w:lang w:val="ka-GE"/>
        </w:rPr>
        <w:t xml:space="preserve"> </w:t>
      </w:r>
      <w:r w:rsidRPr="002B3758">
        <w:rPr>
          <w:rFonts w:ascii="Sylfaen" w:hAnsi="Sylfaen" w:cs="AcadNusx"/>
          <w:bCs/>
          <w:sz w:val="24"/>
          <w:szCs w:val="24"/>
          <w:lang w:val="ka-GE"/>
        </w:rPr>
        <w:t xml:space="preserve">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მოხსენიებული, მაგრამ თავისთავად გამომდინარეობს კონსტიტუციის პრინციპებიდან. საქართველოს კონსტიტუციის მე-5 მუხლის მე-4 პუნქტის თანახმად, სახელმწიფო ზრუნავს ადამიანის ჯანმრთელობისა და სოციალურ დაცვაზე, საარსებო მინიმუმითა და ღირსეული საცხოვრებლით უზრუნველყოფაზე, ოჯახის კეთილდღეობის დაცვაზე. სახელმწიფო ხელს უწყობს მოქალაქეს დასაქმებაში. საარსებო მინიმუმის უზრუნველყოფის პირობები განისაზღვრება კანონით. 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უფლებას. საქართველოს კონსტიტუციის მე-12 მუხლით დადგენილია ყველას მიერ საკუთარი პიროვნების თავისუფალი განვითარების </w:t>
      </w:r>
      <w:r w:rsidRPr="002B3758">
        <w:rPr>
          <w:rFonts w:ascii="Sylfaen" w:hAnsi="Sylfaen" w:cs="AcadNusx"/>
          <w:bCs/>
          <w:sz w:val="24"/>
          <w:szCs w:val="24"/>
          <w:lang w:val="ka-GE"/>
        </w:rPr>
        <w:lastRenderedPageBreak/>
        <w:t>უფლება. საქართველოს კონსტიტუციის მე-14 მუხლის პირველი პუნქტით გარანტირებულია საქართველოს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r w:rsidR="009B6A0D" w:rsidRPr="002B3758">
        <w:rPr>
          <w:rFonts w:ascii="Sylfaen" w:hAnsi="Sylfaen" w:cs="AcadNusx"/>
          <w:bCs/>
          <w:sz w:val="24"/>
          <w:szCs w:val="24"/>
          <w:lang w:val="ka-GE"/>
        </w:rPr>
        <w:t xml:space="preserve"> საქართველოს კონსტიტუციის მე-19 მუხლის პირველი პუნქტის თანახმად, აღიარებული და უზრუნველყოფილია საკუთრების უფლება, ხოლო ამავე მუხლის მე-2 პუნქტი განსაზღვრავს საკუთრების უფლების შეზღუდვის საფუძვლებსა და წესს. საქართველოს კონსტიტუციის </w:t>
      </w:r>
      <w:r w:rsidRPr="002B3758">
        <w:rPr>
          <w:rFonts w:ascii="Sylfaen" w:hAnsi="Sylfaen"/>
          <w:sz w:val="24"/>
          <w:szCs w:val="24"/>
          <w:lang w:val="ka-GE"/>
        </w:rPr>
        <w:t>34-ე მუხლის მე-2 და მე-3 პუნქტებ</w:t>
      </w:r>
      <w:r w:rsidR="009B6A0D" w:rsidRPr="002B3758">
        <w:rPr>
          <w:rFonts w:ascii="Sylfaen" w:hAnsi="Sylfaen"/>
          <w:sz w:val="24"/>
          <w:szCs w:val="24"/>
          <w:lang w:val="ka-GE"/>
        </w:rPr>
        <w:t>ის შესაბამისად</w:t>
      </w:r>
      <w:r w:rsidR="009B6A0D" w:rsidRPr="002B3758">
        <w:rPr>
          <w:rFonts w:ascii="Sylfaen" w:hAnsi="Sylfaen" w:cs="AcadNusx"/>
          <w:bCs/>
          <w:sz w:val="24"/>
          <w:szCs w:val="24"/>
          <w:lang w:val="ka-GE"/>
        </w:rPr>
        <w:t>, ადამიანის ძირითადი უფლებების განხორციელებამ არ უნდა დაარღვიოს სხვათა უფლებები.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p>
    <w:p w14:paraId="38736899" w14:textId="4EFB59EA" w:rsidR="009A415B" w:rsidRPr="002B3758" w:rsidRDefault="006255AF" w:rsidP="00A37045">
      <w:pPr>
        <w:pStyle w:val="ListParagraph1"/>
        <w:numPr>
          <w:ilvl w:val="0"/>
          <w:numId w:val="1"/>
        </w:numPr>
        <w:spacing w:after="0"/>
        <w:ind w:left="0" w:firstLine="284"/>
        <w:jc w:val="both"/>
        <w:rPr>
          <w:rFonts w:ascii="Sylfaen" w:hAnsi="Sylfaen"/>
          <w:sz w:val="24"/>
          <w:szCs w:val="24"/>
          <w:lang w:val="ka-GE"/>
        </w:rPr>
      </w:pPr>
      <w:r w:rsidRPr="002B3758">
        <w:rPr>
          <w:rFonts w:ascii="Sylfaen" w:hAnsi="Sylfaen" w:cs="AcadNusx"/>
          <w:bCs/>
          <w:sz w:val="24"/>
          <w:szCs w:val="24"/>
          <w:lang w:val="ka-GE"/>
        </w:rPr>
        <w:t>№1713 კონსტიტუციურ</w:t>
      </w:r>
      <w:r w:rsidR="005B1515" w:rsidRPr="002B3758">
        <w:rPr>
          <w:rFonts w:ascii="Sylfaen" w:hAnsi="Sylfaen" w:cs="AcadNusx"/>
          <w:bCs/>
          <w:sz w:val="24"/>
          <w:szCs w:val="24"/>
          <w:lang w:val="ka-GE"/>
        </w:rPr>
        <w:t>ი</w:t>
      </w:r>
      <w:r w:rsidRPr="002B3758">
        <w:rPr>
          <w:rFonts w:ascii="Sylfaen" w:hAnsi="Sylfaen" w:cs="AcadNusx"/>
          <w:bCs/>
          <w:sz w:val="24"/>
          <w:szCs w:val="24"/>
          <w:lang w:val="ka-GE"/>
        </w:rPr>
        <w:t xml:space="preserve"> სარჩელით სადავოდ არის გამხდარი ადმინისტრაციული პასუხისმგებლობის დაწესება იმ პირის მიერ სატრანსპორტო საშუალების მართვისთვის, რომელსაც არ აქვს სატრანსპორტო საშუალების მართვის უფლება. მოსარჩელე მხარის არგუმენტაციით,</w:t>
      </w:r>
      <w:r w:rsidR="00E7174E" w:rsidRPr="002B3758">
        <w:rPr>
          <w:rFonts w:ascii="Sylfaen" w:hAnsi="Sylfaen" w:cs="AcadNusx"/>
          <w:bCs/>
          <w:sz w:val="24"/>
          <w:szCs w:val="24"/>
          <w:lang w:val="ka-GE"/>
        </w:rPr>
        <w:t xml:space="preserve"> სახელმწიფოს მხრიდან პირისათვის</w:t>
      </w:r>
      <w:r w:rsidRPr="002B3758">
        <w:rPr>
          <w:rFonts w:ascii="Sylfaen" w:hAnsi="Sylfaen" w:cs="AcadNusx"/>
          <w:bCs/>
          <w:sz w:val="24"/>
          <w:szCs w:val="24"/>
          <w:lang w:val="ka-GE"/>
        </w:rPr>
        <w:t xml:space="preserve"> </w:t>
      </w:r>
      <w:r w:rsidR="00E7174E" w:rsidRPr="002B3758">
        <w:rPr>
          <w:rFonts w:ascii="Sylfaen" w:hAnsi="Sylfaen" w:cs="AcadNusx"/>
          <w:bCs/>
          <w:sz w:val="24"/>
          <w:szCs w:val="24"/>
          <w:lang w:val="ka-GE"/>
        </w:rPr>
        <w:t xml:space="preserve">სატრანსპორტო საშუალების მართვის უფლების მინიჭება ემსახურება საგზაო მოძრაობის უსაფრთხოების უზრუნველყოფის ლეგიტიმურ საჯარო მიზანს. </w:t>
      </w:r>
      <w:r w:rsidR="00500D8C" w:rsidRPr="002B3758">
        <w:rPr>
          <w:rFonts w:ascii="Sylfaen" w:hAnsi="Sylfaen" w:cs="AcadNusx"/>
          <w:bCs/>
          <w:sz w:val="24"/>
          <w:szCs w:val="24"/>
          <w:lang w:val="ka-GE"/>
        </w:rPr>
        <w:t>მიუხედავად ამისა, მოსარჩელე მიიჩნევს, რომ</w:t>
      </w:r>
      <w:r w:rsidR="006A4A68" w:rsidRPr="002B3758">
        <w:rPr>
          <w:rFonts w:ascii="Sylfaen" w:hAnsi="Sylfaen" w:cs="AcadNusx"/>
          <w:bCs/>
          <w:sz w:val="24"/>
          <w:szCs w:val="24"/>
          <w:lang w:val="ka-GE"/>
        </w:rPr>
        <w:t xml:space="preserve"> ადმინისტრაციულ სამართალდარღვევად უნდა </w:t>
      </w:r>
      <w:r w:rsidR="00E5217D">
        <w:rPr>
          <w:rFonts w:ascii="Sylfaen" w:hAnsi="Sylfaen" w:cs="AcadNusx"/>
          <w:bCs/>
          <w:sz w:val="24"/>
          <w:szCs w:val="24"/>
          <w:lang w:val="ka-GE"/>
        </w:rPr>
        <w:t>ითვლებოდეს</w:t>
      </w:r>
      <w:r w:rsidR="006A4A68" w:rsidRPr="002B3758">
        <w:rPr>
          <w:rFonts w:ascii="Sylfaen" w:hAnsi="Sylfaen" w:cs="AcadNusx"/>
          <w:bCs/>
          <w:sz w:val="24"/>
          <w:szCs w:val="24"/>
          <w:lang w:val="ka-GE"/>
        </w:rPr>
        <w:t xml:space="preserve"> არა</w:t>
      </w:r>
      <w:r w:rsidR="00500D8C" w:rsidRPr="002B3758">
        <w:rPr>
          <w:rFonts w:ascii="Sylfaen" w:hAnsi="Sylfaen" w:cs="AcadNusx"/>
          <w:bCs/>
          <w:sz w:val="24"/>
          <w:szCs w:val="24"/>
          <w:lang w:val="ka-GE"/>
        </w:rPr>
        <w:t xml:space="preserve"> სატრანსპორტო საშუალების მართვა საამისოდ აუცილებელი ნებართვის გარეშე</w:t>
      </w:r>
      <w:r w:rsidR="006A4A68" w:rsidRPr="002B3758">
        <w:rPr>
          <w:rFonts w:ascii="Sylfaen" w:hAnsi="Sylfaen" w:cs="AcadNusx"/>
          <w:bCs/>
          <w:sz w:val="24"/>
          <w:szCs w:val="24"/>
          <w:lang w:val="ka-GE"/>
        </w:rPr>
        <w:t xml:space="preserve">, </w:t>
      </w:r>
      <w:r w:rsidR="00500D8C" w:rsidRPr="002B3758">
        <w:rPr>
          <w:rFonts w:ascii="Sylfaen" w:hAnsi="Sylfaen" w:cs="AcadNusx"/>
          <w:bCs/>
          <w:sz w:val="24"/>
          <w:szCs w:val="24"/>
          <w:lang w:val="ka-GE"/>
        </w:rPr>
        <w:t>არამედ მხოლოდ სატრანსპორტო საშუალების მართვის დროს საგზაო მოძრაობის წესების დარღვევა. შესაბამისად, ადმინისტრაციული პასუხისმგებლობის დაწესების მიზანს უნდა წარმოადგენდეს</w:t>
      </w:r>
      <w:r w:rsidR="0065014D" w:rsidRPr="002B3758">
        <w:rPr>
          <w:rFonts w:ascii="Sylfaen" w:hAnsi="Sylfaen" w:cs="AcadNusx"/>
          <w:bCs/>
          <w:sz w:val="24"/>
          <w:szCs w:val="24"/>
          <w:lang w:val="ka-GE"/>
        </w:rPr>
        <w:t xml:space="preserve"> </w:t>
      </w:r>
      <w:r w:rsidR="00500D8C" w:rsidRPr="002B3758">
        <w:rPr>
          <w:rFonts w:ascii="Sylfaen" w:hAnsi="Sylfaen" w:cs="AcadNusx"/>
          <w:bCs/>
          <w:sz w:val="24"/>
          <w:szCs w:val="24"/>
          <w:lang w:val="ka-GE"/>
        </w:rPr>
        <w:t xml:space="preserve">ადმინისტრაციული სანქციის </w:t>
      </w:r>
      <w:r w:rsidR="00E5217D">
        <w:rPr>
          <w:rFonts w:ascii="Sylfaen" w:hAnsi="Sylfaen" w:cs="AcadNusx"/>
          <w:bCs/>
          <w:sz w:val="24"/>
          <w:szCs w:val="24"/>
          <w:lang w:val="ka-GE"/>
        </w:rPr>
        <w:t>დაკისრება</w:t>
      </w:r>
      <w:r w:rsidR="00500D8C" w:rsidRPr="002B3758">
        <w:rPr>
          <w:rFonts w:ascii="Sylfaen" w:hAnsi="Sylfaen" w:cs="AcadNusx"/>
          <w:bCs/>
          <w:sz w:val="24"/>
          <w:szCs w:val="24"/>
          <w:lang w:val="ka-GE"/>
        </w:rPr>
        <w:t xml:space="preserve"> მხოლოდ იმ პირებისათვის, რომლებიც არღვევენ საგზაო მოძრაობის წესებს, იმისაგან დამოუკ</w:t>
      </w:r>
      <w:r w:rsidR="007D5C9A" w:rsidRPr="002B3758">
        <w:rPr>
          <w:rFonts w:ascii="Sylfaen" w:hAnsi="Sylfaen" w:cs="AcadNusx"/>
          <w:bCs/>
          <w:sz w:val="24"/>
          <w:szCs w:val="24"/>
          <w:lang w:val="ka-GE"/>
        </w:rPr>
        <w:t xml:space="preserve">იდებლად გააჩნიათ თუ არა მათ </w:t>
      </w:r>
      <w:r w:rsidR="00500D8C" w:rsidRPr="002B3758">
        <w:rPr>
          <w:rFonts w:ascii="Sylfaen" w:hAnsi="Sylfaen" w:cs="AcadNusx"/>
          <w:bCs/>
          <w:sz w:val="24"/>
          <w:szCs w:val="24"/>
          <w:lang w:val="ka-GE"/>
        </w:rPr>
        <w:t>სატრანსპორტო საშუალების მართვის უფლება.</w:t>
      </w:r>
      <w:r w:rsidR="00C904C1" w:rsidRPr="002B3758">
        <w:rPr>
          <w:rFonts w:ascii="Sylfaen" w:hAnsi="Sylfaen" w:cs="AcadNusx"/>
          <w:bCs/>
          <w:sz w:val="24"/>
          <w:szCs w:val="24"/>
          <w:lang w:val="ka-GE"/>
        </w:rPr>
        <w:t xml:space="preserve"> ამრიგ</w:t>
      </w:r>
      <w:r w:rsidR="007D5C9A" w:rsidRPr="002B3758">
        <w:rPr>
          <w:rFonts w:ascii="Sylfaen" w:hAnsi="Sylfaen" w:cs="AcadNusx"/>
          <w:bCs/>
          <w:sz w:val="24"/>
          <w:szCs w:val="24"/>
          <w:lang w:val="ka-GE"/>
        </w:rPr>
        <w:t xml:space="preserve">ად, მოსარჩელე მიიჩნევს, რომ </w:t>
      </w:r>
      <w:r w:rsidR="00C904C1" w:rsidRPr="002B3758">
        <w:rPr>
          <w:rFonts w:ascii="Sylfaen" w:hAnsi="Sylfaen" w:cs="AcadNusx"/>
          <w:bCs/>
          <w:sz w:val="24"/>
          <w:szCs w:val="24"/>
          <w:lang w:val="ka-GE"/>
        </w:rPr>
        <w:t>სატრანსპორტო საშუალების მართვა საამისო</w:t>
      </w:r>
      <w:r w:rsidR="007F384C" w:rsidRPr="002B3758">
        <w:rPr>
          <w:rFonts w:ascii="Sylfaen" w:hAnsi="Sylfaen" w:cs="AcadNusx"/>
          <w:bCs/>
          <w:sz w:val="24"/>
          <w:szCs w:val="24"/>
          <w:lang w:val="ka-GE"/>
        </w:rPr>
        <w:t>დ</w:t>
      </w:r>
      <w:r w:rsidR="00C904C1" w:rsidRPr="002B3758">
        <w:rPr>
          <w:rFonts w:ascii="Sylfaen" w:hAnsi="Sylfaen" w:cs="AcadNusx"/>
          <w:bCs/>
          <w:sz w:val="24"/>
          <w:szCs w:val="24"/>
          <w:lang w:val="ka-GE"/>
        </w:rPr>
        <w:t xml:space="preserve"> აუცილებელი ნებართვის გარეშე არ უნდა ითვლებოდეს ადმინისტრაციულ სამართალდარღვევად. </w:t>
      </w:r>
    </w:p>
    <w:p w14:paraId="14CF8F8D" w14:textId="196261A7" w:rsidR="009B6A0D" w:rsidRPr="00FA2F9F" w:rsidRDefault="009A415B" w:rsidP="00FA2F9F">
      <w:pPr>
        <w:pStyle w:val="ListParagraph1"/>
        <w:numPr>
          <w:ilvl w:val="0"/>
          <w:numId w:val="1"/>
        </w:numPr>
        <w:spacing w:after="0"/>
        <w:ind w:left="0" w:firstLine="284"/>
        <w:jc w:val="both"/>
        <w:rPr>
          <w:rFonts w:ascii="Sylfaen" w:hAnsi="Sylfaen"/>
          <w:sz w:val="24"/>
          <w:szCs w:val="24"/>
          <w:lang w:val="ka-GE"/>
        </w:rPr>
      </w:pPr>
      <w:r w:rsidRPr="002B3758">
        <w:rPr>
          <w:rFonts w:ascii="Sylfaen" w:hAnsi="Sylfaen"/>
          <w:sz w:val="24"/>
          <w:szCs w:val="24"/>
          <w:lang w:val="ka-GE"/>
        </w:rPr>
        <w:t>მოსარჩელე მხარე</w:t>
      </w:r>
      <w:r w:rsidR="00E5217D">
        <w:rPr>
          <w:rFonts w:ascii="Sylfaen" w:hAnsi="Sylfaen"/>
          <w:sz w:val="24"/>
          <w:szCs w:val="24"/>
          <w:lang w:val="ka-GE"/>
        </w:rPr>
        <w:t>,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w:t>
      </w:r>
      <w:r w:rsidRPr="002B3758">
        <w:rPr>
          <w:rFonts w:ascii="Sylfaen" w:hAnsi="Sylfaen"/>
          <w:sz w:val="24"/>
          <w:szCs w:val="24"/>
          <w:lang w:val="ka-GE"/>
        </w:rPr>
        <w:t xml:space="preserve"> საქართველოს საკონსტიტუციო სასამართლოს წინაშე შუამდგომლობს, საქმეზე საბოლოო გადაწყვეტილების მიღებამდე, </w:t>
      </w:r>
      <w:r w:rsidR="001E570B">
        <w:rPr>
          <w:rFonts w:ascii="Sylfaen" w:hAnsi="Sylfaen"/>
          <w:sz w:val="24"/>
          <w:szCs w:val="24"/>
          <w:lang w:val="ka-GE"/>
        </w:rPr>
        <w:t xml:space="preserve">საქართველოს </w:t>
      </w:r>
      <w:r w:rsidRPr="002B3758">
        <w:rPr>
          <w:rFonts w:ascii="Sylfaen" w:hAnsi="Sylfaen"/>
          <w:sz w:val="24"/>
          <w:szCs w:val="24"/>
          <w:lang w:val="ka-GE"/>
        </w:rPr>
        <w:t>ადმინისტრაციულ სამართალდარღვევათა კოდექსის 121-ე მუხლის პირველი ნაწილის მოქმედების შეჩერების თაობაზე. მოსარჩელის პოზიციით, საქართველოს საკონსტიტუციო სასამართლოს მიერ სადავო ნორმის მოქმედების შეჩერება ნათლად წარმოაჩენს, რომ შეუძლებელია იმ ლეგიტიმური მიზნის მიღწევა, რომელსაც სადავო ნორმა ემსახურება.</w:t>
      </w:r>
    </w:p>
    <w:p w14:paraId="3DE5F3E4" w14:textId="77777777" w:rsidR="001202B5" w:rsidRPr="002B3758" w:rsidRDefault="001202B5" w:rsidP="00A37045">
      <w:pPr>
        <w:pStyle w:val="Heading1"/>
        <w:spacing w:before="0" w:after="100" w:afterAutospacing="1"/>
        <w:jc w:val="center"/>
        <w:rPr>
          <w:rFonts w:ascii="Sylfaen" w:hAnsi="Sylfaen"/>
          <w:b/>
          <w:color w:val="auto"/>
          <w:sz w:val="24"/>
          <w:szCs w:val="24"/>
          <w:lang w:val="ka-GE"/>
        </w:rPr>
      </w:pPr>
      <w:r w:rsidRPr="002B3758">
        <w:rPr>
          <w:rFonts w:ascii="Sylfaen" w:hAnsi="Sylfaen"/>
          <w:b/>
          <w:color w:val="auto"/>
          <w:sz w:val="24"/>
          <w:szCs w:val="24"/>
          <w:lang w:val="ka-GE"/>
        </w:rPr>
        <w:lastRenderedPageBreak/>
        <w:t>II</w:t>
      </w:r>
      <w:r w:rsidRPr="002B3758">
        <w:rPr>
          <w:rFonts w:ascii="Sylfaen" w:hAnsi="Sylfaen"/>
          <w:b/>
          <w:color w:val="auto"/>
          <w:sz w:val="24"/>
          <w:szCs w:val="24"/>
          <w:lang w:val="ka-GE"/>
        </w:rPr>
        <w:br/>
      </w:r>
      <w:proofErr w:type="spellStart"/>
      <w:r w:rsidRPr="002B3758">
        <w:rPr>
          <w:rFonts w:ascii="Sylfaen" w:hAnsi="Sylfaen"/>
          <w:b/>
          <w:color w:val="auto"/>
          <w:sz w:val="24"/>
          <w:szCs w:val="24"/>
          <w:lang w:val="ka-GE"/>
        </w:rPr>
        <w:t>სამოტივაციო</w:t>
      </w:r>
      <w:proofErr w:type="spellEnd"/>
      <w:r w:rsidRPr="002B3758">
        <w:rPr>
          <w:rFonts w:ascii="Sylfaen" w:hAnsi="Sylfaen"/>
          <w:b/>
          <w:color w:val="auto"/>
          <w:sz w:val="24"/>
          <w:szCs w:val="24"/>
          <w:lang w:val="ka-GE"/>
        </w:rPr>
        <w:t xml:space="preserve"> ნაწილი</w:t>
      </w:r>
    </w:p>
    <w:p w14:paraId="11F44AA4" w14:textId="77777777" w:rsidR="00920B5A" w:rsidRDefault="00102DD0" w:rsidP="00920B5A">
      <w:pPr>
        <w:pStyle w:val="ListParagraph"/>
        <w:numPr>
          <w:ilvl w:val="0"/>
          <w:numId w:val="6"/>
        </w:numPr>
        <w:spacing w:after="0" w:line="276" w:lineRule="auto"/>
        <w:ind w:left="0" w:firstLine="284"/>
        <w:jc w:val="both"/>
        <w:rPr>
          <w:rFonts w:ascii="Sylfaen" w:hAnsi="Sylfaen"/>
          <w:sz w:val="24"/>
          <w:szCs w:val="24"/>
          <w:lang w:val="ka-GE"/>
        </w:rPr>
      </w:pPr>
      <w:r w:rsidRPr="002B3758">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2B3758">
        <w:rPr>
          <w:rFonts w:ascii="Sylfaen" w:hAnsi="Sylfaen"/>
          <w:sz w:val="24"/>
          <w:szCs w:val="24"/>
          <w:vertAlign w:val="superscript"/>
          <w:lang w:val="ka-GE"/>
        </w:rPr>
        <w:t>1</w:t>
      </w:r>
      <w:r w:rsidRPr="002B3758">
        <w:rPr>
          <w:rFonts w:ascii="Sylfaen" w:hAnsi="Sylfaen"/>
          <w:sz w:val="24"/>
          <w:szCs w:val="24"/>
          <w:lang w:val="ka-GE"/>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w:t>
      </w:r>
      <w:r w:rsidR="002B0298" w:rsidRPr="002B3758">
        <w:rPr>
          <w:rFonts w:ascii="Sylfaen" w:hAnsi="Sylfaen" w:cs="Sylfaen"/>
          <w:sz w:val="24"/>
          <w:szCs w:val="24"/>
          <w:lang w:val="ka-GE"/>
        </w:rPr>
        <w:t>შესაბამისად</w:t>
      </w:r>
      <w:r w:rsidR="002B0298" w:rsidRPr="002B3758">
        <w:rPr>
          <w:rFonts w:ascii="Sylfaen" w:hAnsi="Sylfaen"/>
          <w:sz w:val="24"/>
          <w:szCs w:val="24"/>
          <w:lang w:val="ka-GE"/>
        </w:rPr>
        <w:t xml:space="preserve">,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ამასთანავე, </w:t>
      </w:r>
      <w:r w:rsidRPr="002B3758">
        <w:rPr>
          <w:rFonts w:ascii="Sylfaen" w:hAnsi="Sylfaen"/>
          <w:sz w:val="24"/>
          <w:szCs w:val="24"/>
          <w:lang w:val="ka-GE"/>
        </w:rPr>
        <w:t>„კონსტიტუციური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r w:rsidR="00B53995" w:rsidRPr="002B3758">
        <w:rPr>
          <w:rFonts w:ascii="Sylfaen" w:hAnsi="Sylfaen"/>
          <w:sz w:val="24"/>
          <w:szCs w:val="24"/>
          <w:lang w:val="ka-GE"/>
        </w:rPr>
        <w:t xml:space="preserve"> </w:t>
      </w:r>
      <w:r w:rsidR="00A20367" w:rsidRPr="002B3758">
        <w:rPr>
          <w:rFonts w:ascii="Sylfaen" w:hAnsi="Sylfaen"/>
          <w:sz w:val="24"/>
          <w:szCs w:val="24"/>
          <w:lang w:val="ka-GE"/>
        </w:rPr>
        <w:t>ამასთანავე, კონსტიტუციური სარჩელი არსებითად განსახილველად მიიღება, თუ ის აკმაყოფილებს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w:t>
      </w:r>
      <w:r w:rsidR="00A20367" w:rsidRPr="002B3758">
        <w:rPr>
          <w:rFonts w:ascii="Sylfaen" w:hAnsi="Sylfaen"/>
          <w:sz w:val="24"/>
          <w:szCs w:val="24"/>
          <w:vertAlign w:val="superscript"/>
          <w:lang w:val="ka-GE"/>
        </w:rPr>
        <w:t>3</w:t>
      </w:r>
      <w:r w:rsidR="00A20367" w:rsidRPr="002B3758">
        <w:rPr>
          <w:rFonts w:ascii="Sylfaen" w:hAnsi="Sylfaen"/>
          <w:sz w:val="24"/>
          <w:szCs w:val="24"/>
          <w:lang w:val="ka-GE"/>
        </w:rPr>
        <w:t xml:space="preserve"> მუხლის პირველი პუნქტის „ბ“ ქვეპუნქტის მოთხოვნაა, რომ კონსტიტუციური სარჩელი საკონსტიტუციო სასამართლოში შეტანილი უნდა იყოს უფლებამოსილი პირის ან ორგანოს (სუბიექტის) მიერ. </w:t>
      </w:r>
      <w:r w:rsidRPr="002B3758">
        <w:rPr>
          <w:rFonts w:ascii="Sylfaen" w:hAnsi="Sylfaen" w:cs="Sylfaen"/>
          <w:sz w:val="24"/>
          <w:szCs w:val="24"/>
          <w:lang w:val="ka-GE"/>
        </w:rPr>
        <w:t>წინააღმდეგ</w:t>
      </w:r>
      <w:r w:rsidRPr="002B3758">
        <w:rPr>
          <w:rFonts w:ascii="Sylfaen" w:hAnsi="Sylfaen"/>
          <w:sz w:val="24"/>
          <w:szCs w:val="24"/>
          <w:lang w:val="ka-GE"/>
        </w:rPr>
        <w:t xml:space="preserve"> შემთხვევაში, კონსტიტუციური სარჩელი მიიჩნევა დაუსაბუთებლად და</w:t>
      </w:r>
      <w:r w:rsidR="00FA2F9F">
        <w:rPr>
          <w:rFonts w:ascii="Sylfaen" w:hAnsi="Sylfaen"/>
          <w:sz w:val="24"/>
          <w:szCs w:val="24"/>
          <w:lang w:val="ka-GE"/>
        </w:rPr>
        <w:t>, შესაბამისად,</w:t>
      </w:r>
      <w:r w:rsidRPr="002B3758">
        <w:rPr>
          <w:rFonts w:ascii="Sylfaen" w:hAnsi="Sylfaen"/>
          <w:sz w:val="24"/>
          <w:szCs w:val="24"/>
          <w:lang w:val="ka-GE"/>
        </w:rPr>
        <w:t xml:space="preserve"> არ მიიღება არსებითად განსახილველად.</w:t>
      </w:r>
    </w:p>
    <w:p w14:paraId="2A8BD9C7" w14:textId="431824E4" w:rsidR="00920B5A" w:rsidRDefault="00920B5A" w:rsidP="00920B5A">
      <w:pPr>
        <w:pStyle w:val="ListParagraph"/>
        <w:numPr>
          <w:ilvl w:val="0"/>
          <w:numId w:val="6"/>
        </w:numPr>
        <w:spacing w:after="0" w:line="276" w:lineRule="auto"/>
        <w:ind w:left="0" w:firstLine="284"/>
        <w:jc w:val="both"/>
        <w:rPr>
          <w:rFonts w:ascii="Sylfaen" w:hAnsi="Sylfaen"/>
          <w:sz w:val="24"/>
          <w:szCs w:val="24"/>
          <w:lang w:val="ka-GE"/>
        </w:rPr>
      </w:pPr>
      <w:r w:rsidRPr="00920B5A">
        <w:rPr>
          <w:rFonts w:ascii="Sylfaen" w:hAnsi="Sylfaen" w:cs="AcadNusx"/>
          <w:bCs/>
          <w:sz w:val="24"/>
          <w:szCs w:val="24"/>
          <w:lang w:val="ka-GE"/>
        </w:rPr>
        <w:t xml:space="preserve">მოსარჩელე მხარე საქართველოს ადმინისტრაციულ სამართალდარღვევათა კოდექსის 121-ე მუხლის პირველი </w:t>
      </w:r>
      <w:r>
        <w:rPr>
          <w:rFonts w:ascii="Sylfaen" w:hAnsi="Sylfaen" w:cs="AcadNusx"/>
          <w:bCs/>
          <w:sz w:val="24"/>
          <w:szCs w:val="24"/>
          <w:lang w:val="ka-GE"/>
        </w:rPr>
        <w:t xml:space="preserve">ნაწილს </w:t>
      </w:r>
      <w:r w:rsidRPr="00920B5A">
        <w:rPr>
          <w:rFonts w:ascii="Sylfaen" w:hAnsi="Sylfaen" w:cs="AcadNusx"/>
          <w:bCs/>
          <w:sz w:val="24"/>
          <w:szCs w:val="24"/>
          <w:lang w:val="ka-GE"/>
        </w:rPr>
        <w:t xml:space="preserve">არაკონსტიტუციურად მიიჩნევს, მათ შორის, </w:t>
      </w:r>
      <w:r w:rsidRPr="00920B5A">
        <w:rPr>
          <w:rFonts w:ascii="Sylfaen" w:hAnsi="Sylfaen"/>
          <w:sz w:val="24"/>
          <w:szCs w:val="24"/>
          <w:lang w:val="ka-GE"/>
        </w:rPr>
        <w:t xml:space="preserve">საქართველოს კონსტიტუციის მე-4 მუხლის მე-2 პუნქტთან და მე-5 მუხლის მე-4 პუნქტთან მიმართებით. </w:t>
      </w:r>
    </w:p>
    <w:p w14:paraId="539EAA91" w14:textId="77777777" w:rsidR="00920B5A" w:rsidRDefault="00920B5A" w:rsidP="00920B5A">
      <w:pPr>
        <w:pStyle w:val="ListParagraph"/>
        <w:numPr>
          <w:ilvl w:val="0"/>
          <w:numId w:val="6"/>
        </w:numPr>
        <w:spacing w:after="0" w:line="276" w:lineRule="auto"/>
        <w:ind w:left="0" w:firstLine="284"/>
        <w:jc w:val="both"/>
        <w:rPr>
          <w:rFonts w:ascii="Sylfaen" w:hAnsi="Sylfaen"/>
          <w:sz w:val="24"/>
          <w:szCs w:val="24"/>
          <w:lang w:val="ka-GE"/>
        </w:rPr>
      </w:pPr>
      <w:r w:rsidRPr="00920B5A">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w:t>
      </w:r>
      <w:r w:rsidRPr="00920B5A">
        <w:rPr>
          <w:rFonts w:ascii="Sylfaen" w:hAnsi="Sylfaen"/>
          <w:sz w:val="24"/>
          <w:szCs w:val="24"/>
          <w:lang w:val="ka-GE"/>
        </w:rPr>
        <w:lastRenderedPageBreak/>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ფიზიკურ პირებს აქვთ მხოლოდ იმ შემთხვევაში,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ამგვარად, მოსარჩელე ფიზიკური პირები უფლებამოსილი არიან, იდავონ ნორმატიული აქტის მხოლოდ საქართველოს კონსტიტუციის მეორე თავით გარანტირებულ უფლებებთან შესაბამისობის თაობაზე.</w:t>
      </w:r>
    </w:p>
    <w:p w14:paraId="05DE8012" w14:textId="3C8B7757" w:rsidR="00920B5A" w:rsidRDefault="00920B5A" w:rsidP="00920B5A">
      <w:pPr>
        <w:pStyle w:val="ListParagraph"/>
        <w:numPr>
          <w:ilvl w:val="0"/>
          <w:numId w:val="6"/>
        </w:numPr>
        <w:spacing w:after="0" w:line="276" w:lineRule="auto"/>
        <w:ind w:left="0" w:firstLine="284"/>
        <w:jc w:val="both"/>
        <w:rPr>
          <w:rFonts w:ascii="Sylfaen" w:hAnsi="Sylfaen"/>
          <w:sz w:val="24"/>
          <w:szCs w:val="24"/>
          <w:lang w:val="ka-GE"/>
        </w:rPr>
      </w:pPr>
      <w:r w:rsidRPr="00920B5A">
        <w:rPr>
          <w:rFonts w:ascii="Sylfaen" w:hAnsi="Sylfaen"/>
          <w:sz w:val="24"/>
          <w:szCs w:val="24"/>
          <w:lang w:val="ka-GE"/>
        </w:rPr>
        <w:t xml:space="preserve">განსახილველ შემთხვევაში, №1713 კონსტიტუციურ სარჩელში მოსარჩელედ მითითებულია ფიზიკური პირი, რომელიც სადავო </w:t>
      </w:r>
      <w:r>
        <w:rPr>
          <w:rFonts w:ascii="Sylfaen" w:hAnsi="Sylfaen"/>
          <w:sz w:val="24"/>
          <w:szCs w:val="24"/>
          <w:lang w:val="ka-GE"/>
        </w:rPr>
        <w:t>ნორმ</w:t>
      </w:r>
      <w:r w:rsidRPr="00920B5A">
        <w:rPr>
          <w:rFonts w:ascii="Sylfaen" w:hAnsi="Sylfaen"/>
          <w:sz w:val="24"/>
          <w:szCs w:val="24"/>
          <w:lang w:val="ka-GE"/>
        </w:rPr>
        <w:t xml:space="preserve">ის არაკონსტიტუციურად ცნობას ითხოვს საქართველოს კონსტიტუციის მე-4 მუხლის მე-2 პუნქტთან და მე-5 მუხლის მე-4 პუნქტთან მიმართებით. აღნიშნული კონსტიტუციური დებულებები მოთავსებულია საქართველოს კონსტიტუციის მეორე თავს მიღმა. შესაბამისად, მოსარჩელე არ არის უფლებამოსილი, მოითხოვოს სადავო </w:t>
      </w:r>
      <w:r w:rsidR="00F567CB">
        <w:rPr>
          <w:rFonts w:ascii="Sylfaen" w:hAnsi="Sylfaen"/>
          <w:sz w:val="24"/>
          <w:szCs w:val="24"/>
          <w:lang w:val="ka-GE"/>
        </w:rPr>
        <w:t>ნორმ</w:t>
      </w:r>
      <w:r w:rsidRPr="00920B5A">
        <w:rPr>
          <w:rFonts w:ascii="Sylfaen" w:hAnsi="Sylfaen"/>
          <w:sz w:val="24"/>
          <w:szCs w:val="24"/>
          <w:lang w:val="ka-GE"/>
        </w:rPr>
        <w:t>ის არაკონსტიტუციურად ცნობა საქართველოს კონსტიტუციის დასახელებულ დებულებებთან მიმართებით.</w:t>
      </w:r>
    </w:p>
    <w:p w14:paraId="21F3666C" w14:textId="6C9232E9" w:rsidR="00920B5A" w:rsidRPr="008E32EC" w:rsidRDefault="00920B5A" w:rsidP="008E32EC">
      <w:pPr>
        <w:pStyle w:val="ListParagraph"/>
        <w:numPr>
          <w:ilvl w:val="0"/>
          <w:numId w:val="6"/>
        </w:numPr>
        <w:spacing w:after="0" w:line="276" w:lineRule="auto"/>
        <w:ind w:left="0" w:firstLine="284"/>
        <w:jc w:val="both"/>
        <w:rPr>
          <w:rFonts w:ascii="Sylfaen" w:hAnsi="Sylfaen"/>
          <w:sz w:val="24"/>
          <w:szCs w:val="24"/>
          <w:lang w:val="ka-GE"/>
        </w:rPr>
      </w:pPr>
      <w:r w:rsidRPr="00920B5A">
        <w:rPr>
          <w:rFonts w:ascii="Sylfaen" w:hAnsi="Sylfaen" w:cs="Sylfaen"/>
          <w:sz w:val="24"/>
          <w:szCs w:val="24"/>
          <w:lang w:val="ka-GE"/>
        </w:rPr>
        <w:t>ზემოაღნიშნულიდან</w:t>
      </w:r>
      <w:r w:rsidRPr="00920B5A">
        <w:rPr>
          <w:rFonts w:ascii="Sylfaen" w:hAnsi="Sylfaen"/>
          <w:sz w:val="24"/>
          <w:szCs w:val="24"/>
          <w:lang w:val="ka-GE"/>
        </w:rPr>
        <w:t xml:space="preserve"> გამომდინარე, </w:t>
      </w:r>
      <w:proofErr w:type="spellStart"/>
      <w:r w:rsidRPr="00920B5A">
        <w:rPr>
          <w:rFonts w:ascii="Sylfaen" w:hAnsi="Sylfaen" w:cs="Sylfaen"/>
          <w:sz w:val="24"/>
          <w:szCs w:val="24"/>
          <w:lang w:val="ka-GE"/>
        </w:rPr>
        <w:t>სასარჩელო</w:t>
      </w:r>
      <w:proofErr w:type="spellEnd"/>
      <w:r w:rsidRPr="00920B5A">
        <w:rPr>
          <w:rFonts w:ascii="Sylfaen" w:hAnsi="Sylfaen" w:cs="Sylfaen"/>
          <w:sz w:val="24"/>
          <w:szCs w:val="24"/>
          <w:lang w:val="ka-GE"/>
        </w:rPr>
        <w:t xml:space="preserve"> მოთხოვნის იმ ნაწილში, რომელიც შეეხება </w:t>
      </w:r>
      <w:r w:rsidRPr="00920B5A">
        <w:rPr>
          <w:rFonts w:ascii="Sylfaen" w:hAnsi="Sylfaen"/>
          <w:sz w:val="24"/>
          <w:szCs w:val="24"/>
          <w:lang w:val="ka-GE"/>
        </w:rPr>
        <w:t xml:space="preserve">საქართველოს ადმინისტრაციულ სამართალდარღვევათა კოდექსის 121-ე მუხლის პირველი ნაწილის </w:t>
      </w:r>
      <w:r w:rsidR="008E32EC">
        <w:rPr>
          <w:rFonts w:ascii="Sylfaen" w:hAnsi="Sylfaen" w:cs="AcadNusx"/>
          <w:bCs/>
          <w:sz w:val="24"/>
          <w:szCs w:val="24"/>
          <w:lang w:val="ka-GE"/>
        </w:rPr>
        <w:t>არაკონსტიტუციურად ცნობას</w:t>
      </w:r>
      <w:r w:rsidRPr="00920B5A">
        <w:rPr>
          <w:rFonts w:ascii="Sylfaen" w:hAnsi="Sylfaen" w:cs="AcadNusx"/>
          <w:bCs/>
          <w:sz w:val="24"/>
          <w:szCs w:val="24"/>
          <w:lang w:val="ka-GE"/>
        </w:rPr>
        <w:t xml:space="preserve"> საქართველოს კონსტიტუციის </w:t>
      </w:r>
      <w:r w:rsidRPr="00920B5A">
        <w:rPr>
          <w:rFonts w:ascii="Sylfaen" w:hAnsi="Sylfaen"/>
          <w:sz w:val="24"/>
          <w:szCs w:val="24"/>
          <w:lang w:val="ka-GE"/>
        </w:rPr>
        <w:t>მე-4 მუხლის მე-2 პუნქტთან და მე-5 მუხლის მე-4 პუნქტთან მიმართებით,</w:t>
      </w:r>
      <w:r w:rsidR="008E32EC">
        <w:rPr>
          <w:rFonts w:ascii="Sylfaen" w:hAnsi="Sylfaen"/>
          <w:sz w:val="24"/>
          <w:szCs w:val="24"/>
          <w:lang w:val="ka-GE"/>
        </w:rPr>
        <w:t xml:space="preserve"> </w:t>
      </w:r>
      <w:r w:rsidR="008E32EC" w:rsidRPr="00920B5A">
        <w:rPr>
          <w:rFonts w:ascii="Sylfaen" w:hAnsi="Sylfaen" w:cs="Sylfaen"/>
          <w:sz w:val="24"/>
          <w:szCs w:val="24"/>
          <w:lang w:val="ka-GE"/>
        </w:rPr>
        <w:t>№1713 კონსტიტუციური სარჩელი</w:t>
      </w:r>
      <w:r w:rsidRPr="00920B5A">
        <w:rPr>
          <w:rFonts w:ascii="Sylfaen" w:hAnsi="Sylfaen"/>
          <w:sz w:val="24"/>
          <w:szCs w:val="24"/>
          <w:lang w:val="ka-GE"/>
        </w:rPr>
        <w:t xml:space="preserve"> დაუსაბუთებელია და არსებობს </w:t>
      </w:r>
      <w:r w:rsidRPr="00920B5A">
        <w:rPr>
          <w:rFonts w:ascii="Sylfaen" w:eastAsia="Times New Roman" w:hAnsi="Sylfaen"/>
          <w:sz w:val="24"/>
          <w:szCs w:val="24"/>
          <w:lang w:val="ka-GE"/>
        </w:rPr>
        <w:t>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920B5A">
        <w:rPr>
          <w:rFonts w:ascii="Sylfaen" w:eastAsia="Times New Roman" w:hAnsi="Sylfaen"/>
          <w:sz w:val="24"/>
          <w:szCs w:val="24"/>
          <w:vertAlign w:val="superscript"/>
          <w:lang w:val="ka-GE"/>
        </w:rPr>
        <w:t>3</w:t>
      </w:r>
      <w:r w:rsidRPr="00920B5A">
        <w:rPr>
          <w:rFonts w:ascii="Sylfaen" w:eastAsia="Times New Roman" w:hAnsi="Sylfaen"/>
          <w:sz w:val="24"/>
          <w:szCs w:val="24"/>
          <w:lang w:val="ka-GE"/>
        </w:rPr>
        <w:t xml:space="preserve"> მუხლის პირველი პუნქტის „ბ“ ქვეპუნქტით გათვალისწინებული საფუძველი.</w:t>
      </w:r>
    </w:p>
    <w:p w14:paraId="669D18EB" w14:textId="2DFDE65B" w:rsidR="002B4B23" w:rsidRPr="002B3758" w:rsidRDefault="008E32EC" w:rsidP="00A37045">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აღსანიშნავია, რომ </w:t>
      </w:r>
      <w:r w:rsidR="006A4A68" w:rsidRPr="002B3758">
        <w:rPr>
          <w:rFonts w:ascii="Sylfaen" w:hAnsi="Sylfaen"/>
          <w:sz w:val="24"/>
          <w:szCs w:val="24"/>
          <w:lang w:val="ka-GE"/>
        </w:rPr>
        <w:t xml:space="preserve">№1713 კონსტიტუციური სარჩელით </w:t>
      </w:r>
      <w:r w:rsidR="005B1F64" w:rsidRPr="002B3758">
        <w:rPr>
          <w:rFonts w:ascii="Sylfaen" w:hAnsi="Sylfaen"/>
          <w:sz w:val="24"/>
          <w:szCs w:val="24"/>
          <w:lang w:val="ka-GE"/>
        </w:rPr>
        <w:t xml:space="preserve">სადავოდ </w:t>
      </w:r>
      <w:r w:rsidR="000E483C" w:rsidRPr="002B3758">
        <w:rPr>
          <w:rFonts w:ascii="Sylfaen" w:hAnsi="Sylfaen"/>
          <w:sz w:val="24"/>
          <w:szCs w:val="24"/>
          <w:lang w:val="ka-GE"/>
        </w:rPr>
        <w:t xml:space="preserve">არის </w:t>
      </w:r>
      <w:r w:rsidR="005B1F64" w:rsidRPr="002B3758">
        <w:rPr>
          <w:rFonts w:ascii="Sylfaen" w:hAnsi="Sylfaen"/>
          <w:sz w:val="24"/>
          <w:szCs w:val="24"/>
          <w:lang w:val="ka-GE"/>
        </w:rPr>
        <w:t>გამხდარი</w:t>
      </w:r>
      <w:r w:rsidR="00AA786A" w:rsidRPr="002B3758">
        <w:rPr>
          <w:rFonts w:ascii="Sylfaen" w:hAnsi="Sylfaen"/>
          <w:sz w:val="24"/>
          <w:szCs w:val="24"/>
          <w:lang w:val="ka-GE"/>
        </w:rPr>
        <w:t xml:space="preserve"> </w:t>
      </w:r>
      <w:r w:rsidR="005B1F64" w:rsidRPr="002B3758">
        <w:rPr>
          <w:rFonts w:ascii="Sylfaen" w:hAnsi="Sylfaen" w:cs="AcadNusx"/>
          <w:bCs/>
          <w:sz w:val="24"/>
          <w:szCs w:val="24"/>
          <w:lang w:val="ka-GE"/>
        </w:rPr>
        <w:t>საქართველოს ადმინისტრაციულ სამართალდარღვევათა კოდექსის 121-ე მუხლის პირველი ნაწილი</w:t>
      </w:r>
      <w:r w:rsidR="000E483C" w:rsidRPr="002B3758">
        <w:rPr>
          <w:rFonts w:ascii="Sylfaen" w:hAnsi="Sylfaen" w:cs="AcadNusx"/>
          <w:bCs/>
          <w:sz w:val="24"/>
          <w:szCs w:val="24"/>
          <w:lang w:val="ka-GE"/>
        </w:rPr>
        <w:t>, რომელიც</w:t>
      </w:r>
      <w:r w:rsidR="006C45B4" w:rsidRPr="002B3758">
        <w:rPr>
          <w:rFonts w:ascii="Sylfaen" w:hAnsi="Sylfaen" w:cs="AcadNusx"/>
          <w:bCs/>
          <w:sz w:val="24"/>
          <w:szCs w:val="24"/>
          <w:lang w:val="ka-GE"/>
        </w:rPr>
        <w:t>, ერთი მხრივ, განსაზღვრავს</w:t>
      </w:r>
      <w:r w:rsidR="00AA786A" w:rsidRPr="002B3758">
        <w:rPr>
          <w:rFonts w:ascii="Sylfaen" w:hAnsi="Sylfaen" w:cs="AcadNusx"/>
          <w:bCs/>
          <w:sz w:val="24"/>
          <w:szCs w:val="24"/>
          <w:lang w:val="ka-GE"/>
        </w:rPr>
        <w:t xml:space="preserve"> </w:t>
      </w:r>
      <w:r w:rsidR="006C45B4" w:rsidRPr="002B3758">
        <w:rPr>
          <w:rFonts w:ascii="Sylfaen" w:hAnsi="Sylfaen" w:cs="AcadNusx"/>
          <w:bCs/>
          <w:sz w:val="24"/>
          <w:szCs w:val="24"/>
          <w:lang w:val="ka-GE"/>
        </w:rPr>
        <w:t xml:space="preserve">ადმინისტრაციული სამართალდარღვევის ქმედების შემადგენლობას და ადმინისტრაციული წესით დასჯადად აცხადებს </w:t>
      </w:r>
      <w:r w:rsidR="007161CF" w:rsidRPr="002B3758">
        <w:rPr>
          <w:rFonts w:ascii="Sylfaen" w:hAnsi="Sylfaen" w:cs="AcadNusx"/>
          <w:bCs/>
          <w:sz w:val="24"/>
          <w:szCs w:val="24"/>
          <w:lang w:val="ka-GE"/>
        </w:rPr>
        <w:t xml:space="preserve">პირის მიერ </w:t>
      </w:r>
      <w:r w:rsidR="00AA786A" w:rsidRPr="002B3758">
        <w:rPr>
          <w:rFonts w:ascii="Sylfaen" w:hAnsi="Sylfaen" w:cs="AcadNusx"/>
          <w:bCs/>
          <w:sz w:val="24"/>
          <w:szCs w:val="24"/>
          <w:lang w:val="ka-GE"/>
        </w:rPr>
        <w:t xml:space="preserve">სატრანსპორტო საშუალებას </w:t>
      </w:r>
      <w:r w:rsidR="006C45B4" w:rsidRPr="002B3758">
        <w:rPr>
          <w:rFonts w:ascii="Sylfaen" w:hAnsi="Sylfaen" w:cs="AcadNusx"/>
          <w:bCs/>
          <w:sz w:val="24"/>
          <w:szCs w:val="24"/>
          <w:lang w:val="ka-GE"/>
        </w:rPr>
        <w:t>მართვა</w:t>
      </w:r>
      <w:r w:rsidR="00AA786A" w:rsidRPr="002B3758">
        <w:rPr>
          <w:rFonts w:ascii="Sylfaen" w:hAnsi="Sylfaen" w:cs="AcadNusx"/>
          <w:bCs/>
          <w:sz w:val="24"/>
          <w:szCs w:val="24"/>
          <w:lang w:val="ka-GE"/>
        </w:rPr>
        <w:t xml:space="preserve">ს საამისოდ აუცილებელი უფლების გარეშე ან იმ შემთხვევაში, თუ ეს უფლება </w:t>
      </w:r>
      <w:r w:rsidR="007161CF" w:rsidRPr="002B3758">
        <w:rPr>
          <w:rFonts w:ascii="Sylfaen" w:hAnsi="Sylfaen" w:cs="AcadNusx"/>
          <w:bCs/>
          <w:sz w:val="24"/>
          <w:szCs w:val="24"/>
          <w:lang w:val="ka-GE"/>
        </w:rPr>
        <w:t xml:space="preserve">პირს </w:t>
      </w:r>
      <w:r w:rsidR="00AA786A" w:rsidRPr="002B3758">
        <w:rPr>
          <w:rFonts w:ascii="Sylfaen" w:hAnsi="Sylfaen" w:cs="AcadNusx"/>
          <w:bCs/>
          <w:sz w:val="24"/>
          <w:szCs w:val="24"/>
          <w:lang w:val="ka-GE"/>
        </w:rPr>
        <w:t>შეჩერებული აქვს</w:t>
      </w:r>
      <w:r w:rsidR="006C45B4" w:rsidRPr="002B3758">
        <w:rPr>
          <w:rFonts w:ascii="Sylfaen" w:hAnsi="Sylfaen" w:cs="AcadNusx"/>
          <w:bCs/>
          <w:sz w:val="24"/>
          <w:szCs w:val="24"/>
          <w:lang w:val="ka-GE"/>
        </w:rPr>
        <w:t xml:space="preserve">, ხოლო, მეორე მხრივ, </w:t>
      </w:r>
      <w:r w:rsidR="006C45B4" w:rsidRPr="002B3758">
        <w:rPr>
          <w:rFonts w:ascii="Sylfaen" w:hAnsi="Sylfaen" w:cs="Sylfaen"/>
          <w:sz w:val="24"/>
          <w:szCs w:val="24"/>
          <w:lang w:val="ka-GE"/>
        </w:rPr>
        <w:t>ადგენს</w:t>
      </w:r>
      <w:r w:rsidR="006C45B4" w:rsidRPr="002B3758">
        <w:rPr>
          <w:rFonts w:ascii="Sylfaen" w:hAnsi="Sylfaen"/>
          <w:sz w:val="24"/>
          <w:szCs w:val="24"/>
          <w:lang w:val="ka-GE"/>
        </w:rPr>
        <w:t xml:space="preserve"> ადმინისტრაციული პასუხისმგებლობის ზომას აღნიშნული სამართალდარღვევის ჩადენისათვის და ითვალისწინებს</w:t>
      </w:r>
      <w:r w:rsidR="006C45B4" w:rsidRPr="002B3758">
        <w:rPr>
          <w:rFonts w:ascii="Sylfaen" w:hAnsi="Sylfaen" w:cs="AcadNusx"/>
          <w:bCs/>
          <w:sz w:val="24"/>
          <w:szCs w:val="24"/>
          <w:lang w:val="ka-GE"/>
        </w:rPr>
        <w:t xml:space="preserve"> </w:t>
      </w:r>
      <w:r w:rsidR="00AA786A" w:rsidRPr="002B3758">
        <w:rPr>
          <w:rFonts w:ascii="Sylfaen" w:hAnsi="Sylfaen" w:cs="AcadNusx"/>
          <w:bCs/>
          <w:sz w:val="24"/>
          <w:szCs w:val="24"/>
          <w:lang w:val="ka-GE"/>
        </w:rPr>
        <w:t xml:space="preserve">ჯარიმას 500 ლარის ოდენობით იმ პირის მიმართ, რომელიც უშუალოდ ახორციელებს </w:t>
      </w:r>
      <w:r w:rsidR="00AA786A" w:rsidRPr="002B3758">
        <w:rPr>
          <w:rFonts w:ascii="Sylfaen" w:hAnsi="Sylfaen"/>
          <w:sz w:val="24"/>
          <w:szCs w:val="24"/>
          <w:lang w:val="ka-GE"/>
        </w:rPr>
        <w:t>სატრანსპორტო საშუალების ექსპლუატაციას</w:t>
      </w:r>
      <w:r w:rsidR="00072970" w:rsidRPr="002B3758">
        <w:rPr>
          <w:rFonts w:ascii="Sylfaen" w:hAnsi="Sylfaen"/>
          <w:sz w:val="24"/>
          <w:szCs w:val="24"/>
          <w:lang w:val="ka-GE"/>
        </w:rPr>
        <w:t xml:space="preserve">. </w:t>
      </w:r>
    </w:p>
    <w:p w14:paraId="1322D8F8" w14:textId="18C40410" w:rsidR="0033351C" w:rsidRPr="002B3758" w:rsidRDefault="002B4B23" w:rsidP="00A37045">
      <w:pPr>
        <w:pStyle w:val="ListParagraph"/>
        <w:numPr>
          <w:ilvl w:val="0"/>
          <w:numId w:val="6"/>
        </w:numPr>
        <w:spacing w:after="0" w:line="276" w:lineRule="auto"/>
        <w:ind w:left="0" w:firstLine="284"/>
        <w:jc w:val="both"/>
        <w:rPr>
          <w:rFonts w:ascii="Sylfaen" w:hAnsi="Sylfaen"/>
          <w:sz w:val="24"/>
          <w:szCs w:val="24"/>
          <w:lang w:val="ka-GE"/>
        </w:rPr>
      </w:pPr>
      <w:r w:rsidRPr="002B3758">
        <w:rPr>
          <w:rFonts w:ascii="Sylfaen" w:hAnsi="Sylfaen" w:cs="Sylfaen"/>
          <w:sz w:val="24"/>
          <w:szCs w:val="24"/>
          <w:lang w:val="ka-GE"/>
        </w:rPr>
        <w:t>საქართველოს</w:t>
      </w:r>
      <w:r w:rsidRPr="002B3758">
        <w:rPr>
          <w:rFonts w:ascii="Sylfaen" w:hAnsi="Sylfaen"/>
          <w:sz w:val="24"/>
          <w:szCs w:val="24"/>
          <w:lang w:val="ka-GE"/>
        </w:rPr>
        <w:t xml:space="preserve"> საკონსტიტუციო სასამართლოს დადგენილი პრაქტიკით, კონსტიტუციური სარჩელის დასაბუთებულად მიჩნევისათვის, აუცილებელია, წარმოდგენილი იყოს არგუმენტაცია, რომელიც მიმართული იქნება</w:t>
      </w:r>
      <w:r w:rsidR="007161CF" w:rsidRPr="002B3758">
        <w:rPr>
          <w:rFonts w:ascii="Sylfaen" w:hAnsi="Sylfaen"/>
          <w:sz w:val="24"/>
          <w:szCs w:val="24"/>
          <w:lang w:val="ka-GE"/>
        </w:rPr>
        <w:t xml:space="preserve"> როგორც</w:t>
      </w:r>
      <w:r w:rsidRPr="002B3758">
        <w:rPr>
          <w:rFonts w:ascii="Sylfaen" w:hAnsi="Sylfaen"/>
          <w:sz w:val="24"/>
          <w:szCs w:val="24"/>
          <w:lang w:val="ka-GE"/>
        </w:rPr>
        <w:t xml:space="preserve"> </w:t>
      </w:r>
      <w:r w:rsidRPr="002B3758">
        <w:rPr>
          <w:rFonts w:ascii="Sylfaen" w:hAnsi="Sylfaen"/>
          <w:sz w:val="24"/>
          <w:szCs w:val="24"/>
          <w:lang w:val="ka-GE"/>
        </w:rPr>
        <w:lastRenderedPageBreak/>
        <w:t>სადავო ნორმით გათვალისწინებული ქმედების შემადგენლობის, აგრეთვე შესაბამისი სანქციის არაკონსტიტუციურობის მტკიცებისაკენ (იხ., საქართველოს საკონსტიტუციო სასამართლოს 2019 წლის 24 ოქტომბრის №1/12/1354 საოქმო ჩანაწერი საქმეზე „</w:t>
      </w:r>
      <w:proofErr w:type="spellStart"/>
      <w:r w:rsidRPr="002B3758">
        <w:rPr>
          <w:rFonts w:ascii="Sylfaen" w:hAnsi="Sylfaen"/>
          <w:sz w:val="24"/>
          <w:szCs w:val="24"/>
          <w:lang w:val="ka-GE"/>
        </w:rPr>
        <w:t>ს.მ</w:t>
      </w:r>
      <w:proofErr w:type="spellEnd"/>
      <w:r w:rsidRPr="002B3758">
        <w:rPr>
          <w:rFonts w:ascii="Sylfaen" w:hAnsi="Sylfaen"/>
          <w:sz w:val="24"/>
          <w:szCs w:val="24"/>
          <w:lang w:val="ka-GE"/>
        </w:rPr>
        <w:t>. საქართველოს პარლამენტის წინააღმდეგ“, II-10; საქართველოს საკონსტიტუციო სასამართლოს 2017 წლის 2 ივნისის №1/12/926 საოქმო ჩანაწერი საქმეზე „საქართველოს მოქალაქე გიორგი ლოგუა საქართველოს პარლამენტის წინააღმდეგ“, II-2).</w:t>
      </w:r>
    </w:p>
    <w:p w14:paraId="16F782D3" w14:textId="007AF59F" w:rsidR="00666877" w:rsidRPr="002B3758" w:rsidRDefault="002B4B23" w:rsidP="00A37045">
      <w:pPr>
        <w:pStyle w:val="ListParagraph"/>
        <w:numPr>
          <w:ilvl w:val="0"/>
          <w:numId w:val="6"/>
        </w:numPr>
        <w:spacing w:after="0" w:line="276" w:lineRule="auto"/>
        <w:ind w:left="0" w:firstLine="284"/>
        <w:jc w:val="both"/>
        <w:rPr>
          <w:rFonts w:ascii="Sylfaen" w:hAnsi="Sylfaen"/>
          <w:sz w:val="24"/>
          <w:szCs w:val="24"/>
          <w:lang w:val="ka-GE"/>
        </w:rPr>
      </w:pPr>
      <w:r w:rsidRPr="002B3758">
        <w:rPr>
          <w:rFonts w:ascii="Sylfaen" w:hAnsi="Sylfaen"/>
          <w:sz w:val="24"/>
          <w:szCs w:val="24"/>
          <w:lang w:val="ka-GE"/>
        </w:rPr>
        <w:t xml:space="preserve">№1713 კონსტიტუციურ სარჩელში წარმოდგენილი არგუმენტაციით, საგზაო მოძრაობის უსაფრთხოებას რისკის ქვეშ აყენებს არა სატრანსპორტო საშუალების მართვა შესაბამისი ნებართვის გარეშე, არამედ </w:t>
      </w:r>
      <w:r w:rsidRPr="002B3758">
        <w:rPr>
          <w:rFonts w:ascii="Sylfaen" w:hAnsi="Sylfaen" w:cs="AcadNusx"/>
          <w:bCs/>
          <w:sz w:val="24"/>
          <w:szCs w:val="24"/>
          <w:lang w:val="ka-GE"/>
        </w:rPr>
        <w:t>აღნიშნულ პროცესში საგზაო მოძრაობის წესების დარღვევა.</w:t>
      </w:r>
      <w:r w:rsidR="007A422F" w:rsidRPr="002B3758">
        <w:rPr>
          <w:rFonts w:ascii="Sylfaen" w:hAnsi="Sylfaen" w:cs="AcadNusx"/>
          <w:bCs/>
          <w:sz w:val="24"/>
          <w:szCs w:val="24"/>
          <w:lang w:val="ka-GE"/>
        </w:rPr>
        <w:t xml:space="preserve"> მოსარჩელე </w:t>
      </w:r>
      <w:r w:rsidR="00E22389" w:rsidRPr="002B3758">
        <w:rPr>
          <w:rFonts w:ascii="Sylfaen" w:hAnsi="Sylfaen" w:cs="AcadNusx"/>
          <w:bCs/>
          <w:sz w:val="24"/>
          <w:szCs w:val="24"/>
          <w:lang w:val="ka-GE"/>
        </w:rPr>
        <w:t>განმარტავს,</w:t>
      </w:r>
      <w:r w:rsidR="007A422F" w:rsidRPr="002B3758">
        <w:rPr>
          <w:rFonts w:ascii="Sylfaen" w:hAnsi="Sylfaen" w:cs="AcadNusx"/>
          <w:bCs/>
          <w:sz w:val="24"/>
          <w:szCs w:val="24"/>
          <w:lang w:val="ka-GE"/>
        </w:rPr>
        <w:t xml:space="preserve"> რომ</w:t>
      </w:r>
      <w:r w:rsidRPr="002B3758">
        <w:rPr>
          <w:rFonts w:ascii="Sylfaen" w:hAnsi="Sylfaen"/>
          <w:sz w:val="24"/>
          <w:szCs w:val="24"/>
          <w:lang w:val="ka-GE"/>
        </w:rPr>
        <w:t xml:space="preserve"> არაკონსტიტუციურია </w:t>
      </w:r>
      <w:r w:rsidR="00681D7F" w:rsidRPr="002B3758">
        <w:rPr>
          <w:rFonts w:ascii="Sylfaen" w:hAnsi="Sylfaen" w:cs="Sylfaen"/>
          <w:sz w:val="24"/>
          <w:szCs w:val="24"/>
          <w:lang w:val="ka-GE"/>
        </w:rPr>
        <w:t>საამისო</w:t>
      </w:r>
      <w:r w:rsidR="00681D7F" w:rsidRPr="002B3758">
        <w:rPr>
          <w:rFonts w:ascii="Sylfaen" w:hAnsi="Sylfaen"/>
          <w:sz w:val="24"/>
          <w:szCs w:val="24"/>
          <w:lang w:val="ka-GE"/>
        </w:rPr>
        <w:t xml:space="preserve">დ აუცილებელი ნებართვის გარეშე სატრანსპორტო საშუალების მართვის </w:t>
      </w:r>
      <w:r w:rsidR="000E483C" w:rsidRPr="002B3758">
        <w:rPr>
          <w:rFonts w:ascii="Sylfaen" w:hAnsi="Sylfaen"/>
          <w:sz w:val="24"/>
          <w:szCs w:val="24"/>
          <w:lang w:val="ka-GE"/>
        </w:rPr>
        <w:t>ადმინისტრაციულ</w:t>
      </w:r>
      <w:r w:rsidR="00681D7F" w:rsidRPr="002B3758">
        <w:rPr>
          <w:rFonts w:ascii="Sylfaen" w:hAnsi="Sylfaen"/>
          <w:sz w:val="24"/>
          <w:szCs w:val="24"/>
          <w:lang w:val="ka-GE"/>
        </w:rPr>
        <w:t xml:space="preserve"> სამართალდარღვევად </w:t>
      </w:r>
      <w:r w:rsidRPr="002B3758">
        <w:rPr>
          <w:rFonts w:ascii="Sylfaen" w:hAnsi="Sylfaen"/>
          <w:sz w:val="24"/>
          <w:szCs w:val="24"/>
          <w:lang w:val="ka-GE"/>
        </w:rPr>
        <w:t>მიჩნევა</w:t>
      </w:r>
      <w:r w:rsidR="00681D7F" w:rsidRPr="002B3758">
        <w:rPr>
          <w:rFonts w:ascii="Sylfaen" w:hAnsi="Sylfaen"/>
          <w:sz w:val="24"/>
          <w:szCs w:val="24"/>
          <w:lang w:val="ka-GE"/>
        </w:rPr>
        <w:t>.</w:t>
      </w:r>
      <w:r w:rsidR="000E483C" w:rsidRPr="002B3758">
        <w:rPr>
          <w:rFonts w:ascii="Sylfaen" w:hAnsi="Sylfaen"/>
          <w:sz w:val="24"/>
          <w:szCs w:val="24"/>
          <w:lang w:val="ka-GE"/>
        </w:rPr>
        <w:t xml:space="preserve"> </w:t>
      </w:r>
      <w:r w:rsidR="00E22389" w:rsidRPr="002B3758">
        <w:rPr>
          <w:rFonts w:ascii="Sylfaen" w:hAnsi="Sylfaen"/>
          <w:sz w:val="24"/>
          <w:szCs w:val="24"/>
          <w:lang w:val="ka-GE"/>
        </w:rPr>
        <w:t xml:space="preserve">სწორედ ამ არგუმენტაციაზე დაყრდნობით, მოსარჩელე მიიჩნევს, რომ სადავო ნორმა ეწინააღმდეგება საქართველოს კონსტიტუციის </w:t>
      </w:r>
      <w:r w:rsidR="0033351C" w:rsidRPr="002B3758">
        <w:rPr>
          <w:rFonts w:ascii="Sylfaen" w:hAnsi="Sylfaen"/>
          <w:sz w:val="24"/>
          <w:szCs w:val="24"/>
          <w:lang w:val="ka-GE"/>
        </w:rPr>
        <w:t xml:space="preserve">მე-11 მუხლის პირველ პუნქტს, მე-12 მუხლს, მე-14 მუხლის პირველ პუნქტს, მე-19 მუხლის პირველ და მე-2 პუნქტებს და 34-ე მუხლის მე-2 და მე-3 პუნქტებს. </w:t>
      </w:r>
    </w:p>
    <w:p w14:paraId="106FCCCE" w14:textId="64B95C91" w:rsidR="00434216" w:rsidRPr="002B3758" w:rsidRDefault="00746D8C" w:rsidP="00A37045">
      <w:pPr>
        <w:pStyle w:val="ListParagraph"/>
        <w:numPr>
          <w:ilvl w:val="0"/>
          <w:numId w:val="6"/>
        </w:numPr>
        <w:spacing w:after="0" w:line="276" w:lineRule="auto"/>
        <w:ind w:left="0" w:firstLine="284"/>
        <w:jc w:val="both"/>
        <w:rPr>
          <w:rFonts w:ascii="Sylfaen" w:hAnsi="Sylfaen"/>
          <w:sz w:val="24"/>
          <w:szCs w:val="24"/>
          <w:lang w:val="ka-GE"/>
        </w:rPr>
      </w:pPr>
      <w:r w:rsidRPr="002B3758">
        <w:rPr>
          <w:rFonts w:ascii="Sylfaen" w:hAnsi="Sylfaen"/>
          <w:sz w:val="24"/>
          <w:szCs w:val="24"/>
          <w:lang w:val="ka-GE"/>
        </w:rPr>
        <w:t xml:space="preserve">მოსარჩელე მხარის არგუმენტაციის გათვალისწინებით, </w:t>
      </w:r>
      <w:r w:rsidR="00666877" w:rsidRPr="002B3758">
        <w:rPr>
          <w:rFonts w:ascii="Sylfaen" w:hAnsi="Sylfaen"/>
          <w:sz w:val="24"/>
          <w:szCs w:val="24"/>
          <w:lang w:val="ka-GE"/>
        </w:rPr>
        <w:t>ნათელია, რომ განსახილველ საქმეზე მოსარჩელის</w:t>
      </w:r>
      <w:r w:rsidRPr="002B3758">
        <w:rPr>
          <w:rFonts w:ascii="Sylfaen" w:hAnsi="Sylfaen"/>
          <w:sz w:val="24"/>
          <w:szCs w:val="24"/>
          <w:lang w:val="ka-GE"/>
        </w:rPr>
        <w:t xml:space="preserve"> მოთხოვნა</w:t>
      </w:r>
      <w:r w:rsidR="00666877" w:rsidRPr="002B3758">
        <w:rPr>
          <w:rFonts w:ascii="Sylfaen" w:hAnsi="Sylfaen"/>
          <w:sz w:val="24"/>
          <w:szCs w:val="24"/>
          <w:lang w:val="ka-GE"/>
        </w:rPr>
        <w:t xml:space="preserve"> უკავშირდება სადავო ნორმი</w:t>
      </w:r>
      <w:r w:rsidR="009E17EB" w:rsidRPr="002B3758">
        <w:rPr>
          <w:rFonts w:ascii="Sylfaen" w:hAnsi="Sylfaen"/>
          <w:sz w:val="24"/>
          <w:szCs w:val="24"/>
          <w:lang w:val="ka-GE"/>
        </w:rPr>
        <w:t>ს</w:t>
      </w:r>
      <w:r w:rsidR="00666877" w:rsidRPr="002B3758">
        <w:rPr>
          <w:rFonts w:ascii="Sylfaen" w:hAnsi="Sylfaen"/>
          <w:sz w:val="24"/>
          <w:szCs w:val="24"/>
          <w:lang w:val="ka-GE"/>
        </w:rPr>
        <w:t xml:space="preserve"> დისპოზიციიდან მომდინარე სამართალდარღვევისათვის საქართველოს კონსტიტუციით განმტკიცებული რიგი უფლებების შეზღუდვას და საქმეზე არ არის წარმოდგენილი არც ერთი არგუმენტი, რომელიც მიმართული იქნებოდა სადავო ნორმით გათვალისწინებული პასუხისმგებლობის ზომის არაკონსტიტუციურობის მტკიცებისაკენ. </w:t>
      </w:r>
      <w:r w:rsidR="00434216" w:rsidRPr="002B3758">
        <w:rPr>
          <w:rFonts w:ascii="Sylfaen" w:hAnsi="Sylfaen"/>
          <w:sz w:val="24"/>
          <w:szCs w:val="24"/>
          <w:lang w:val="ka-GE"/>
        </w:rPr>
        <w:t>შესაბამისად, ამ თვალსაზრისით, კონსტიტუციური სარჩელი დაუსაბუთებლად უნდა იქნეს მიჩნეული.</w:t>
      </w:r>
    </w:p>
    <w:p w14:paraId="2ECCD07D" w14:textId="77777777" w:rsidR="00B93D76" w:rsidRPr="00B93D76" w:rsidRDefault="00434216" w:rsidP="00B93D76">
      <w:pPr>
        <w:pStyle w:val="ListParagraph"/>
        <w:numPr>
          <w:ilvl w:val="0"/>
          <w:numId w:val="6"/>
        </w:numPr>
        <w:spacing w:after="0" w:line="276" w:lineRule="auto"/>
        <w:ind w:left="0" w:firstLine="284"/>
        <w:jc w:val="both"/>
        <w:rPr>
          <w:rFonts w:ascii="Sylfaen" w:hAnsi="Sylfaen"/>
          <w:sz w:val="24"/>
          <w:szCs w:val="24"/>
          <w:lang w:val="ka-GE"/>
        </w:rPr>
      </w:pPr>
      <w:r w:rsidRPr="002B3758">
        <w:rPr>
          <w:rFonts w:ascii="Sylfaen" w:hAnsi="Sylfaen" w:cs="Sylfaen"/>
          <w:sz w:val="24"/>
          <w:szCs w:val="24"/>
          <w:lang w:val="ka-GE"/>
        </w:rPr>
        <w:t>ზემოაღნიშნულიდან გამომდინარე,</w:t>
      </w:r>
      <w:r w:rsidR="00666877" w:rsidRPr="002B3758">
        <w:rPr>
          <w:rFonts w:ascii="Sylfaen" w:hAnsi="Sylfaen" w:cs="Sylfaen"/>
          <w:sz w:val="24"/>
          <w:szCs w:val="24"/>
          <w:lang w:val="ka-GE"/>
        </w:rPr>
        <w:t xml:space="preserve"> </w:t>
      </w:r>
      <w:proofErr w:type="spellStart"/>
      <w:r w:rsidR="00666877" w:rsidRPr="002B3758">
        <w:rPr>
          <w:rFonts w:ascii="Sylfaen" w:hAnsi="Sylfaen" w:cs="Sylfaen"/>
          <w:sz w:val="24"/>
          <w:szCs w:val="24"/>
          <w:lang w:val="ka-GE"/>
        </w:rPr>
        <w:t>სასარჩელო</w:t>
      </w:r>
      <w:proofErr w:type="spellEnd"/>
      <w:r w:rsidR="00666877" w:rsidRPr="002B3758">
        <w:rPr>
          <w:rFonts w:ascii="Sylfaen" w:hAnsi="Sylfaen" w:cs="Sylfaen"/>
          <w:sz w:val="24"/>
          <w:szCs w:val="24"/>
          <w:lang w:val="ka-GE"/>
        </w:rPr>
        <w:t xml:space="preserve"> მოთხოვნის იმ ნაწილში, რომელიც შეეხება </w:t>
      </w:r>
      <w:r w:rsidR="00666877" w:rsidRPr="002B3758">
        <w:rPr>
          <w:rFonts w:ascii="Sylfaen" w:hAnsi="Sylfaen"/>
          <w:sz w:val="24"/>
          <w:szCs w:val="24"/>
          <w:lang w:val="ka-GE"/>
        </w:rPr>
        <w:t>საქართველოს ადმინისტრაციულ სამართალდარღვევათა კოდექსის 121-ე მუხლის პირველი ნაწილის სიტყვების</w:t>
      </w:r>
      <w:r w:rsidR="00180B62">
        <w:rPr>
          <w:rFonts w:ascii="Sylfaen" w:hAnsi="Sylfaen"/>
          <w:sz w:val="24"/>
          <w:szCs w:val="24"/>
          <w:lang w:val="ka-GE"/>
        </w:rPr>
        <w:t xml:space="preserve"> „</w:t>
      </w:r>
      <w:r w:rsidR="00666877" w:rsidRPr="002B3758">
        <w:rPr>
          <w:rFonts w:ascii="Sylfaen" w:hAnsi="Sylfaen"/>
          <w:sz w:val="24"/>
          <w:szCs w:val="24"/>
          <w:lang w:val="ka-GE"/>
        </w:rPr>
        <w:t xml:space="preserve">– </w:t>
      </w:r>
      <w:r w:rsidR="00666877" w:rsidRPr="002B3758">
        <w:rPr>
          <w:rFonts w:ascii="Sylfaen" w:hAnsi="Sylfaen" w:cs="AcadNusx"/>
          <w:bCs/>
          <w:sz w:val="24"/>
          <w:szCs w:val="24"/>
          <w:lang w:val="ka-GE"/>
        </w:rPr>
        <w:t>გამოიწვევს სატრანსპორტო საშუალების ექსპლუატაციის განმახორციელებელი პირის დაჯარიმებას 500 ლარის ოდენობით.“</w:t>
      </w:r>
      <w:r w:rsidR="004835EA" w:rsidRPr="002B3758">
        <w:rPr>
          <w:rFonts w:ascii="Sylfaen" w:hAnsi="Sylfaen" w:cs="AcadNusx"/>
          <w:bCs/>
          <w:sz w:val="24"/>
          <w:szCs w:val="24"/>
          <w:lang w:val="ka-GE"/>
        </w:rPr>
        <w:t xml:space="preserve"> </w:t>
      </w:r>
      <w:r w:rsidR="008D1541">
        <w:rPr>
          <w:rFonts w:ascii="Sylfaen" w:hAnsi="Sylfaen"/>
          <w:sz w:val="24"/>
          <w:szCs w:val="24"/>
          <w:lang w:val="ka-GE"/>
        </w:rPr>
        <w:t>არაკონსტიტუციურად ცნობას</w:t>
      </w:r>
      <w:r w:rsidR="00666877" w:rsidRPr="002B3758">
        <w:rPr>
          <w:rFonts w:ascii="Sylfaen" w:hAnsi="Sylfaen"/>
          <w:sz w:val="24"/>
          <w:szCs w:val="24"/>
          <w:lang w:val="ka-GE"/>
        </w:rPr>
        <w:t xml:space="preserve"> საქართველოს კონსტიტუციის მე-11 მუხლის პირველ პუნქტთან, მე-12 მუხლთან, მე-14 მუხლის პირველ პუნქტთან, მე-19 მუხლის პირველ და მე-2 პუნქტებთან და 34-ე მუხლის მე-2 და მე-3 პუნქტებთან მიმართებით, </w:t>
      </w:r>
      <w:r w:rsidR="008D1541" w:rsidRPr="002B3758">
        <w:rPr>
          <w:rFonts w:ascii="Sylfaen" w:hAnsi="Sylfaen" w:cs="Sylfaen"/>
          <w:sz w:val="24"/>
          <w:szCs w:val="24"/>
          <w:lang w:val="ka-GE"/>
        </w:rPr>
        <w:t>№1713 კონსტიტუციური სარჩელი</w:t>
      </w:r>
      <w:r w:rsidR="008D1541">
        <w:rPr>
          <w:rFonts w:ascii="Sylfaen" w:hAnsi="Sylfaen" w:cs="Sylfaen"/>
          <w:sz w:val="24"/>
          <w:szCs w:val="24"/>
          <w:lang w:val="ka-GE"/>
        </w:rPr>
        <w:t xml:space="preserve"> </w:t>
      </w:r>
      <w:r w:rsidR="00666877" w:rsidRPr="002B3758">
        <w:rPr>
          <w:rFonts w:ascii="Sylfaen" w:hAnsi="Sylfaen"/>
          <w:sz w:val="24"/>
          <w:szCs w:val="24"/>
          <w:lang w:val="ka-GE"/>
        </w:rPr>
        <w:t xml:space="preserve">დაუსაბუთებელია და </w:t>
      </w:r>
      <w:r w:rsidR="002E3D56" w:rsidRPr="002B3758">
        <w:rPr>
          <w:rFonts w:ascii="Sylfaen" w:eastAsia="Times New Roman" w:hAnsi="Sylfaen"/>
          <w:sz w:val="24"/>
          <w:szCs w:val="24"/>
          <w:lang w:val="ka-GE"/>
        </w:rPr>
        <w:t>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2E3D56" w:rsidRPr="002B3758">
        <w:rPr>
          <w:rFonts w:ascii="Sylfaen" w:eastAsia="Times New Roman" w:hAnsi="Sylfaen"/>
          <w:sz w:val="24"/>
          <w:szCs w:val="24"/>
          <w:vertAlign w:val="superscript"/>
          <w:lang w:val="ka-GE"/>
        </w:rPr>
        <w:t>3</w:t>
      </w:r>
      <w:r w:rsidR="002E3D56" w:rsidRPr="002B3758">
        <w:rPr>
          <w:rFonts w:ascii="Sylfaen" w:eastAsia="Times New Roman" w:hAnsi="Sylfaen"/>
          <w:sz w:val="24"/>
          <w:szCs w:val="24"/>
          <w:lang w:val="ka-GE"/>
        </w:rPr>
        <w:t xml:space="preserve"> მუხლის პირველი პუნქტის „ა“ ქვეპუნქტით გათვალისწინებული საფუძველი.</w:t>
      </w:r>
    </w:p>
    <w:p w14:paraId="0BA73778" w14:textId="77777777" w:rsidR="00B93D76" w:rsidRDefault="00975E93"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Sylfaen"/>
          <w:sz w:val="24"/>
          <w:szCs w:val="24"/>
          <w:lang w:val="ka-GE"/>
        </w:rPr>
        <w:lastRenderedPageBreak/>
        <w:t xml:space="preserve">№1713 კონსტიტუციურ სარჩელში </w:t>
      </w:r>
      <w:r w:rsidRPr="00B93D76">
        <w:rPr>
          <w:rFonts w:ascii="Sylfaen" w:hAnsi="Sylfaen"/>
          <w:sz w:val="24"/>
          <w:szCs w:val="24"/>
          <w:lang w:val="ka-GE"/>
        </w:rPr>
        <w:t xml:space="preserve">საქართველოს ადმინისტრაციულ სამართალდარღვევათა კოდექსის 121-ე მუხლის პირველი ნაწილით ადმინისტრაციულ სამართალდარღვევად მიჩნეული ქმედების შემადგენლობის არაკონსტიტუციურად ცნობა მოთხოვნილია, აგრეთვე საქართველოს კონსტიტუციის 34-ე მუხლის მე-2 და მე-3 პუნქტებთან მიმართებით. </w:t>
      </w:r>
    </w:p>
    <w:p w14:paraId="5217A8BC" w14:textId="77777777" w:rsidR="00B93D76" w:rsidRPr="00B93D76" w:rsidRDefault="008C7CD4"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sz w:val="24"/>
          <w:szCs w:val="24"/>
          <w:lang w:val="ka-GE"/>
        </w:rPr>
        <w:t>საქართველოს კონსტიტუციის 34-ე მუხლის მე-2 პუნქტის შესაბამისად, ადამიანის ძირი</w:t>
      </w:r>
      <w:r w:rsidR="00D5674F" w:rsidRPr="00B93D76">
        <w:rPr>
          <w:rFonts w:ascii="Sylfaen" w:hAnsi="Sylfaen"/>
          <w:sz w:val="24"/>
          <w:szCs w:val="24"/>
          <w:lang w:val="ka-GE"/>
        </w:rPr>
        <w:t>თ</w:t>
      </w:r>
      <w:r w:rsidRPr="00B93D76">
        <w:rPr>
          <w:rFonts w:ascii="Sylfaen" w:hAnsi="Sylfaen"/>
          <w:sz w:val="24"/>
          <w:szCs w:val="24"/>
          <w:lang w:val="ka-GE"/>
        </w:rPr>
        <w:t>ადი უფლებების განხორციელებამ არ უნდა დაარღვიოს სხვ</w:t>
      </w:r>
      <w:r w:rsidR="00D5674F" w:rsidRPr="00B93D76">
        <w:rPr>
          <w:rFonts w:ascii="Sylfaen" w:hAnsi="Sylfaen"/>
          <w:sz w:val="24"/>
          <w:szCs w:val="24"/>
          <w:lang w:val="ka-GE"/>
        </w:rPr>
        <w:t xml:space="preserve">ათა უფლებები, ხოლო აღნიშნული მუხლის მე-3 პუნქტით დადგენილია, რომ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 </w:t>
      </w:r>
      <w:r w:rsidR="004A4F57" w:rsidRPr="00B93D76">
        <w:rPr>
          <w:rFonts w:ascii="Sylfaen" w:hAnsi="Sylfaen" w:cs="AcadNusx"/>
          <w:bCs/>
          <w:sz w:val="24"/>
          <w:szCs w:val="24"/>
          <w:lang w:val="ka-GE"/>
        </w:rPr>
        <w:t xml:space="preserve">საქართველოს კონსტიტუციის აღნიშნული დებულებები </w:t>
      </w:r>
      <w:r w:rsidR="001A03DB" w:rsidRPr="00B93D76">
        <w:rPr>
          <w:rFonts w:ascii="Sylfaen" w:hAnsi="Sylfaen" w:cs="AcadNusx"/>
          <w:bCs/>
          <w:sz w:val="24"/>
          <w:szCs w:val="24"/>
          <w:lang w:val="ka-GE"/>
        </w:rPr>
        <w:t xml:space="preserve">განსაზღვრავს ადამიანის ძირითადი უფლებების შეზღუდვის უზრუნველყოფის ზოგად პრინციპებს და არა რომელიმე კონკრეტულ კონსტიტუციურ უფლებას, ცალკეული უფლების ნორმატიულ შინაარსსა თუ ფარგლებს (საქართველოს საკონსტიტუციო სასამართლოს 2022 წლის 4 ნოემბრის №3/8/1470 განჩინება საქმეზე „ფრიდონ ბასილაია და აკაკი თოიძე საქართველოს პარლამენტის წინააღმდეგ“, II-8). </w:t>
      </w:r>
    </w:p>
    <w:p w14:paraId="7FE418A6" w14:textId="77777777" w:rsidR="00B93D76" w:rsidRPr="00B93D76" w:rsidRDefault="001A03DB"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 xml:space="preserve">საქართველოს საკონსტიტუციო სასამართლოს დადგენილი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w:t>
      </w:r>
      <w:proofErr w:type="spellStart"/>
      <w:r w:rsidRPr="00B93D76">
        <w:rPr>
          <w:rFonts w:ascii="Sylfaen" w:hAnsi="Sylfaen" w:cs="AcadNusx"/>
          <w:bCs/>
          <w:sz w:val="24"/>
          <w:szCs w:val="24"/>
          <w:lang w:val="ka-GE"/>
        </w:rPr>
        <w:t>ჰეიკე</w:t>
      </w:r>
      <w:proofErr w:type="spellEnd"/>
      <w:r w:rsidRPr="00B93D76">
        <w:rPr>
          <w:rFonts w:ascii="Sylfaen" w:hAnsi="Sylfaen" w:cs="AcadNusx"/>
          <w:bCs/>
          <w:sz w:val="24"/>
          <w:szCs w:val="24"/>
          <w:lang w:val="ka-GE"/>
        </w:rPr>
        <w:t xml:space="preserve"> </w:t>
      </w:r>
      <w:proofErr w:type="spellStart"/>
      <w:r w:rsidRPr="00B93D76">
        <w:rPr>
          <w:rFonts w:ascii="Sylfaen" w:hAnsi="Sylfaen" w:cs="AcadNusx"/>
          <w:bCs/>
          <w:sz w:val="24"/>
          <w:szCs w:val="24"/>
          <w:lang w:val="ka-GE"/>
        </w:rPr>
        <w:t>ქრონქვისტი</w:t>
      </w:r>
      <w:proofErr w:type="spellEnd"/>
      <w:r w:rsidRPr="00B93D76">
        <w:rPr>
          <w:rFonts w:ascii="Sylfaen" w:hAnsi="Sylfaen" w:cs="AcadNusx"/>
          <w:bCs/>
          <w:sz w:val="24"/>
          <w:szCs w:val="24"/>
          <w:lang w:val="ka-GE"/>
        </w:rPr>
        <w:t xml:space="preserve"> საქართველოს პარლამენტის წინააღმდეგ”, II-60). იმავდროულად,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2013 წლის 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w:t>
      </w:r>
      <w:r w:rsidR="00A93395" w:rsidRPr="00B93D76">
        <w:rPr>
          <w:rFonts w:ascii="Sylfaen" w:hAnsi="Sylfaen" w:cs="AcadNusx"/>
          <w:bCs/>
          <w:sz w:val="24"/>
          <w:szCs w:val="24"/>
          <w:lang w:val="ka-GE"/>
        </w:rPr>
        <w:t>რთველოს პარლამენტის წინააღმდეგ“</w:t>
      </w:r>
      <w:r w:rsidRPr="00B93D76">
        <w:rPr>
          <w:rFonts w:ascii="Sylfaen" w:hAnsi="Sylfaen" w:cs="AcadNusx"/>
          <w:bCs/>
          <w:sz w:val="24"/>
          <w:szCs w:val="24"/>
          <w:lang w:val="ka-GE"/>
        </w:rPr>
        <w:t xml:space="preserve">, II-15). </w:t>
      </w:r>
      <w:r w:rsidR="00A77D30" w:rsidRPr="00B93D76">
        <w:rPr>
          <w:rFonts w:ascii="Sylfaen" w:hAnsi="Sylfaen" w:cs="AcadNusx"/>
          <w:bCs/>
          <w:sz w:val="24"/>
          <w:szCs w:val="24"/>
          <w:lang w:val="ka-GE"/>
        </w:rPr>
        <w:t>შესაბამისად,</w:t>
      </w:r>
      <w:r w:rsidRPr="00B93D76">
        <w:rPr>
          <w:rFonts w:ascii="Sylfaen" w:hAnsi="Sylfaen" w:cs="AcadNusx"/>
          <w:bCs/>
          <w:sz w:val="24"/>
          <w:szCs w:val="24"/>
          <w:lang w:val="ka-GE"/>
        </w:rPr>
        <w:t xml:space="preserve"> </w:t>
      </w:r>
      <w:r w:rsidR="004A4F57" w:rsidRPr="00B93D76">
        <w:rPr>
          <w:rFonts w:ascii="Sylfaen" w:hAnsi="Sylfaen" w:cs="AcadNusx"/>
          <w:bCs/>
          <w:sz w:val="24"/>
          <w:szCs w:val="24"/>
          <w:lang w:val="ka-GE"/>
        </w:rPr>
        <w:t xml:space="preserve">საქართველოს საკონსტიტუციო სასამართლო </w:t>
      </w:r>
      <w:r w:rsidRPr="00B93D76">
        <w:rPr>
          <w:rFonts w:ascii="Sylfaen" w:hAnsi="Sylfaen" w:cs="AcadNusx"/>
          <w:bCs/>
          <w:sz w:val="24"/>
          <w:szCs w:val="24"/>
          <w:lang w:val="ka-GE"/>
        </w:rPr>
        <w:t xml:space="preserve">თითოეული </w:t>
      </w:r>
      <w:r w:rsidR="004A4F57" w:rsidRPr="00B93D76">
        <w:rPr>
          <w:rFonts w:ascii="Sylfaen" w:hAnsi="Sylfaen" w:cs="AcadNusx"/>
          <w:bCs/>
          <w:sz w:val="24"/>
          <w:szCs w:val="24"/>
          <w:lang w:val="ka-GE"/>
        </w:rPr>
        <w:t xml:space="preserve">ინდივიდუალური </w:t>
      </w:r>
      <w:r w:rsidRPr="00B93D76">
        <w:rPr>
          <w:rFonts w:ascii="Sylfaen" w:hAnsi="Sylfaen" w:cs="AcadNusx"/>
          <w:bCs/>
          <w:sz w:val="24"/>
          <w:szCs w:val="24"/>
          <w:lang w:val="ka-GE"/>
        </w:rPr>
        <w:t>საქმის ფარგლებში</w:t>
      </w:r>
      <w:r w:rsidR="004A4F57" w:rsidRPr="00B93D76">
        <w:rPr>
          <w:rFonts w:ascii="Sylfaen" w:hAnsi="Sylfaen" w:cs="AcadNusx"/>
          <w:bCs/>
          <w:sz w:val="24"/>
          <w:szCs w:val="24"/>
          <w:lang w:val="ka-GE"/>
        </w:rPr>
        <w:t>, ყოველ ჯერზე,</w:t>
      </w:r>
      <w:r w:rsidRPr="00B93D76">
        <w:rPr>
          <w:rFonts w:ascii="Sylfaen" w:hAnsi="Sylfaen" w:cs="AcadNusx"/>
          <w:bCs/>
          <w:sz w:val="24"/>
          <w:szCs w:val="24"/>
          <w:lang w:val="ka-GE"/>
        </w:rPr>
        <w:t xml:space="preserve"> აფასებს</w:t>
      </w:r>
      <w:r w:rsidR="004A4F57" w:rsidRPr="00B93D76">
        <w:rPr>
          <w:rFonts w:ascii="Sylfaen" w:hAnsi="Sylfaen" w:cs="AcadNusx"/>
          <w:bCs/>
          <w:sz w:val="24"/>
          <w:szCs w:val="24"/>
          <w:lang w:val="ka-GE"/>
        </w:rPr>
        <w:t xml:space="preserve"> კონკრეტული კონსტიტუციური უფლების შეზღუდვის</w:t>
      </w:r>
      <w:r w:rsidRPr="00B93D76">
        <w:rPr>
          <w:rFonts w:ascii="Sylfaen" w:hAnsi="Sylfaen" w:cs="AcadNusx"/>
          <w:bCs/>
          <w:sz w:val="24"/>
          <w:szCs w:val="24"/>
          <w:lang w:val="ka-GE"/>
        </w:rPr>
        <w:t xml:space="preserve"> ლეგიტიმური მიზნის არსებობასა და </w:t>
      </w:r>
      <w:r w:rsidR="004A4F57" w:rsidRPr="00B93D76">
        <w:rPr>
          <w:rFonts w:ascii="Sylfaen" w:hAnsi="Sylfaen" w:cs="AcadNusx"/>
          <w:bCs/>
          <w:sz w:val="24"/>
          <w:szCs w:val="24"/>
          <w:lang w:val="ka-GE"/>
        </w:rPr>
        <w:t>თავად შეზღუდვის</w:t>
      </w:r>
      <w:r w:rsidRPr="00B93D76">
        <w:rPr>
          <w:rFonts w:ascii="Sylfaen" w:hAnsi="Sylfaen" w:cs="AcadNusx"/>
          <w:bCs/>
          <w:sz w:val="24"/>
          <w:szCs w:val="24"/>
          <w:lang w:val="ka-GE"/>
        </w:rPr>
        <w:t xml:space="preserve"> შესაბამისობას თანაზომიერების პრინციპის მოთხოვნებთან.</w:t>
      </w:r>
    </w:p>
    <w:p w14:paraId="616D03F2" w14:textId="77777777" w:rsidR="00B93D76" w:rsidRPr="00B93D76" w:rsidRDefault="00A77D30"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 xml:space="preserve">ამრიგად, საქართველოს საკონსტიტუციო სასამართლოს პრაქტიკის თანახმად, საქართველოს 34-ე მუხლის მე-2 და მე-3 პუნქტების მოთხოვნებით </w:t>
      </w:r>
      <w:proofErr w:type="spellStart"/>
      <w:r w:rsidRPr="00B93D76">
        <w:rPr>
          <w:rFonts w:ascii="Sylfaen" w:hAnsi="Sylfaen" w:cs="AcadNusx"/>
          <w:bCs/>
          <w:sz w:val="24"/>
          <w:szCs w:val="24"/>
          <w:lang w:val="ka-GE"/>
        </w:rPr>
        <w:t>ბოჭვის</w:t>
      </w:r>
      <w:proofErr w:type="spellEnd"/>
      <w:r w:rsidRPr="00B93D76">
        <w:rPr>
          <w:rFonts w:ascii="Sylfaen" w:hAnsi="Sylfaen" w:cs="AcadNusx"/>
          <w:bCs/>
          <w:sz w:val="24"/>
          <w:szCs w:val="24"/>
          <w:lang w:val="ka-GE"/>
        </w:rPr>
        <w:t xml:space="preserve"> ვალდებულება, თავისთავად, მომდინარეობს საქართველოს </w:t>
      </w:r>
      <w:r w:rsidRPr="00B93D76">
        <w:rPr>
          <w:rFonts w:ascii="Sylfaen" w:hAnsi="Sylfaen" w:cs="AcadNusx"/>
          <w:bCs/>
          <w:sz w:val="24"/>
          <w:szCs w:val="24"/>
          <w:lang w:val="ka-GE"/>
        </w:rPr>
        <w:lastRenderedPageBreak/>
        <w:t>კონსტიტუციის მეორე თავით დაცული თითოეული უფლებიდან და წარმოადგენს ძირითად კონსტიტუციურ უფლებათა და თავისუფლებათა დაცვის თვითმყოფად საშუალებას. შესაბამისად, დასახელებული კონსტიტუციური ჩანაწერები წარმოადგენს უფლების დაცვის ძირითად მსაზღვრელ პრინციპებს და არა თავად უფლებებს, რომლებთან მიმართებითაც საქართველოს საკონსტიტუციო სასამართლო შეაფასებდა სადავო ნორმის კონსტიტუციურობის საკითხს.</w:t>
      </w:r>
      <w:r w:rsidR="00CB611B" w:rsidRPr="00B93D76">
        <w:rPr>
          <w:rFonts w:ascii="Sylfaen" w:hAnsi="Sylfaen" w:cs="AcadNusx"/>
          <w:bCs/>
          <w:sz w:val="24"/>
          <w:szCs w:val="24"/>
          <w:lang w:val="ka-GE"/>
        </w:rPr>
        <w:t xml:space="preserve"> შესაბამისად, მოსარჩელე მხარის მოთხოვნა, ამ თვალსაზრისითაც, უსაფუძვლოა.</w:t>
      </w:r>
    </w:p>
    <w:p w14:paraId="3DE6C4FA" w14:textId="77777777" w:rsidR="00B93D76" w:rsidRPr="00B93D76" w:rsidRDefault="00A77D30"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 xml:space="preserve">ზემოაღნიშნულიდან გამომდინარე, </w:t>
      </w:r>
      <w:proofErr w:type="spellStart"/>
      <w:r w:rsidRPr="00B93D76">
        <w:rPr>
          <w:rFonts w:ascii="Sylfaen" w:hAnsi="Sylfaen" w:cs="Sylfaen"/>
          <w:sz w:val="24"/>
          <w:szCs w:val="24"/>
          <w:lang w:val="ka-GE"/>
        </w:rPr>
        <w:t>სასარჩელო</w:t>
      </w:r>
      <w:proofErr w:type="spellEnd"/>
      <w:r w:rsidRPr="00B93D76">
        <w:rPr>
          <w:rFonts w:ascii="Sylfaen" w:hAnsi="Sylfaen" w:cs="Sylfaen"/>
          <w:sz w:val="24"/>
          <w:szCs w:val="24"/>
          <w:lang w:val="ka-GE"/>
        </w:rPr>
        <w:t xml:space="preserve"> მოთხოვნის იმ ნაწილში, რომელიც შეეხება </w:t>
      </w:r>
      <w:r w:rsidRPr="00B93D76">
        <w:rPr>
          <w:rFonts w:ascii="Sylfaen" w:hAnsi="Sylfaen"/>
          <w:sz w:val="24"/>
          <w:szCs w:val="24"/>
          <w:lang w:val="ka-GE"/>
        </w:rPr>
        <w:t>საქართველოს ადმინისტრაციულ სამართალდარღვევათა კოდექსის 121-ე მუხლის პირველი ნაწილის სიტყვების „</w:t>
      </w:r>
      <w:r w:rsidRPr="00B93D76">
        <w:rPr>
          <w:rFonts w:ascii="Sylfaen" w:hAnsi="Sylfaen" w:cs="AcadNusx"/>
          <w:bCs/>
          <w:sz w:val="24"/>
          <w:szCs w:val="24"/>
          <w:lang w:val="ka-GE"/>
        </w:rPr>
        <w:t xml:space="preserve">სატრანსპორტო საშუალების მართვა პირის მიერ, რომელსაც არ აქვს სატრანსპორტო საშუალების მართვის უფლება ან ეს უფლება შეჩერებული აქვს სხვა დარღვევისათვის,“ </w:t>
      </w:r>
      <w:r w:rsidR="008D1541" w:rsidRPr="00B93D76">
        <w:rPr>
          <w:rFonts w:ascii="Sylfaen" w:hAnsi="Sylfaen" w:cs="AcadNusx"/>
          <w:bCs/>
          <w:sz w:val="24"/>
          <w:szCs w:val="24"/>
          <w:lang w:val="ka-GE"/>
        </w:rPr>
        <w:t>არაკონსტიტუციურად ცნობას</w:t>
      </w:r>
      <w:r w:rsidRPr="00B93D76">
        <w:rPr>
          <w:rFonts w:ascii="Sylfaen" w:hAnsi="Sylfaen" w:cs="AcadNusx"/>
          <w:bCs/>
          <w:sz w:val="24"/>
          <w:szCs w:val="24"/>
          <w:lang w:val="ka-GE"/>
        </w:rPr>
        <w:t xml:space="preserve"> საქართველოს კონსტიტუციის </w:t>
      </w:r>
      <w:r w:rsidRPr="00B93D76">
        <w:rPr>
          <w:rFonts w:ascii="Sylfaen" w:hAnsi="Sylfaen"/>
          <w:sz w:val="24"/>
          <w:szCs w:val="24"/>
          <w:lang w:val="ka-GE"/>
        </w:rPr>
        <w:t xml:space="preserve">34-ე მუხლის მე-2 და მე-3 პუნქტებთან მიმართებით, </w:t>
      </w:r>
      <w:r w:rsidR="008D1541" w:rsidRPr="00B93D76">
        <w:rPr>
          <w:rFonts w:ascii="Sylfaen" w:hAnsi="Sylfaen" w:cs="Sylfaen"/>
          <w:sz w:val="24"/>
          <w:szCs w:val="24"/>
          <w:lang w:val="ka-GE"/>
        </w:rPr>
        <w:t xml:space="preserve">№1713 კონსტიტუციური სარჩელი </w:t>
      </w:r>
      <w:r w:rsidRPr="00B93D76">
        <w:rPr>
          <w:rFonts w:ascii="Sylfaen" w:hAnsi="Sylfaen"/>
          <w:sz w:val="24"/>
          <w:szCs w:val="24"/>
          <w:lang w:val="ka-GE"/>
        </w:rPr>
        <w:t xml:space="preserve">დაუსაბუთებელია და არსებობს </w:t>
      </w:r>
      <w:r w:rsidRPr="00B93D76">
        <w:rPr>
          <w:rFonts w:ascii="Sylfaen" w:eastAsia="Times New Roman" w:hAnsi="Sylfaen"/>
          <w:sz w:val="24"/>
          <w:szCs w:val="24"/>
          <w:lang w:val="ka-GE"/>
        </w:rPr>
        <w:t>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B93D76">
        <w:rPr>
          <w:rFonts w:ascii="Sylfaen" w:eastAsia="Times New Roman" w:hAnsi="Sylfaen"/>
          <w:sz w:val="24"/>
          <w:szCs w:val="24"/>
          <w:vertAlign w:val="superscript"/>
          <w:lang w:val="ka-GE"/>
        </w:rPr>
        <w:t>3</w:t>
      </w:r>
      <w:r w:rsidRPr="00B93D76">
        <w:rPr>
          <w:rFonts w:ascii="Sylfaen" w:eastAsia="Times New Roman" w:hAnsi="Sylfaen"/>
          <w:sz w:val="24"/>
          <w:szCs w:val="24"/>
          <w:lang w:val="ka-GE"/>
        </w:rPr>
        <w:t xml:space="preserve"> მუხლის პირველი პუნქტის „ა“ ქვეპუნქტით გათვალისწინებული საფუძველი.</w:t>
      </w:r>
    </w:p>
    <w:p w14:paraId="72204EB2" w14:textId="77777777" w:rsidR="00B93D76" w:rsidRPr="00B93D76" w:rsidRDefault="00FE5A82"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ამასთან ერთად, მოსარჩელე მხარე სადავო ნორმის არაკონსტიტუციურად ცნობას ითხოვს საქართველოს კონსტიტუცი</w:t>
      </w:r>
      <w:r w:rsidR="0085320C" w:rsidRPr="00B93D76">
        <w:rPr>
          <w:rFonts w:ascii="Sylfaen" w:hAnsi="Sylfaen" w:cs="AcadNusx"/>
          <w:bCs/>
          <w:sz w:val="24"/>
          <w:szCs w:val="24"/>
          <w:lang w:val="ka-GE"/>
        </w:rPr>
        <w:t xml:space="preserve">ის მე-11 მუხლის პირველ პუნქტთან მიმართებით. </w:t>
      </w:r>
    </w:p>
    <w:p w14:paraId="261C642D" w14:textId="77777777" w:rsidR="00B93D76" w:rsidRPr="00B93D76" w:rsidRDefault="008A2B7E"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საქართველოს კონსტიტუციის მე-11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საქართველოს საკონსტიტუციო სასამართლოს განმარტებით, სამართლის წინაშე თანასწორობის ფუნდამენტური უფლების დამდგენი აღნიშნული დებულება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w:t>
      </w:r>
    </w:p>
    <w:p w14:paraId="25064109" w14:textId="77777777" w:rsidR="00B93D76" w:rsidRPr="00B93D76" w:rsidRDefault="0051150C"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 xml:space="preserve">საქართველოს საკონსტიტუციო სასამართლოს </w:t>
      </w:r>
      <w:r w:rsidR="0076563A" w:rsidRPr="00B93D76">
        <w:rPr>
          <w:rFonts w:ascii="Sylfaen" w:hAnsi="Sylfaen" w:cs="AcadNusx"/>
          <w:bCs/>
          <w:sz w:val="24"/>
          <w:szCs w:val="24"/>
          <w:lang w:val="ka-GE"/>
        </w:rPr>
        <w:t xml:space="preserve">პრაქტიკის </w:t>
      </w:r>
      <w:r w:rsidR="000121B1" w:rsidRPr="00B93D76">
        <w:rPr>
          <w:rFonts w:ascii="Sylfaen" w:hAnsi="Sylfaen" w:cs="AcadNusx"/>
          <w:bCs/>
          <w:sz w:val="24"/>
          <w:szCs w:val="24"/>
          <w:lang w:val="ka-GE"/>
        </w:rPr>
        <w:t xml:space="preserve">მიხედვით, </w:t>
      </w:r>
      <w:r w:rsidR="00AE33BD" w:rsidRPr="00B93D76">
        <w:rPr>
          <w:rFonts w:ascii="Sylfaen" w:hAnsi="Sylfaen" w:cs="AcadNusx"/>
          <w:bCs/>
          <w:sz w:val="24"/>
          <w:szCs w:val="24"/>
          <w:lang w:val="ka-GE"/>
        </w:rPr>
        <w:t>სადავო ნორმის</w:t>
      </w:r>
      <w:r w:rsidRPr="00B93D76">
        <w:rPr>
          <w:rFonts w:ascii="Sylfaen" w:hAnsi="Sylfaen" w:cs="AcadNusx"/>
          <w:bCs/>
          <w:sz w:val="24"/>
          <w:szCs w:val="24"/>
          <w:lang w:val="ka-GE"/>
        </w:rPr>
        <w:t xml:space="preserve"> </w:t>
      </w:r>
      <w:r w:rsidR="00DB20C5" w:rsidRPr="00B93D76">
        <w:rPr>
          <w:rFonts w:ascii="Sylfaen" w:hAnsi="Sylfaen" w:cs="AcadNusx"/>
          <w:bCs/>
          <w:sz w:val="24"/>
          <w:szCs w:val="24"/>
          <w:lang w:val="ka-GE"/>
        </w:rPr>
        <w:t xml:space="preserve">საქართველოს კონსტიტუციის მე-11 მუხლის პირველ პუნქტთან </w:t>
      </w:r>
      <w:r w:rsidR="00AE33BD" w:rsidRPr="00B93D76">
        <w:rPr>
          <w:rFonts w:ascii="Sylfaen" w:hAnsi="Sylfaen" w:cs="AcadNusx"/>
          <w:bCs/>
          <w:sz w:val="24"/>
          <w:szCs w:val="24"/>
          <w:lang w:val="ka-GE"/>
        </w:rPr>
        <w:t xml:space="preserve">მიმართებით არსებითად განსახილველად მისაღებად, აუცილებელია, მოსარჩელე </w:t>
      </w:r>
      <w:r w:rsidR="00AE33BD" w:rsidRPr="00B93D76">
        <w:rPr>
          <w:rFonts w:ascii="Sylfaen" w:hAnsi="Sylfaen" w:cs="AcadNusx"/>
          <w:bCs/>
          <w:sz w:val="24"/>
          <w:szCs w:val="24"/>
          <w:lang w:val="ka-GE"/>
        </w:rPr>
        <w:lastRenderedPageBreak/>
        <w:t xml:space="preserve">მხარემ გამოკვეთოს შესადარებელ სუბიექტთა იდენტიფიცირებული ან </w:t>
      </w:r>
      <w:proofErr w:type="spellStart"/>
      <w:r w:rsidR="00AE33BD" w:rsidRPr="00B93D76">
        <w:rPr>
          <w:rFonts w:ascii="Sylfaen" w:hAnsi="Sylfaen" w:cs="AcadNusx"/>
          <w:bCs/>
          <w:sz w:val="24"/>
          <w:szCs w:val="24"/>
          <w:lang w:val="ka-GE"/>
        </w:rPr>
        <w:t>იდენტიფიცირებადი</w:t>
      </w:r>
      <w:proofErr w:type="spellEnd"/>
      <w:r w:rsidR="00AE33BD" w:rsidRPr="00B93D76">
        <w:rPr>
          <w:rFonts w:ascii="Sylfaen" w:hAnsi="Sylfaen" w:cs="AcadNusx"/>
          <w:bCs/>
          <w:sz w:val="24"/>
          <w:szCs w:val="24"/>
          <w:lang w:val="ka-GE"/>
        </w:rPr>
        <w:t xml:space="preserve"> წრე, წარმოაჩინოს </w:t>
      </w:r>
      <w:r w:rsidR="00AE33BD" w:rsidRPr="00B93D76">
        <w:rPr>
          <w:rFonts w:ascii="Sylfaen" w:hAnsi="Sylfaen" w:cs="Sylfaen"/>
          <w:sz w:val="24"/>
          <w:szCs w:val="24"/>
          <w:lang w:val="ka-GE"/>
        </w:rPr>
        <w:t xml:space="preserve">კონკრეტულ </w:t>
      </w:r>
      <w:proofErr w:type="spellStart"/>
      <w:r w:rsidR="00AE33BD" w:rsidRPr="00B93D76">
        <w:rPr>
          <w:rFonts w:ascii="Sylfaen" w:hAnsi="Sylfaen" w:cs="Sylfaen"/>
          <w:sz w:val="24"/>
          <w:szCs w:val="24"/>
          <w:lang w:val="ka-GE"/>
        </w:rPr>
        <w:t>სამართალურთიერთობასთან</w:t>
      </w:r>
      <w:proofErr w:type="spellEnd"/>
      <w:r w:rsidR="00AE33BD" w:rsidRPr="00B93D76">
        <w:rPr>
          <w:rFonts w:ascii="Sylfaen" w:hAnsi="Sylfaen" w:cs="Sylfaen"/>
          <w:sz w:val="24"/>
          <w:szCs w:val="24"/>
          <w:lang w:val="ka-GE"/>
        </w:rPr>
        <w:t xml:space="preserve"> მიმართებით</w:t>
      </w:r>
      <w:r w:rsidR="0076563A" w:rsidRPr="00B93D76">
        <w:rPr>
          <w:rFonts w:ascii="Sylfaen" w:hAnsi="Sylfaen" w:cs="Sylfaen"/>
          <w:sz w:val="24"/>
          <w:szCs w:val="24"/>
          <w:lang w:val="ka-GE"/>
        </w:rPr>
        <w:t xml:space="preserve"> აღნიშნულ პირთა წრის</w:t>
      </w:r>
      <w:r w:rsidR="00AE33BD" w:rsidRPr="00B93D76">
        <w:rPr>
          <w:rFonts w:ascii="Sylfaen" w:hAnsi="Sylfaen" w:cs="Sylfaen"/>
          <w:sz w:val="24"/>
          <w:szCs w:val="24"/>
          <w:lang w:val="ka-GE"/>
        </w:rPr>
        <w:t xml:space="preserve"> არსებითად თანასწორობა, შემდგომში </w:t>
      </w:r>
      <w:r w:rsidR="001C738E" w:rsidRPr="00B93D76">
        <w:rPr>
          <w:rFonts w:ascii="Sylfaen" w:hAnsi="Sylfaen" w:cs="Sylfaen"/>
          <w:sz w:val="24"/>
          <w:szCs w:val="24"/>
          <w:lang w:val="ka-GE"/>
        </w:rPr>
        <w:t xml:space="preserve">კი – </w:t>
      </w:r>
      <w:r w:rsidR="00AE33BD" w:rsidRPr="00B93D76">
        <w:rPr>
          <w:rFonts w:ascii="Sylfaen" w:hAnsi="Sylfaen" w:cs="Sylfaen"/>
          <w:sz w:val="24"/>
          <w:szCs w:val="24"/>
          <w:lang w:val="ka-GE"/>
        </w:rPr>
        <w:t xml:space="preserve">დიფერენცირებული მოპყრობა არსებითად თანასწორი პირების მიმართ ან თანასწორი მოპყრობა </w:t>
      </w:r>
      <w:r w:rsidR="00AE33BD" w:rsidRPr="00B93D76">
        <w:rPr>
          <w:rFonts w:ascii="Times New Roman" w:hAnsi="Times New Roman"/>
          <w:sz w:val="24"/>
          <w:szCs w:val="24"/>
          <w:lang w:val="ka-GE"/>
        </w:rPr>
        <w:t>‒</w:t>
      </w:r>
      <w:r w:rsidR="00AE33BD" w:rsidRPr="00B93D76">
        <w:rPr>
          <w:rFonts w:ascii="Sylfaen" w:hAnsi="Sylfaen" w:cs="Sylfaen"/>
          <w:sz w:val="24"/>
          <w:szCs w:val="24"/>
          <w:lang w:val="ka-GE"/>
        </w:rPr>
        <w:t xml:space="preserve"> არსებითად არათანასწორი პირების მიმართ</w:t>
      </w:r>
      <w:r w:rsidR="001C738E" w:rsidRPr="00B93D76">
        <w:rPr>
          <w:rFonts w:ascii="Sylfaen" w:hAnsi="Sylfaen" w:cs="Sylfaen"/>
          <w:sz w:val="24"/>
          <w:szCs w:val="24"/>
          <w:lang w:val="ka-GE"/>
        </w:rPr>
        <w:t xml:space="preserve">, ისევე, როგორც, გარკვეული ხარისხით, მიუთითოს </w:t>
      </w:r>
      <w:r w:rsidR="00AE33BD" w:rsidRPr="00B93D76">
        <w:rPr>
          <w:rFonts w:ascii="Sylfaen" w:hAnsi="Sylfaen" w:cs="Sylfaen"/>
          <w:sz w:val="24"/>
          <w:szCs w:val="24"/>
          <w:lang w:val="ka-GE"/>
        </w:rPr>
        <w:t xml:space="preserve">დიფერენცირებული მოპყრობის </w:t>
      </w:r>
      <w:proofErr w:type="spellStart"/>
      <w:r w:rsidR="00AE33BD" w:rsidRPr="00B93D76">
        <w:rPr>
          <w:rFonts w:ascii="Sylfaen" w:hAnsi="Sylfaen" w:cs="Sylfaen"/>
          <w:sz w:val="24"/>
          <w:szCs w:val="24"/>
          <w:lang w:val="ka-GE"/>
        </w:rPr>
        <w:t>დისკრიმინაციულობა</w:t>
      </w:r>
      <w:r w:rsidR="001C738E" w:rsidRPr="00B93D76">
        <w:rPr>
          <w:rFonts w:ascii="Sylfaen" w:hAnsi="Sylfaen" w:cs="Sylfaen"/>
          <w:sz w:val="24"/>
          <w:szCs w:val="24"/>
          <w:lang w:val="ka-GE"/>
        </w:rPr>
        <w:t>ზე</w:t>
      </w:r>
      <w:proofErr w:type="spellEnd"/>
      <w:r w:rsidR="001C738E" w:rsidRPr="00B93D76">
        <w:rPr>
          <w:rFonts w:ascii="Sylfaen" w:hAnsi="Sylfaen" w:cs="Sylfaen"/>
          <w:sz w:val="24"/>
          <w:szCs w:val="24"/>
          <w:lang w:val="ka-GE"/>
        </w:rPr>
        <w:t xml:space="preserve">, არაკონსტიტუციურობაზე. </w:t>
      </w:r>
      <w:r w:rsidR="003E00F4" w:rsidRPr="00B93D76">
        <w:rPr>
          <w:rFonts w:ascii="Sylfaen" w:hAnsi="Sylfaen" w:cs="Sylfaen"/>
          <w:sz w:val="24"/>
          <w:szCs w:val="24"/>
          <w:lang w:val="ka-GE"/>
        </w:rPr>
        <w:t>საპირისპიროდ, №1713 კონსტიტუციურ სარჩელში</w:t>
      </w:r>
      <w:r w:rsidR="00473A5D" w:rsidRPr="00B93D76">
        <w:rPr>
          <w:rFonts w:ascii="Sylfaen" w:hAnsi="Sylfaen" w:cs="Sylfaen"/>
          <w:sz w:val="24"/>
          <w:szCs w:val="24"/>
          <w:lang w:val="ka-GE"/>
        </w:rPr>
        <w:t>,</w:t>
      </w:r>
      <w:r w:rsidR="003E00F4" w:rsidRPr="00B93D76">
        <w:rPr>
          <w:rFonts w:ascii="Sylfaen" w:hAnsi="Sylfaen" w:cs="Sylfaen"/>
          <w:sz w:val="24"/>
          <w:szCs w:val="24"/>
          <w:lang w:val="ka-GE"/>
        </w:rPr>
        <w:t xml:space="preserve"> მოსარჩელის მხრიდან არ ყოფილა წარმოდგენილი არც ერთი არგუმენტი, რომელიც</w:t>
      </w:r>
      <w:r w:rsidR="001D2744" w:rsidRPr="00B93D76">
        <w:rPr>
          <w:rFonts w:ascii="Sylfaen" w:hAnsi="Sylfaen" w:cs="Sylfaen"/>
          <w:sz w:val="24"/>
          <w:szCs w:val="24"/>
          <w:lang w:val="ka-GE"/>
        </w:rPr>
        <w:t>, ზემოხსენებული ელემენტების გათვალისწინებით,</w:t>
      </w:r>
      <w:r w:rsidR="003E00F4" w:rsidRPr="00B93D76">
        <w:rPr>
          <w:rFonts w:ascii="Sylfaen" w:hAnsi="Sylfaen" w:cs="Sylfaen"/>
          <w:sz w:val="24"/>
          <w:szCs w:val="24"/>
          <w:lang w:val="ka-GE"/>
        </w:rPr>
        <w:t xml:space="preserve"> </w:t>
      </w:r>
      <w:r w:rsidR="001D2744" w:rsidRPr="00B93D76">
        <w:rPr>
          <w:rFonts w:ascii="Sylfaen" w:hAnsi="Sylfaen" w:cs="Sylfaen"/>
          <w:sz w:val="24"/>
          <w:szCs w:val="24"/>
          <w:lang w:val="ka-GE"/>
        </w:rPr>
        <w:t>გასაჩივრებული ნორმიდან მომდინარე საქართველოს კონსტიტუციის მე-11 მუხლის პირველი პუნქტის შეზღუდვაზე მიუთითებდა. ამრიგად, კ</w:t>
      </w:r>
      <w:r w:rsidR="008227D6" w:rsidRPr="00B93D76">
        <w:rPr>
          <w:rFonts w:ascii="Sylfaen" w:hAnsi="Sylfaen" w:cs="Sylfaen"/>
          <w:sz w:val="24"/>
          <w:szCs w:val="24"/>
          <w:lang w:val="ka-GE"/>
        </w:rPr>
        <w:t>ონსტიტუციური სარჩელი, ამ მხრივ</w:t>
      </w:r>
      <w:r w:rsidR="001D2744" w:rsidRPr="00B93D76">
        <w:rPr>
          <w:rFonts w:ascii="Sylfaen" w:hAnsi="Sylfaen" w:cs="Sylfaen"/>
          <w:sz w:val="24"/>
          <w:szCs w:val="24"/>
          <w:lang w:val="ka-GE"/>
        </w:rPr>
        <w:t xml:space="preserve">, დაუსაბუთებლად უნდა იქნეს მიჩნეული. </w:t>
      </w:r>
    </w:p>
    <w:p w14:paraId="6C06AC5A" w14:textId="77777777" w:rsidR="00B93D76" w:rsidRPr="00B93D76" w:rsidRDefault="008B3A0D"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მოსარჩელე მხარე</w:t>
      </w:r>
      <w:r w:rsidR="00540240" w:rsidRPr="00B93D76">
        <w:rPr>
          <w:rFonts w:ascii="Sylfaen" w:hAnsi="Sylfaen" w:cs="AcadNusx"/>
          <w:bCs/>
          <w:sz w:val="24"/>
          <w:szCs w:val="24"/>
          <w:lang w:val="ka-GE"/>
        </w:rPr>
        <w:t xml:space="preserve"> სადავო ნორმა</w:t>
      </w:r>
      <w:r w:rsidRPr="00B93D76">
        <w:rPr>
          <w:rFonts w:ascii="Sylfaen" w:hAnsi="Sylfaen" w:cs="AcadNusx"/>
          <w:bCs/>
          <w:sz w:val="24"/>
          <w:szCs w:val="24"/>
          <w:lang w:val="ka-GE"/>
        </w:rPr>
        <w:t>ს</w:t>
      </w:r>
      <w:r w:rsidR="00540240" w:rsidRPr="00B93D76">
        <w:rPr>
          <w:rFonts w:ascii="Sylfaen" w:hAnsi="Sylfaen" w:cs="AcadNusx"/>
          <w:bCs/>
          <w:sz w:val="24"/>
          <w:szCs w:val="24"/>
          <w:lang w:val="ka-GE"/>
        </w:rPr>
        <w:t xml:space="preserve"> არაკონსტიტუციურად </w:t>
      </w:r>
      <w:r w:rsidRPr="00B93D76">
        <w:rPr>
          <w:rFonts w:ascii="Sylfaen" w:hAnsi="Sylfaen" w:cs="AcadNusx"/>
          <w:bCs/>
          <w:sz w:val="24"/>
          <w:szCs w:val="24"/>
          <w:lang w:val="ka-GE"/>
        </w:rPr>
        <w:t>მიიჩნევს,</w:t>
      </w:r>
      <w:r w:rsidR="000121B1" w:rsidRPr="00B93D76">
        <w:rPr>
          <w:rFonts w:ascii="Sylfaen" w:hAnsi="Sylfaen" w:cs="AcadNusx"/>
          <w:bCs/>
          <w:sz w:val="24"/>
          <w:szCs w:val="24"/>
          <w:lang w:val="ka-GE"/>
        </w:rPr>
        <w:t xml:space="preserve"> </w:t>
      </w:r>
      <w:r w:rsidR="00540240" w:rsidRPr="00B93D76">
        <w:rPr>
          <w:rFonts w:ascii="Sylfaen" w:hAnsi="Sylfaen" w:cs="AcadNusx"/>
          <w:bCs/>
          <w:sz w:val="24"/>
          <w:szCs w:val="24"/>
          <w:lang w:val="ka-GE"/>
        </w:rPr>
        <w:t>აგრეთვე საქართველოს კონსტიტუციის</w:t>
      </w:r>
      <w:r w:rsidR="0056432E" w:rsidRPr="00B93D76">
        <w:rPr>
          <w:rFonts w:ascii="Sylfaen" w:hAnsi="Sylfaen" w:cs="AcadNusx"/>
          <w:bCs/>
          <w:sz w:val="24"/>
          <w:szCs w:val="24"/>
          <w:lang w:val="ka-GE"/>
        </w:rPr>
        <w:t xml:space="preserve"> მე-14 მუხლის პირველ პუნქტთან და</w:t>
      </w:r>
      <w:r w:rsidR="00540240" w:rsidRPr="00B93D76">
        <w:rPr>
          <w:rFonts w:ascii="Sylfaen" w:hAnsi="Sylfaen" w:cs="AcadNusx"/>
          <w:bCs/>
          <w:sz w:val="24"/>
          <w:szCs w:val="24"/>
          <w:lang w:val="ka-GE"/>
        </w:rPr>
        <w:t xml:space="preserve"> მე-19 მუხლის პირველ და მე-2 პუნქტებთან მიმართებით.</w:t>
      </w:r>
      <w:r w:rsidR="00473E5D" w:rsidRPr="00B93D76">
        <w:rPr>
          <w:rFonts w:ascii="Sylfaen" w:hAnsi="Sylfaen" w:cs="AcadNusx"/>
          <w:bCs/>
          <w:sz w:val="24"/>
          <w:szCs w:val="24"/>
          <w:lang w:val="ka-GE"/>
        </w:rPr>
        <w:t xml:space="preserve"> </w:t>
      </w:r>
      <w:r w:rsidR="0048688A" w:rsidRPr="00B93D76">
        <w:rPr>
          <w:rFonts w:ascii="Sylfaen" w:hAnsi="Sylfaen" w:cs="AcadNusx"/>
          <w:bCs/>
          <w:sz w:val="24"/>
          <w:szCs w:val="24"/>
          <w:lang w:val="ka-GE"/>
        </w:rPr>
        <w:t xml:space="preserve">საქართველოს კონსტიტუციის მე-14 მუხლის პირველი პუნქტით გარანტირებულია </w:t>
      </w:r>
      <w:r w:rsidR="0056432E" w:rsidRPr="00B93D76">
        <w:rPr>
          <w:rFonts w:ascii="Sylfaen" w:hAnsi="Sylfaen" w:cs="AcadNusx"/>
          <w:bCs/>
          <w:sz w:val="24"/>
          <w:szCs w:val="24"/>
          <w:lang w:val="ka-GE"/>
        </w:rPr>
        <w:t>საქართველოს ტერიტორიაზე თავისუფლად მიმოსვლის უფლება</w:t>
      </w:r>
      <w:r w:rsidR="00AA64E4" w:rsidRPr="00B93D76">
        <w:rPr>
          <w:rFonts w:ascii="Sylfaen" w:hAnsi="Sylfaen" w:cs="AcadNusx"/>
          <w:bCs/>
          <w:sz w:val="24"/>
          <w:szCs w:val="24"/>
        </w:rPr>
        <w:t xml:space="preserve">. </w:t>
      </w:r>
      <w:r w:rsidR="00A4286E" w:rsidRPr="00B93D76">
        <w:rPr>
          <w:rFonts w:ascii="Sylfaen" w:hAnsi="Sylfaen" w:cs="AcadNusx"/>
          <w:bCs/>
          <w:sz w:val="24"/>
          <w:szCs w:val="24"/>
          <w:lang w:val="ka-GE"/>
        </w:rPr>
        <w:t xml:space="preserve">საქართველოს კონსტიტუციის მე-19 მუხლის პირველი და მე-2 პუნქტებით კი აღიარებული და უზრუნველყოფილია </w:t>
      </w:r>
      <w:r w:rsidR="004660E7" w:rsidRPr="00B93D76">
        <w:rPr>
          <w:rFonts w:ascii="Sylfaen" w:hAnsi="Sylfaen" w:cs="AcadNusx"/>
          <w:bCs/>
          <w:sz w:val="24"/>
          <w:szCs w:val="24"/>
          <w:lang w:val="ka-GE"/>
        </w:rPr>
        <w:t>საკუთ</w:t>
      </w:r>
      <w:r w:rsidR="004F12BB" w:rsidRPr="00B93D76">
        <w:rPr>
          <w:rFonts w:ascii="Sylfaen" w:hAnsi="Sylfaen" w:cs="AcadNusx"/>
          <w:bCs/>
          <w:sz w:val="24"/>
          <w:szCs w:val="24"/>
          <w:lang w:val="ka-GE"/>
        </w:rPr>
        <w:t xml:space="preserve">რებისა და მემკვიდრეობის უფლებები და გათვალისწინებულია ხსენებული უფლებების შეზღუდვის საფუძველი და წესი. </w:t>
      </w:r>
      <w:r w:rsidR="00473E5D" w:rsidRPr="00B93D76">
        <w:rPr>
          <w:rFonts w:ascii="Sylfaen" w:hAnsi="Sylfaen" w:cs="AcadNusx"/>
          <w:bCs/>
          <w:sz w:val="24"/>
          <w:szCs w:val="24"/>
          <w:lang w:val="ka-GE"/>
        </w:rPr>
        <w:t>განსახილველ საქმეზე სადავოდ გამხდარი ნორმა ადმინისტრაციულ სამართალდარღვევად აცხადებს სატრანსპორტო საშუალების მართვას პირის მიერ, რომელსაც არ აქვს სატრანსპორტო საშუალების მართვის უფლება ან ეს უფლება შეჩერებული აქვს სხვა დარღვევისათვის</w:t>
      </w:r>
      <w:r w:rsidR="00AD6831" w:rsidRPr="00B93D76">
        <w:rPr>
          <w:rFonts w:ascii="Sylfaen" w:hAnsi="Sylfaen" w:cs="AcadNusx"/>
          <w:bCs/>
          <w:sz w:val="24"/>
          <w:szCs w:val="24"/>
          <w:lang w:val="ka-GE"/>
        </w:rPr>
        <w:t>.</w:t>
      </w:r>
      <w:r w:rsidR="00D0719E" w:rsidRPr="00B93D76">
        <w:rPr>
          <w:rFonts w:ascii="Sylfaen" w:hAnsi="Sylfaen" w:cs="AcadNusx"/>
          <w:bCs/>
          <w:sz w:val="24"/>
          <w:szCs w:val="24"/>
          <w:lang w:val="ka-GE"/>
        </w:rPr>
        <w:t xml:space="preserve"> </w:t>
      </w:r>
      <w:r w:rsidR="00AD6831" w:rsidRPr="00B93D76">
        <w:rPr>
          <w:rFonts w:ascii="Sylfaen" w:hAnsi="Sylfaen" w:cs="AcadNusx"/>
          <w:bCs/>
          <w:sz w:val="24"/>
          <w:szCs w:val="24"/>
          <w:lang w:val="ka-GE"/>
        </w:rPr>
        <w:t xml:space="preserve">ამ მხრივ, </w:t>
      </w:r>
      <w:r w:rsidR="00D0719E" w:rsidRPr="00B93D76">
        <w:rPr>
          <w:rFonts w:ascii="Sylfaen" w:hAnsi="Sylfaen" w:cs="AcadNusx"/>
          <w:bCs/>
          <w:sz w:val="24"/>
          <w:szCs w:val="24"/>
          <w:lang w:val="ka-GE"/>
        </w:rPr>
        <w:t>მოსარჩელეს არ წარმოუდგენია</w:t>
      </w:r>
      <w:r w:rsidR="001B5ED8" w:rsidRPr="00B93D76">
        <w:rPr>
          <w:rFonts w:ascii="Sylfaen" w:hAnsi="Sylfaen" w:cs="AcadNusx"/>
          <w:bCs/>
          <w:sz w:val="24"/>
          <w:szCs w:val="24"/>
          <w:lang w:val="ka-GE"/>
        </w:rPr>
        <w:t xml:space="preserve"> არც ერთი არგუმენტი</w:t>
      </w:r>
      <w:r w:rsidR="00205FFA" w:rsidRPr="00B93D76">
        <w:rPr>
          <w:rFonts w:ascii="Sylfaen" w:hAnsi="Sylfaen" w:cs="AcadNusx"/>
          <w:bCs/>
          <w:sz w:val="24"/>
          <w:szCs w:val="24"/>
          <w:lang w:val="ka-GE"/>
        </w:rPr>
        <w:t>,</w:t>
      </w:r>
      <w:r w:rsidR="00AD6831" w:rsidRPr="00B93D76">
        <w:rPr>
          <w:rFonts w:ascii="Sylfaen" w:hAnsi="Sylfaen" w:cs="AcadNusx"/>
          <w:bCs/>
          <w:sz w:val="24"/>
          <w:szCs w:val="24"/>
          <w:lang w:val="ka-GE"/>
        </w:rPr>
        <w:t xml:space="preserve"> რომელიც წარმოაჩენდა</w:t>
      </w:r>
      <w:r w:rsidR="001B5ED8" w:rsidRPr="00B93D76">
        <w:rPr>
          <w:rFonts w:ascii="Sylfaen" w:hAnsi="Sylfaen" w:cs="AcadNusx"/>
          <w:bCs/>
          <w:sz w:val="24"/>
          <w:szCs w:val="24"/>
          <w:lang w:val="ka-GE"/>
        </w:rPr>
        <w:t xml:space="preserve">, რა კავშირი არსებობს სადავო ნორმით გათვალისწინებულ პასუხისმგებლობასა და </w:t>
      </w:r>
      <w:r w:rsidR="00235230" w:rsidRPr="00B93D76">
        <w:rPr>
          <w:rFonts w:ascii="Sylfaen" w:hAnsi="Sylfaen" w:cs="AcadNusx"/>
          <w:bCs/>
          <w:sz w:val="24"/>
          <w:szCs w:val="24"/>
          <w:lang w:val="ka-GE"/>
        </w:rPr>
        <w:t xml:space="preserve">საქართველოს ტერიტორიაზე თავისუფლად მიმოსვლის ან/და </w:t>
      </w:r>
      <w:r w:rsidR="001B5ED8" w:rsidRPr="00B93D76">
        <w:rPr>
          <w:rFonts w:ascii="Sylfaen" w:hAnsi="Sylfaen" w:cs="AcadNusx"/>
          <w:bCs/>
          <w:sz w:val="24"/>
          <w:szCs w:val="24"/>
          <w:lang w:val="ka-GE"/>
        </w:rPr>
        <w:t>საკუთრების უფლებ</w:t>
      </w:r>
      <w:r w:rsidR="00235230" w:rsidRPr="00B93D76">
        <w:rPr>
          <w:rFonts w:ascii="Sylfaen" w:hAnsi="Sylfaen" w:cs="AcadNusx"/>
          <w:bCs/>
          <w:sz w:val="24"/>
          <w:szCs w:val="24"/>
          <w:lang w:val="ka-GE"/>
        </w:rPr>
        <w:t>ებ</w:t>
      </w:r>
      <w:r w:rsidR="001B5ED8" w:rsidRPr="00B93D76">
        <w:rPr>
          <w:rFonts w:ascii="Sylfaen" w:hAnsi="Sylfaen" w:cs="AcadNusx"/>
          <w:bCs/>
          <w:sz w:val="24"/>
          <w:szCs w:val="24"/>
          <w:lang w:val="ka-GE"/>
        </w:rPr>
        <w:t>ს შორის და</w:t>
      </w:r>
      <w:r w:rsidR="00D0719E" w:rsidRPr="00B93D76">
        <w:rPr>
          <w:rFonts w:ascii="Sylfaen" w:hAnsi="Sylfaen" w:cs="AcadNusx"/>
          <w:bCs/>
          <w:sz w:val="24"/>
          <w:szCs w:val="24"/>
          <w:lang w:val="ka-GE"/>
        </w:rPr>
        <w:t xml:space="preserve"> რა თვალსაზრისით ზღუდავს </w:t>
      </w:r>
      <w:r w:rsidR="001B5ED8" w:rsidRPr="00B93D76">
        <w:rPr>
          <w:rFonts w:ascii="Sylfaen" w:hAnsi="Sylfaen" w:cs="AcadNusx"/>
          <w:bCs/>
          <w:sz w:val="24"/>
          <w:szCs w:val="24"/>
          <w:lang w:val="ka-GE"/>
        </w:rPr>
        <w:t xml:space="preserve">იგი </w:t>
      </w:r>
      <w:r w:rsidR="00235230" w:rsidRPr="00B93D76">
        <w:rPr>
          <w:rFonts w:ascii="Sylfaen" w:hAnsi="Sylfaen" w:cs="AcadNusx"/>
          <w:bCs/>
          <w:sz w:val="24"/>
          <w:szCs w:val="24"/>
          <w:lang w:val="ka-GE"/>
        </w:rPr>
        <w:t>აღნიშნულ</w:t>
      </w:r>
      <w:r w:rsidR="00AD6831" w:rsidRPr="00B93D76">
        <w:rPr>
          <w:rFonts w:ascii="Sylfaen" w:hAnsi="Sylfaen" w:cs="AcadNusx"/>
          <w:bCs/>
          <w:sz w:val="24"/>
          <w:szCs w:val="24"/>
          <w:lang w:val="ka-GE"/>
        </w:rPr>
        <w:t xml:space="preserve"> კონსტიტუციურ უფლებ</w:t>
      </w:r>
      <w:r w:rsidR="00235230" w:rsidRPr="00B93D76">
        <w:rPr>
          <w:rFonts w:ascii="Sylfaen" w:hAnsi="Sylfaen" w:cs="AcadNusx"/>
          <w:bCs/>
          <w:sz w:val="24"/>
          <w:szCs w:val="24"/>
          <w:lang w:val="ka-GE"/>
        </w:rPr>
        <w:t>ებ</w:t>
      </w:r>
      <w:r w:rsidR="00AD6831" w:rsidRPr="00B93D76">
        <w:rPr>
          <w:rFonts w:ascii="Sylfaen" w:hAnsi="Sylfaen" w:cs="AcadNusx"/>
          <w:bCs/>
          <w:sz w:val="24"/>
          <w:szCs w:val="24"/>
          <w:lang w:val="ka-GE"/>
        </w:rPr>
        <w:t>ს.</w:t>
      </w:r>
    </w:p>
    <w:p w14:paraId="13963849" w14:textId="77777777" w:rsidR="00B93D76" w:rsidRPr="00B93D76" w:rsidRDefault="00E4732A"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ამასთანავე,</w:t>
      </w:r>
      <w:r w:rsidR="000121B1" w:rsidRPr="00B93D76">
        <w:rPr>
          <w:rFonts w:ascii="Sylfaen" w:hAnsi="Sylfaen" w:cs="AcadNusx"/>
          <w:bCs/>
          <w:sz w:val="24"/>
          <w:szCs w:val="24"/>
          <w:lang w:val="ka-GE"/>
        </w:rPr>
        <w:t xml:space="preserve"> მოსარჩელე</w:t>
      </w:r>
      <w:r w:rsidRPr="00B93D76">
        <w:rPr>
          <w:rFonts w:ascii="Sylfaen" w:hAnsi="Sylfaen" w:cs="AcadNusx"/>
          <w:bCs/>
          <w:sz w:val="24"/>
          <w:szCs w:val="24"/>
          <w:lang w:val="ka-GE"/>
        </w:rPr>
        <w:t xml:space="preserve"> სადავო ნორმის არაკონსტიტუციურად ცნობას ითხოვს საქართველოს კონსტიტუციის მე-12 მუხლთან მიმართებით. აღნიშნული კონსტიტუციური დებულება განამტკიცებს ყველას მიერ საკუთარი პიროვნების თავისუფალი განვითარების უფლებას. </w:t>
      </w:r>
      <w:r w:rsidR="007B7832" w:rsidRPr="00B93D76">
        <w:rPr>
          <w:rFonts w:ascii="Sylfaen" w:hAnsi="Sylfaen" w:cs="AcadNusx"/>
          <w:bCs/>
          <w:sz w:val="24"/>
          <w:szCs w:val="24"/>
          <w:lang w:val="ka-GE"/>
        </w:rPr>
        <w:t xml:space="preserve">საქართველოს საკონსტიტუციო სასამართლოს განმარტებით, „პიროვნების თავისუფალი განვითარების უფლება, თავისი არსით, წარმოადგენს ადამიანის უფლებათა და თავისუფლებათა განხორციელების ფუნდამენტურ გარანტიას, რომელიც იცავს ადამიანის მიერ საკუთარი ცხოვრების საკუთარივე </w:t>
      </w:r>
      <w:proofErr w:type="spellStart"/>
      <w:r w:rsidR="007B7832" w:rsidRPr="00B93D76">
        <w:rPr>
          <w:rFonts w:ascii="Sylfaen" w:hAnsi="Sylfaen" w:cs="AcadNusx"/>
          <w:bCs/>
          <w:sz w:val="24"/>
          <w:szCs w:val="24"/>
          <w:lang w:val="ka-GE"/>
        </w:rPr>
        <w:t>შეხედულებისამებრ</w:t>
      </w:r>
      <w:proofErr w:type="spellEnd"/>
      <w:r w:rsidR="007B7832" w:rsidRPr="00B93D76">
        <w:rPr>
          <w:rFonts w:ascii="Sylfaen" w:hAnsi="Sylfaen" w:cs="AcadNusx"/>
          <w:bCs/>
          <w:sz w:val="24"/>
          <w:szCs w:val="24"/>
          <w:lang w:val="ka-GE"/>
        </w:rPr>
        <w:t xml:space="preserve"> წარმართვის თავისუფლებას“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w:t>
      </w:r>
      <w:r w:rsidR="007B7832" w:rsidRPr="00B93D76">
        <w:rPr>
          <w:rFonts w:ascii="Sylfaen" w:hAnsi="Sylfaen" w:cs="AcadNusx"/>
          <w:bCs/>
          <w:sz w:val="24"/>
          <w:szCs w:val="24"/>
          <w:lang w:val="ka-GE"/>
        </w:rPr>
        <w:lastRenderedPageBreak/>
        <w:t>რუსთავი 2“ და „შპს ტელეკომპანია საქართველო“ საქართველოს პარლამენტის წინააღმდეგ“, II-2).</w:t>
      </w:r>
      <w:r w:rsidR="006035F3" w:rsidRPr="00B93D76">
        <w:rPr>
          <w:rFonts w:ascii="Sylfaen" w:hAnsi="Sylfaen" w:cs="AcadNusx"/>
          <w:bCs/>
          <w:sz w:val="24"/>
          <w:szCs w:val="24"/>
          <w:lang w:val="ka-GE"/>
        </w:rPr>
        <w:t xml:space="preserve"> </w:t>
      </w:r>
    </w:p>
    <w:p w14:paraId="22C58E8F" w14:textId="77777777" w:rsidR="00B93D76" w:rsidRPr="00B93D76" w:rsidRDefault="00885D73"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 xml:space="preserve">მოსარჩელე მხარე მიიჩნევს, რომ </w:t>
      </w:r>
      <w:r w:rsidR="006035F3" w:rsidRPr="00B93D76">
        <w:rPr>
          <w:rFonts w:ascii="Sylfaen" w:hAnsi="Sylfaen" w:cs="AcadNusx"/>
          <w:bCs/>
          <w:sz w:val="24"/>
          <w:szCs w:val="24"/>
          <w:lang w:val="ka-GE"/>
        </w:rPr>
        <w:t>საკუთარი პიროვნებ</w:t>
      </w:r>
      <w:r w:rsidRPr="00B93D76">
        <w:rPr>
          <w:rFonts w:ascii="Sylfaen" w:hAnsi="Sylfaen" w:cs="AcadNusx"/>
          <w:bCs/>
          <w:sz w:val="24"/>
          <w:szCs w:val="24"/>
          <w:lang w:val="ka-GE"/>
        </w:rPr>
        <w:t>ის თავისუფალი განვითარების უფლება, თავისი არსით, იცავს</w:t>
      </w:r>
      <w:r w:rsidR="005D2B78" w:rsidRPr="00B93D76">
        <w:rPr>
          <w:rFonts w:ascii="Sylfaen" w:hAnsi="Sylfaen" w:cs="AcadNusx"/>
          <w:bCs/>
          <w:sz w:val="24"/>
          <w:szCs w:val="24"/>
          <w:lang w:val="ka-GE"/>
        </w:rPr>
        <w:t>, მათ შორის,</w:t>
      </w:r>
      <w:r w:rsidR="007D5C9A" w:rsidRPr="00B93D76">
        <w:rPr>
          <w:rFonts w:ascii="Sylfaen" w:hAnsi="Sylfaen" w:cs="AcadNusx"/>
          <w:bCs/>
          <w:sz w:val="24"/>
          <w:szCs w:val="24"/>
          <w:lang w:val="ka-GE"/>
        </w:rPr>
        <w:t xml:space="preserve"> პირის შესაძლებლობას, </w:t>
      </w:r>
      <w:r w:rsidRPr="00B93D76">
        <w:rPr>
          <w:rFonts w:ascii="Sylfaen" w:hAnsi="Sylfaen" w:cs="AcadNusx"/>
          <w:bCs/>
          <w:sz w:val="24"/>
          <w:szCs w:val="24"/>
          <w:lang w:val="ka-GE"/>
        </w:rPr>
        <w:t xml:space="preserve">სატრანსპორტო საშუალება მართოს </w:t>
      </w:r>
      <w:r w:rsidR="005D2B78" w:rsidRPr="00B93D76">
        <w:rPr>
          <w:rFonts w:ascii="Sylfaen" w:hAnsi="Sylfaen" w:cs="AcadNusx"/>
          <w:bCs/>
          <w:sz w:val="24"/>
          <w:szCs w:val="24"/>
          <w:lang w:val="ka-GE"/>
        </w:rPr>
        <w:t>სახელმწიფოს ინტერვენციის, საამისოდ აუცილებელი წინასწარი ნებართვის გარეშე. მოსარჩელის განმარტებით, საგზაო მოძრაობისათვის და, შესაბამისად, საზოგადოებრივი უსაფრთხოებისათვის რისკ</w:t>
      </w:r>
      <w:r w:rsidR="007D5C9A" w:rsidRPr="00B93D76">
        <w:rPr>
          <w:rFonts w:ascii="Sylfaen" w:hAnsi="Sylfaen" w:cs="AcadNusx"/>
          <w:bCs/>
          <w:sz w:val="24"/>
          <w:szCs w:val="24"/>
          <w:lang w:val="ka-GE"/>
        </w:rPr>
        <w:t xml:space="preserve">ის შემცველია არა თავისთავად </w:t>
      </w:r>
      <w:r w:rsidR="005D2B78" w:rsidRPr="00B93D76">
        <w:rPr>
          <w:rFonts w:ascii="Sylfaen" w:hAnsi="Sylfaen" w:cs="AcadNusx"/>
          <w:bCs/>
          <w:sz w:val="24"/>
          <w:szCs w:val="24"/>
          <w:lang w:val="ka-GE"/>
        </w:rPr>
        <w:t xml:space="preserve">სატრანსპორტო საშუალების მართვა სათანადო ნებართვის გარეშე, არამედ უშუალოდ საგზაო მოძრაობის წესების დარღვევა. ამრიგად, მოსარჩელე მიიჩნევს, რომ ადმინისტრაციული პასუხისმგებლობის დაკისრება საამისოდ აუცილებელი ნებართვის გარეშე სატრანსპორტო საშუალების მართვისათვის არაკონსტიტუციურია და ეწინააღმდეგება საქართველოს კონსტიტუციის მე-12 მუხლს. </w:t>
      </w:r>
    </w:p>
    <w:p w14:paraId="5EEAD45B" w14:textId="77777777" w:rsidR="00B93D76" w:rsidRPr="00B93D76" w:rsidRDefault="005D2B78"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 xml:space="preserve">საქართველოს საკონსტიტუციო სასამართლოს პრაქტიკის თანახმად, </w:t>
      </w:r>
      <w:r w:rsidR="00D47A55" w:rsidRPr="00B93D76">
        <w:rPr>
          <w:rFonts w:ascii="Sylfaen" w:hAnsi="Sylfaen" w:cs="AcadNusx"/>
          <w:bCs/>
          <w:sz w:val="24"/>
          <w:szCs w:val="24"/>
          <w:lang w:val="ka-GE"/>
        </w:rPr>
        <w:t>დემოკრატიულ საზოგადოებაში</w:t>
      </w:r>
      <w:r w:rsidR="0004248D" w:rsidRPr="00B93D76">
        <w:rPr>
          <w:rFonts w:ascii="Sylfaen" w:hAnsi="Sylfaen" w:cs="AcadNusx"/>
          <w:bCs/>
          <w:sz w:val="24"/>
          <w:szCs w:val="24"/>
          <w:lang w:val="ka-GE"/>
        </w:rPr>
        <w:t xml:space="preserve"> </w:t>
      </w:r>
      <w:r w:rsidR="00584AC1" w:rsidRPr="00B93D76">
        <w:rPr>
          <w:rFonts w:ascii="Sylfaen" w:hAnsi="Sylfaen" w:cs="AcadNusx"/>
          <w:bCs/>
          <w:sz w:val="24"/>
          <w:szCs w:val="24"/>
          <w:lang w:val="ka-GE"/>
        </w:rPr>
        <w:t xml:space="preserve">ხსენებული კონსტიტუციური უფლების უდიდესი მნიშვნელობის მიუხედავად, საქართველოს კონსტიტუციის მე-12 მუხლით განმტკიცებული </w:t>
      </w:r>
      <w:r w:rsidR="00B3364D" w:rsidRPr="00B93D76">
        <w:rPr>
          <w:rFonts w:ascii="Sylfaen" w:hAnsi="Sylfaen" w:cs="AcadNusx"/>
          <w:bCs/>
          <w:sz w:val="24"/>
          <w:szCs w:val="24"/>
          <w:lang w:val="ka-GE"/>
        </w:rPr>
        <w:t xml:space="preserve">საკუთარი </w:t>
      </w:r>
      <w:r w:rsidR="00584AC1" w:rsidRPr="00B93D76">
        <w:rPr>
          <w:rFonts w:ascii="Sylfaen" w:hAnsi="Sylfaen" w:cs="AcadNusx"/>
          <w:bCs/>
          <w:sz w:val="24"/>
          <w:szCs w:val="24"/>
          <w:lang w:val="ka-GE"/>
        </w:rPr>
        <w:t>პიროვნების თავისუფალი განვითარების უფლება არ არის აბსოლუტური და</w:t>
      </w:r>
      <w:r w:rsidR="00B3364D" w:rsidRPr="00B93D76">
        <w:rPr>
          <w:rFonts w:ascii="Sylfaen" w:hAnsi="Sylfaen" w:cs="AcadNusx"/>
          <w:bCs/>
          <w:sz w:val="24"/>
          <w:szCs w:val="24"/>
          <w:lang w:val="ka-GE"/>
        </w:rPr>
        <w:t xml:space="preserve"> საქართველოს კონსტიტუცია თავადვე ითვალისწინებს მისი შეზღუდვის შესაძლებლობას გარკვეულ შემთხვევებში, შესაბამისი წინაპირობების არსებობისას </w:t>
      </w:r>
      <w:r w:rsidR="00584AC1" w:rsidRPr="00B93D76">
        <w:rPr>
          <w:rFonts w:ascii="Sylfaen" w:hAnsi="Sylfaen" w:cs="AcadNusx"/>
          <w:bCs/>
          <w:sz w:val="24"/>
          <w:szCs w:val="24"/>
          <w:lang w:val="ka-GE"/>
        </w:rPr>
        <w:t>(იხ.</w:t>
      </w:r>
      <w:r w:rsidR="00B3364D" w:rsidRPr="00B93D76">
        <w:rPr>
          <w:rFonts w:ascii="Sylfaen" w:hAnsi="Sylfaen" w:cs="AcadNusx"/>
          <w:bCs/>
          <w:sz w:val="24"/>
          <w:szCs w:val="24"/>
          <w:lang w:val="ka-GE"/>
        </w:rPr>
        <w:t>,</w:t>
      </w:r>
      <w:r w:rsidR="00584AC1" w:rsidRPr="00B93D76">
        <w:rPr>
          <w:rFonts w:ascii="Sylfaen" w:hAnsi="Sylfaen" w:cs="AcadNusx"/>
          <w:bCs/>
          <w:sz w:val="24"/>
          <w:szCs w:val="24"/>
          <w:lang w:val="ka-GE"/>
        </w:rPr>
        <w:t xml:space="preserve"> საქართველოს საკონსტიტუციო სასამართლოს 2016 წლის 4 აგვისტოს №2/4/570 გადაწყვეტილება საქმეზე „საქართველოს მოქალაქე ნუგზარ ჯაყელი საქა</w:t>
      </w:r>
      <w:r w:rsidR="00B3364D" w:rsidRPr="00B93D76">
        <w:rPr>
          <w:rFonts w:ascii="Sylfaen" w:hAnsi="Sylfaen" w:cs="AcadNusx"/>
          <w:bCs/>
          <w:sz w:val="24"/>
          <w:szCs w:val="24"/>
          <w:lang w:val="ka-GE"/>
        </w:rPr>
        <w:t>რთველოს პარლამენტის წინააღმდეგ“;</w:t>
      </w:r>
      <w:r w:rsidR="00584AC1" w:rsidRPr="00B93D76">
        <w:rPr>
          <w:rFonts w:ascii="Sylfaen" w:hAnsi="Sylfaen" w:cs="AcadNusx"/>
          <w:bCs/>
          <w:sz w:val="24"/>
          <w:szCs w:val="24"/>
          <w:lang w:val="ka-GE"/>
        </w:rPr>
        <w:t xml:space="preserve">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ლევან ასათიანი, ირაკლი ვაჭარაძე, ლევან ბერიანიძე, ბექა </w:t>
      </w:r>
      <w:proofErr w:type="spellStart"/>
      <w:r w:rsidR="00584AC1" w:rsidRPr="00B93D76">
        <w:rPr>
          <w:rFonts w:ascii="Sylfaen" w:hAnsi="Sylfaen" w:cs="AcadNusx"/>
          <w:bCs/>
          <w:sz w:val="24"/>
          <w:szCs w:val="24"/>
          <w:lang w:val="ka-GE"/>
        </w:rPr>
        <w:t>ბუჩაშვილი</w:t>
      </w:r>
      <w:proofErr w:type="spellEnd"/>
      <w:r w:rsidR="00584AC1" w:rsidRPr="00B93D76">
        <w:rPr>
          <w:rFonts w:ascii="Sylfaen" w:hAnsi="Sylfaen" w:cs="AcadNusx"/>
          <w:bCs/>
          <w:sz w:val="24"/>
          <w:szCs w:val="24"/>
          <w:lang w:val="ka-GE"/>
        </w:rPr>
        <w:t xml:space="preserve"> და გოჩა გაბოძე საქართველოს შრომის, ჯანმრთელობისა და სოციალური დაცვის მინისტრის წინააღმდეგ“). </w:t>
      </w:r>
      <w:r w:rsidR="00B3364D" w:rsidRPr="00B93D76">
        <w:rPr>
          <w:rFonts w:ascii="Sylfaen" w:hAnsi="Sylfaen" w:cs="AcadNusx"/>
          <w:bCs/>
          <w:sz w:val="24"/>
          <w:szCs w:val="24"/>
          <w:lang w:val="ka-GE"/>
        </w:rPr>
        <w:t>ამრიგად,</w:t>
      </w:r>
      <w:r w:rsidR="00584AC1" w:rsidRPr="00B93D76">
        <w:rPr>
          <w:rFonts w:ascii="Sylfaen" w:hAnsi="Sylfaen" w:cs="AcadNusx"/>
          <w:bCs/>
          <w:sz w:val="24"/>
          <w:szCs w:val="24"/>
          <w:lang w:val="ka-GE"/>
        </w:rPr>
        <w:t xml:space="preserve"> მნიშვნელოვანი ლეგიტიმური მიზნების მისაღწევად </w:t>
      </w:r>
      <w:r w:rsidR="00B3364D" w:rsidRPr="00B93D76">
        <w:rPr>
          <w:rFonts w:ascii="Sylfaen" w:hAnsi="Sylfaen" w:cs="AcadNusx"/>
          <w:bCs/>
          <w:sz w:val="24"/>
          <w:szCs w:val="24"/>
          <w:lang w:val="ka-GE"/>
        </w:rPr>
        <w:t>ხსენებული</w:t>
      </w:r>
      <w:r w:rsidR="00584AC1" w:rsidRPr="00B93D76">
        <w:rPr>
          <w:rFonts w:ascii="Sylfaen" w:hAnsi="Sylfaen" w:cs="AcadNusx"/>
          <w:bCs/>
          <w:sz w:val="24"/>
          <w:szCs w:val="24"/>
          <w:lang w:val="ka-GE"/>
        </w:rPr>
        <w:t xml:space="preserve"> უფლების შეზღუდვა, თავისთავად</w:t>
      </w:r>
      <w:r w:rsidR="00B3364D" w:rsidRPr="00B93D76">
        <w:rPr>
          <w:rFonts w:ascii="Sylfaen" w:hAnsi="Sylfaen" w:cs="AcadNusx"/>
          <w:bCs/>
          <w:sz w:val="24"/>
          <w:szCs w:val="24"/>
          <w:lang w:val="ka-GE"/>
        </w:rPr>
        <w:t>,</w:t>
      </w:r>
      <w:r w:rsidR="00584AC1" w:rsidRPr="00B93D76">
        <w:rPr>
          <w:rFonts w:ascii="Sylfaen" w:hAnsi="Sylfaen" w:cs="AcadNusx"/>
          <w:bCs/>
          <w:sz w:val="24"/>
          <w:szCs w:val="24"/>
          <w:lang w:val="ka-GE"/>
        </w:rPr>
        <w:t xml:space="preserve"> არაკონსტიტუციური არ არის.</w:t>
      </w:r>
    </w:p>
    <w:p w14:paraId="6CED6B71" w14:textId="77777777" w:rsidR="00B93D76" w:rsidRPr="00B93D76" w:rsidRDefault="00B3364D"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 xml:space="preserve">სწორედ ამიტომ, იმ შემთხვევაში, </w:t>
      </w:r>
      <w:r w:rsidR="005D2B78" w:rsidRPr="00B93D76">
        <w:rPr>
          <w:rFonts w:ascii="Sylfaen" w:hAnsi="Sylfaen" w:cs="AcadNusx"/>
          <w:bCs/>
          <w:sz w:val="24"/>
          <w:szCs w:val="24"/>
          <w:lang w:val="ka-GE"/>
        </w:rPr>
        <w:t xml:space="preserve">როდესაც </w:t>
      </w:r>
      <w:r w:rsidR="00473A5D" w:rsidRPr="00B93D76">
        <w:rPr>
          <w:rFonts w:ascii="Sylfaen" w:hAnsi="Sylfaen" w:cs="AcadNusx"/>
          <w:bCs/>
          <w:sz w:val="24"/>
          <w:szCs w:val="24"/>
          <w:lang w:val="ka-GE"/>
        </w:rPr>
        <w:t>ნათელია</w:t>
      </w:r>
      <w:r w:rsidR="005D2B78" w:rsidRPr="00B93D76">
        <w:rPr>
          <w:rFonts w:ascii="Sylfaen" w:hAnsi="Sylfaen" w:cs="AcadNusx"/>
          <w:bCs/>
          <w:sz w:val="24"/>
          <w:szCs w:val="24"/>
          <w:lang w:val="ka-GE"/>
        </w:rPr>
        <w:t xml:space="preserve"> </w:t>
      </w:r>
      <w:proofErr w:type="spellStart"/>
      <w:r w:rsidR="005D2B78" w:rsidRPr="00B93D76">
        <w:rPr>
          <w:rFonts w:ascii="Sylfaen" w:hAnsi="Sylfaen" w:cs="AcadNusx"/>
          <w:bCs/>
          <w:sz w:val="24"/>
          <w:szCs w:val="24"/>
          <w:lang w:val="ka-GE"/>
        </w:rPr>
        <w:t>უფლებაშემზღუდველი</w:t>
      </w:r>
      <w:proofErr w:type="spellEnd"/>
      <w:r w:rsidR="005D2B78" w:rsidRPr="00B93D76">
        <w:rPr>
          <w:rFonts w:ascii="Sylfaen" w:hAnsi="Sylfaen" w:cs="AcadNusx"/>
          <w:bCs/>
          <w:sz w:val="24"/>
          <w:szCs w:val="24"/>
          <w:lang w:val="ka-GE"/>
        </w:rPr>
        <w:t xml:space="preserve"> სადავო რეგულაციის მიზანმიმართუ</w:t>
      </w:r>
      <w:r w:rsidR="00895809" w:rsidRPr="00B93D76">
        <w:rPr>
          <w:rFonts w:ascii="Sylfaen" w:hAnsi="Sylfaen" w:cs="AcadNusx"/>
          <w:bCs/>
          <w:sz w:val="24"/>
          <w:szCs w:val="24"/>
          <w:lang w:val="ka-GE"/>
        </w:rPr>
        <w:t xml:space="preserve">ლება და იგი აშკარად თვითმიზნური, </w:t>
      </w:r>
      <w:r w:rsidR="005D2B78" w:rsidRPr="00B93D76">
        <w:rPr>
          <w:rFonts w:ascii="Sylfaen" w:hAnsi="Sylfaen" w:cs="AcadNusx"/>
          <w:bCs/>
          <w:sz w:val="24"/>
          <w:szCs w:val="24"/>
          <w:lang w:val="ka-GE"/>
        </w:rPr>
        <w:t>არაგონივრული არ არის, კონსტიტუციური სარჩელის დასაბუთებულად მიჩნევისათვის საკმარისი არაა მხ</w:t>
      </w:r>
      <w:r w:rsidR="00895809" w:rsidRPr="00B93D76">
        <w:rPr>
          <w:rFonts w:ascii="Sylfaen" w:hAnsi="Sylfaen" w:cs="AcadNusx"/>
          <w:bCs/>
          <w:sz w:val="24"/>
          <w:szCs w:val="24"/>
          <w:lang w:val="ka-GE"/>
        </w:rPr>
        <w:t>ოლოდ ძირითადი უფლების შეზღუდვაზე</w:t>
      </w:r>
      <w:r w:rsidR="005D2B78" w:rsidRPr="00B93D76">
        <w:rPr>
          <w:rFonts w:ascii="Sylfaen" w:hAnsi="Sylfaen" w:cs="AcadNusx"/>
          <w:bCs/>
          <w:sz w:val="24"/>
          <w:szCs w:val="24"/>
          <w:lang w:val="ka-GE"/>
        </w:rPr>
        <w:t xml:space="preserve"> მითითება,</w:t>
      </w:r>
      <w:r w:rsidR="00895809" w:rsidRPr="00B93D76">
        <w:rPr>
          <w:rFonts w:ascii="Sylfaen" w:hAnsi="Sylfaen" w:cs="AcadNusx"/>
          <w:bCs/>
          <w:sz w:val="24"/>
          <w:szCs w:val="24"/>
          <w:lang w:val="ka-GE"/>
        </w:rPr>
        <w:t xml:space="preserve"> არამედ</w:t>
      </w:r>
      <w:r w:rsidR="00671553" w:rsidRPr="00B93D76">
        <w:rPr>
          <w:rFonts w:ascii="Sylfaen" w:hAnsi="Sylfaen" w:cs="AcadNusx"/>
          <w:bCs/>
          <w:sz w:val="24"/>
          <w:szCs w:val="24"/>
          <w:lang w:val="ka-GE"/>
        </w:rPr>
        <w:t xml:space="preserve"> აუცილებელია, მოსარჩელე მხარემ</w:t>
      </w:r>
      <w:r w:rsidR="005D2B78" w:rsidRPr="00B93D76">
        <w:rPr>
          <w:rFonts w:ascii="Sylfaen" w:hAnsi="Sylfaen" w:cs="AcadNusx"/>
          <w:bCs/>
          <w:sz w:val="24"/>
          <w:szCs w:val="24"/>
          <w:lang w:val="ka-GE"/>
        </w:rPr>
        <w:t xml:space="preserve"> წარმოადგინოს არგუმენტაცია, რომელიც გარკვეული ხარისხით მიუთითებს სადავო ნორმის არაკონსტიტუციურობაზე (იხ.,</w:t>
      </w:r>
      <w:r w:rsidR="00671553" w:rsidRPr="00B93D76">
        <w:rPr>
          <w:rFonts w:ascii="Sylfaen" w:hAnsi="Sylfaen" w:cs="AcadNusx"/>
          <w:bCs/>
          <w:sz w:val="24"/>
          <w:szCs w:val="24"/>
          <w:lang w:val="ka-GE"/>
        </w:rPr>
        <w:t xml:space="preserve"> </w:t>
      </w:r>
      <w:r w:rsidR="005D2B78" w:rsidRPr="00B93D76">
        <w:rPr>
          <w:rFonts w:ascii="Sylfaen" w:hAnsi="Sylfaen" w:cs="AcadNusx"/>
          <w:bCs/>
          <w:sz w:val="24"/>
          <w:szCs w:val="24"/>
          <w:lang w:val="ka-GE"/>
        </w:rPr>
        <w:t xml:space="preserve">საქართველოს საკონსტიტუციო სასამართლოს 2020 წლის 29 აპრილის №2/8/1496 განჩინება საქმეზე „თეკლა დავითულიანი საქართველოს მთავრობის წინააღმდეგ“; საქართველოს </w:t>
      </w:r>
      <w:r w:rsidR="005D2B78" w:rsidRPr="00B93D76">
        <w:rPr>
          <w:rFonts w:ascii="Sylfaen" w:hAnsi="Sylfaen" w:cs="AcadNusx"/>
          <w:bCs/>
          <w:sz w:val="24"/>
          <w:szCs w:val="24"/>
          <w:lang w:val="ka-GE"/>
        </w:rPr>
        <w:lastRenderedPageBreak/>
        <w:t>საკონსტიტუციო სასამართლოს 2020 წლის 30 აპრილის №1/4/1416 განჩინება საქმეზე „„შპს სვეტი დეველოპმენტი“, „შპს სვეტი ჯგუფი“, „შპს სვეტი“, „შპს სვეტი ნუცუბიძე“, გივი ჯიბლაძე, თორნიკე ჯანელიძე და გიორგი კამლაძე საქართველოს მთავრობისა და საქართველოს პარლამენტის წინააღმდეგ“).</w:t>
      </w:r>
      <w:r w:rsidR="00671553" w:rsidRPr="00B93D76">
        <w:rPr>
          <w:rFonts w:ascii="Sylfaen" w:hAnsi="Sylfaen" w:cs="AcadNusx"/>
          <w:bCs/>
          <w:sz w:val="24"/>
          <w:szCs w:val="24"/>
          <w:lang w:val="ka-GE"/>
        </w:rPr>
        <w:t xml:space="preserve"> მხოლოდ ამ შემთხვევაში მიიჩნევა, რომ კონსტიტუციურ სარჩელში წარმოდგენილი არგუმენტაცია ადასტურებს სადავო ნორმის არაკონსტიტუციურად ცნობის მოთხოვნის საფუძვლიანობას.</w:t>
      </w:r>
    </w:p>
    <w:p w14:paraId="0C49C855" w14:textId="77777777" w:rsidR="00B93D76" w:rsidRPr="00B93D76" w:rsidRDefault="00C35D11"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 xml:space="preserve">„საგზაო მოძრაობის შესახებ“ საქართველოს კანონი ადგენს </w:t>
      </w:r>
      <w:r w:rsidR="000E4DFD" w:rsidRPr="00B93D76">
        <w:rPr>
          <w:rFonts w:ascii="Sylfaen" w:hAnsi="Sylfaen" w:cs="AcadNusx"/>
          <w:bCs/>
          <w:sz w:val="24"/>
          <w:szCs w:val="24"/>
          <w:lang w:val="ka-GE"/>
        </w:rPr>
        <w:t>იმ</w:t>
      </w:r>
      <w:r w:rsidR="008B41B7" w:rsidRPr="00B93D76">
        <w:rPr>
          <w:rFonts w:ascii="Sylfaen" w:hAnsi="Sylfaen" w:cs="AcadNusx"/>
          <w:bCs/>
          <w:sz w:val="24"/>
          <w:szCs w:val="24"/>
          <w:lang w:val="ka-GE"/>
        </w:rPr>
        <w:t xml:space="preserve"> </w:t>
      </w:r>
      <w:r w:rsidR="001A2472" w:rsidRPr="00B93D76">
        <w:rPr>
          <w:rFonts w:ascii="Sylfaen" w:hAnsi="Sylfaen" w:cs="AcadNusx"/>
          <w:bCs/>
          <w:sz w:val="24"/>
          <w:szCs w:val="24"/>
          <w:lang w:val="ka-GE"/>
        </w:rPr>
        <w:t>მოთხოვნებს</w:t>
      </w:r>
      <w:r w:rsidRPr="00B93D76">
        <w:rPr>
          <w:rFonts w:ascii="Sylfaen" w:hAnsi="Sylfaen" w:cs="AcadNusx"/>
          <w:bCs/>
          <w:sz w:val="24"/>
          <w:szCs w:val="24"/>
          <w:lang w:val="ka-GE"/>
        </w:rPr>
        <w:t xml:space="preserve"> </w:t>
      </w:r>
      <w:r w:rsidR="008B41B7" w:rsidRPr="00B93D76">
        <w:rPr>
          <w:rFonts w:ascii="Sylfaen" w:hAnsi="Sylfaen" w:cs="AcadNusx"/>
          <w:bCs/>
          <w:sz w:val="24"/>
          <w:szCs w:val="24"/>
          <w:lang w:val="ka-GE"/>
        </w:rPr>
        <w:t>(მაგ., ასაკობრივ, ჯანმრთელობის მდგომარეობის, შესაბამისი თეორიული და პრაქტიკ</w:t>
      </w:r>
      <w:r w:rsidR="001A2472" w:rsidRPr="00B93D76">
        <w:rPr>
          <w:rFonts w:ascii="Sylfaen" w:hAnsi="Sylfaen" w:cs="AcadNusx"/>
          <w:bCs/>
          <w:sz w:val="24"/>
          <w:szCs w:val="24"/>
          <w:lang w:val="ka-GE"/>
        </w:rPr>
        <w:t>ული ცოდნის დადასტურების და სხვ.</w:t>
      </w:r>
      <w:r w:rsidR="008B41B7" w:rsidRPr="00B93D76">
        <w:rPr>
          <w:rFonts w:ascii="Sylfaen" w:hAnsi="Sylfaen" w:cs="AcadNusx"/>
          <w:bCs/>
          <w:sz w:val="24"/>
          <w:szCs w:val="24"/>
          <w:lang w:val="ka-GE"/>
        </w:rPr>
        <w:t>)</w:t>
      </w:r>
      <w:r w:rsidRPr="00B93D76">
        <w:rPr>
          <w:rFonts w:ascii="Sylfaen" w:hAnsi="Sylfaen" w:cs="AcadNusx"/>
          <w:bCs/>
          <w:sz w:val="24"/>
          <w:szCs w:val="24"/>
          <w:lang w:val="ka-GE"/>
        </w:rPr>
        <w:t>, რომლებსაც უნდა აკმაყოფილებდეს პირი</w:t>
      </w:r>
      <w:r w:rsidR="007D5C9A" w:rsidRPr="00B93D76">
        <w:rPr>
          <w:rFonts w:ascii="Sylfaen" w:hAnsi="Sylfaen" w:cs="AcadNusx"/>
          <w:bCs/>
          <w:sz w:val="24"/>
          <w:szCs w:val="24"/>
          <w:lang w:val="ka-GE"/>
        </w:rPr>
        <w:t xml:space="preserve">, </w:t>
      </w:r>
      <w:r w:rsidRPr="00B93D76">
        <w:rPr>
          <w:rFonts w:ascii="Sylfaen" w:hAnsi="Sylfaen" w:cs="AcadNusx"/>
          <w:bCs/>
          <w:sz w:val="24"/>
          <w:szCs w:val="24"/>
          <w:lang w:val="ka-GE"/>
        </w:rPr>
        <w:t>სატრანსპორტო საშუალები</w:t>
      </w:r>
      <w:r w:rsidR="000E4DFD" w:rsidRPr="00B93D76">
        <w:rPr>
          <w:rFonts w:ascii="Sylfaen" w:hAnsi="Sylfaen" w:cs="AcadNusx"/>
          <w:bCs/>
          <w:sz w:val="24"/>
          <w:szCs w:val="24"/>
          <w:lang w:val="ka-GE"/>
        </w:rPr>
        <w:t>ს მართვის უფლების მოპოვებისათვის</w:t>
      </w:r>
      <w:r w:rsidR="007D5C9A" w:rsidRPr="00B93D76">
        <w:rPr>
          <w:rFonts w:ascii="Sylfaen" w:hAnsi="Sylfaen" w:cs="AcadNusx"/>
          <w:bCs/>
          <w:sz w:val="24"/>
          <w:szCs w:val="24"/>
          <w:lang w:val="ka-GE"/>
        </w:rPr>
        <w:t xml:space="preserve">. </w:t>
      </w:r>
      <w:r w:rsidR="00AD25C7" w:rsidRPr="00B93D76">
        <w:rPr>
          <w:rFonts w:ascii="Sylfaen" w:hAnsi="Sylfaen" w:cs="AcadNusx"/>
          <w:bCs/>
          <w:sz w:val="24"/>
          <w:szCs w:val="24"/>
          <w:lang w:val="ka-GE"/>
        </w:rPr>
        <w:t>სატრანსპორტო საშუალების მართვის უფლების მოპოვების მექანიზმი ემსახურება საგზაო მოძრაობაში მხოლოდ იმ პირების დაშვებას, რომლებსაც გააჩნიათ სატრანსპორტო საშუალები</w:t>
      </w:r>
      <w:r w:rsidR="00AE7F76" w:rsidRPr="00B93D76">
        <w:rPr>
          <w:rFonts w:ascii="Sylfaen" w:hAnsi="Sylfaen" w:cs="AcadNusx"/>
          <w:bCs/>
          <w:sz w:val="24"/>
          <w:szCs w:val="24"/>
          <w:lang w:val="ka-GE"/>
        </w:rPr>
        <w:t>ს მართვისათვის აუცილებელი ცოდნ</w:t>
      </w:r>
      <w:r w:rsidR="00AD25C7" w:rsidRPr="00B93D76">
        <w:rPr>
          <w:rFonts w:ascii="Sylfaen" w:hAnsi="Sylfaen" w:cs="AcadNusx"/>
          <w:bCs/>
          <w:sz w:val="24"/>
          <w:szCs w:val="24"/>
          <w:lang w:val="ka-GE"/>
        </w:rPr>
        <w:t xml:space="preserve">ა და </w:t>
      </w:r>
      <w:r w:rsidR="00AE7F76" w:rsidRPr="00B93D76">
        <w:rPr>
          <w:rFonts w:ascii="Sylfaen" w:hAnsi="Sylfaen" w:cs="AcadNusx"/>
          <w:bCs/>
          <w:sz w:val="24"/>
          <w:szCs w:val="24"/>
          <w:lang w:val="ka-GE"/>
        </w:rPr>
        <w:t>უნარ-ჩვევები</w:t>
      </w:r>
      <w:r w:rsidR="001F2C9B" w:rsidRPr="00B93D76">
        <w:rPr>
          <w:rFonts w:ascii="Sylfaen" w:hAnsi="Sylfaen" w:cs="AcadNusx"/>
          <w:bCs/>
          <w:sz w:val="24"/>
          <w:szCs w:val="24"/>
          <w:lang w:val="ka-GE"/>
        </w:rPr>
        <w:t>. აღნიშნული, თავის მხრივ, ხელს უწყობს საგზაო მოძრაობის უსაფრთხოებას და ქვეყნის მოსახლეობის სიცოცხლისა და ჯანმრთელობის</w:t>
      </w:r>
      <w:r w:rsidR="000E4DFD" w:rsidRPr="00B93D76">
        <w:rPr>
          <w:rFonts w:ascii="Sylfaen" w:hAnsi="Sylfaen" w:cs="AcadNusx"/>
          <w:bCs/>
          <w:sz w:val="24"/>
          <w:szCs w:val="24"/>
          <w:lang w:val="ka-GE"/>
        </w:rPr>
        <w:t>ათვის რისკის შემცველი პირების საგზაო მოძრაობის პროცესიდან გამორიცხვას. განსახილველ საქმეზე სადავოდ გამხდარი ნორმა, იმ პირებისათვის ადმინისტრაციული პასუხისმგებლობის დაწესებით, რომლებიც სატრანსპორტო საშუალებას მართავენ საამისოდ აუცილებელი ნებართვის გარეშე, ს</w:t>
      </w:r>
      <w:r w:rsidR="0004248D" w:rsidRPr="00B93D76">
        <w:rPr>
          <w:rFonts w:ascii="Sylfaen" w:hAnsi="Sylfaen" w:cs="AcadNusx"/>
          <w:bCs/>
          <w:sz w:val="24"/>
          <w:szCs w:val="24"/>
          <w:lang w:val="ka-GE"/>
        </w:rPr>
        <w:t>ახელმწიფო მიზნად ისახა</w:t>
      </w:r>
      <w:r w:rsidR="000E4DFD" w:rsidRPr="00B93D76">
        <w:rPr>
          <w:rFonts w:ascii="Sylfaen" w:hAnsi="Sylfaen" w:cs="AcadNusx"/>
          <w:bCs/>
          <w:sz w:val="24"/>
          <w:szCs w:val="24"/>
          <w:lang w:val="ka-GE"/>
        </w:rPr>
        <w:t xml:space="preserve">ვს, „საგზაო მოძრაობის შესახებ“ საქართველოს კანონით გათვალისწინებული მოთხოვნების პრაქტიკაში ეფექტიანი აღსრულების მექანიზმის შექმნას. </w:t>
      </w:r>
    </w:p>
    <w:p w14:paraId="39E60A7C" w14:textId="77777777" w:rsidR="00B93D76" w:rsidRPr="00B93D76" w:rsidRDefault="005E1F23"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 xml:space="preserve">მაშასადამე, </w:t>
      </w:r>
      <w:r w:rsidR="00772976" w:rsidRPr="00B93D76">
        <w:rPr>
          <w:rFonts w:ascii="Sylfaen" w:hAnsi="Sylfaen" w:cs="AcadNusx"/>
          <w:bCs/>
          <w:sz w:val="24"/>
          <w:szCs w:val="24"/>
          <w:lang w:val="ka-GE"/>
        </w:rPr>
        <w:t xml:space="preserve">საქართველოს საკონსტიტუციო სასამართლო ვერ გაიზიარებს მოსარჩელე მხარის პოზიციას, რომ სადავო ნორმა არაგონივრულია. ცალსახაა სადავო ნორმის მიზანმიმართულება, </w:t>
      </w:r>
      <w:r w:rsidR="0004248D" w:rsidRPr="00B93D76">
        <w:rPr>
          <w:rFonts w:ascii="Sylfaen" w:hAnsi="Sylfaen" w:cs="AcadNusx"/>
          <w:bCs/>
          <w:sz w:val="24"/>
          <w:szCs w:val="24"/>
          <w:lang w:val="ka-GE"/>
        </w:rPr>
        <w:t xml:space="preserve">რომ </w:t>
      </w:r>
      <w:r w:rsidR="00772976" w:rsidRPr="00B93D76">
        <w:rPr>
          <w:rFonts w:ascii="Sylfaen" w:hAnsi="Sylfaen" w:cs="AcadNusx"/>
          <w:bCs/>
          <w:sz w:val="24"/>
          <w:szCs w:val="24"/>
          <w:lang w:val="ka-GE"/>
        </w:rPr>
        <w:t>უზრუნველყოს საგზაო მოძრაობის უსაფრთხოება და, ამგვარად, ადამიანების სიცოცხლისა და ჯანმრთელობის დაც</w:t>
      </w:r>
      <w:r w:rsidR="0004248D" w:rsidRPr="00B93D76">
        <w:rPr>
          <w:rFonts w:ascii="Sylfaen" w:hAnsi="Sylfaen" w:cs="AcadNusx"/>
          <w:bCs/>
          <w:sz w:val="24"/>
          <w:szCs w:val="24"/>
          <w:lang w:val="ka-GE"/>
        </w:rPr>
        <w:t>ვა,</w:t>
      </w:r>
      <w:r w:rsidR="00772976" w:rsidRPr="00B93D76">
        <w:rPr>
          <w:rFonts w:ascii="Sylfaen" w:hAnsi="Sylfaen" w:cs="AcadNusx"/>
          <w:bCs/>
          <w:sz w:val="24"/>
          <w:szCs w:val="24"/>
          <w:lang w:val="ka-GE"/>
        </w:rPr>
        <w:t xml:space="preserve"> </w:t>
      </w:r>
      <w:r w:rsidRPr="00B93D76">
        <w:rPr>
          <w:rFonts w:ascii="Sylfaen" w:hAnsi="Sylfaen" w:cs="AcadNusx"/>
          <w:bCs/>
          <w:sz w:val="24"/>
          <w:szCs w:val="24"/>
          <w:lang w:val="ka-GE"/>
        </w:rPr>
        <w:t>ისევე</w:t>
      </w:r>
      <w:r w:rsidR="00471EC5" w:rsidRPr="00B93D76">
        <w:rPr>
          <w:rFonts w:ascii="Sylfaen" w:hAnsi="Sylfaen" w:cs="AcadNusx"/>
          <w:bCs/>
          <w:sz w:val="24"/>
          <w:szCs w:val="24"/>
          <w:lang w:val="ka-GE"/>
        </w:rPr>
        <w:t>,</w:t>
      </w:r>
      <w:r w:rsidRPr="00B93D76">
        <w:rPr>
          <w:rFonts w:ascii="Sylfaen" w:hAnsi="Sylfaen" w:cs="AcadNusx"/>
          <w:bCs/>
          <w:sz w:val="24"/>
          <w:szCs w:val="24"/>
          <w:lang w:val="ka-GE"/>
        </w:rPr>
        <w:t xml:space="preserve"> როგორც ხელშესახებია საგზაო მოძრაობის პროცესში მოსახლეობის სიცოცხლისა და ჯანმრთელობისათვის იმ პირებისაგან მომდინარე საფრთხეები, რომლებსაც არ გააჩნიათ სატრანსპორტო საშუალების მართვისათვის აუცილებელი ნებართვა.</w:t>
      </w:r>
      <w:r w:rsidR="00772976" w:rsidRPr="00B93D76">
        <w:rPr>
          <w:rFonts w:ascii="Sylfaen" w:hAnsi="Sylfaen" w:cs="AcadNusx"/>
          <w:bCs/>
          <w:sz w:val="24"/>
          <w:szCs w:val="24"/>
          <w:lang w:val="ka-GE"/>
        </w:rPr>
        <w:t xml:space="preserve"> </w:t>
      </w:r>
      <w:r w:rsidRPr="00B93D76">
        <w:rPr>
          <w:rFonts w:ascii="Sylfaen" w:hAnsi="Sylfaen" w:cs="AcadNusx"/>
          <w:bCs/>
          <w:sz w:val="24"/>
          <w:szCs w:val="24"/>
          <w:lang w:val="ka-GE"/>
        </w:rPr>
        <w:t>სწორედ ამიტომ, რამდენადაც სადავო რე</w:t>
      </w:r>
      <w:r w:rsidR="00203DA5" w:rsidRPr="00B93D76">
        <w:rPr>
          <w:rFonts w:ascii="Sylfaen" w:hAnsi="Sylfaen" w:cs="AcadNusx"/>
          <w:bCs/>
          <w:sz w:val="24"/>
          <w:szCs w:val="24"/>
          <w:lang w:val="ka-GE"/>
        </w:rPr>
        <w:t>გულაცია აშკარად თვითმიზნური</w:t>
      </w:r>
      <w:r w:rsidR="0004248D" w:rsidRPr="00B93D76">
        <w:rPr>
          <w:rFonts w:ascii="Sylfaen" w:hAnsi="Sylfaen" w:cs="AcadNusx"/>
          <w:bCs/>
          <w:sz w:val="24"/>
          <w:szCs w:val="24"/>
          <w:lang w:val="ka-GE"/>
        </w:rPr>
        <w:t xml:space="preserve"> </w:t>
      </w:r>
      <w:r w:rsidR="00203DA5" w:rsidRPr="00B93D76">
        <w:rPr>
          <w:rFonts w:ascii="Sylfaen" w:hAnsi="Sylfaen" w:cs="AcadNusx"/>
          <w:bCs/>
          <w:sz w:val="24"/>
          <w:szCs w:val="24"/>
          <w:lang w:val="ka-GE"/>
        </w:rPr>
        <w:t>არაა</w:t>
      </w:r>
      <w:r w:rsidRPr="00B93D76">
        <w:rPr>
          <w:rFonts w:ascii="Sylfaen" w:hAnsi="Sylfaen" w:cs="AcadNusx"/>
          <w:bCs/>
          <w:sz w:val="24"/>
          <w:szCs w:val="24"/>
          <w:lang w:val="ka-GE"/>
        </w:rPr>
        <w:t xml:space="preserve">, მოსარჩელე მხარემ, ძირითადი უფლების შეზღუდვის ფაქტზე მითითების მიღმა, უნდა წარმოადგინოს არგუმენტაცია/მტკიცებულებები იმის </w:t>
      </w:r>
      <w:r w:rsidR="00B562D0" w:rsidRPr="00B93D76">
        <w:rPr>
          <w:rFonts w:ascii="Sylfaen" w:hAnsi="Sylfaen" w:cs="AcadNusx"/>
          <w:bCs/>
          <w:sz w:val="24"/>
          <w:szCs w:val="24"/>
          <w:lang w:val="ka-GE"/>
        </w:rPr>
        <w:t>თაობაზე,</w:t>
      </w:r>
      <w:r w:rsidRPr="00B93D76">
        <w:rPr>
          <w:rFonts w:ascii="Sylfaen" w:hAnsi="Sylfaen" w:cs="AcadNusx"/>
          <w:bCs/>
          <w:sz w:val="24"/>
          <w:szCs w:val="24"/>
          <w:lang w:val="ka-GE"/>
        </w:rPr>
        <w:t xml:space="preserve"> რომ სადავო მოწესრიგება ლეგიტიმური მიზ</w:t>
      </w:r>
      <w:r w:rsidR="0004248D" w:rsidRPr="00B93D76">
        <w:rPr>
          <w:rFonts w:ascii="Sylfaen" w:hAnsi="Sylfaen" w:cs="AcadNusx"/>
          <w:bCs/>
          <w:sz w:val="24"/>
          <w:szCs w:val="24"/>
          <w:lang w:val="ka-GE"/>
        </w:rPr>
        <w:t xml:space="preserve">ნის მიღწევის არაპროპორციული და </w:t>
      </w:r>
      <w:r w:rsidRPr="00B93D76">
        <w:rPr>
          <w:rFonts w:ascii="Sylfaen" w:hAnsi="Sylfaen" w:cs="AcadNusx"/>
          <w:bCs/>
          <w:sz w:val="24"/>
          <w:szCs w:val="24"/>
          <w:lang w:val="ka-GE"/>
        </w:rPr>
        <w:t xml:space="preserve">არაკონსტიტუციური საშუალებაა. </w:t>
      </w:r>
    </w:p>
    <w:p w14:paraId="7024F745" w14:textId="77777777" w:rsidR="00B93D76" w:rsidRPr="00B93D76" w:rsidRDefault="005E1F23"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 xml:space="preserve">№1713 კონსტიტუციურ სარჩელში მოსარჩელე მხარე მხოლოდ იმაზე მიუთითებს, რომ სადავო ნორმა ზღუდავს პირის მიერ სატრანსპორტო საშუალების თავისუფლად მართვის შესაძლებლობას, ხოლო საგზაო მოძრაობის </w:t>
      </w:r>
      <w:r w:rsidRPr="00B93D76">
        <w:rPr>
          <w:rFonts w:ascii="Sylfaen" w:hAnsi="Sylfaen" w:cs="AcadNusx"/>
          <w:bCs/>
          <w:sz w:val="24"/>
          <w:szCs w:val="24"/>
          <w:lang w:val="ka-GE"/>
        </w:rPr>
        <w:lastRenderedPageBreak/>
        <w:t xml:space="preserve">უსაფრთხოების ლეგიტიმურ მიზანთან სატრანსპორტო საშუალების მართვის ნებართვის მოპოვებას </w:t>
      </w:r>
      <w:r w:rsidR="00203DA5" w:rsidRPr="00B93D76">
        <w:rPr>
          <w:rFonts w:ascii="Sylfaen" w:hAnsi="Sylfaen" w:cs="AcadNusx"/>
          <w:bCs/>
          <w:sz w:val="24"/>
          <w:szCs w:val="24"/>
          <w:lang w:val="ka-GE"/>
        </w:rPr>
        <w:t>თავისთავადი კავშირი არ გააჩნია. მოსარჩელის პოზიციით, ლეგიტიმური მიზნების უზრუნველსაყოფად გადამწყვეტია არა იმ პირის ცოდნისა და უნარ-ჩვევების წინასწარი შეფასება, რომელიც მართავს სატრანსპორტო საშუალებას, არამედ უშუალოდ საგზაო მოძრაობის წესების დაცვა, იმისგან დამოუკიდებლად</w:t>
      </w:r>
      <w:r w:rsidR="00221661" w:rsidRPr="00B93D76">
        <w:rPr>
          <w:rFonts w:ascii="Sylfaen" w:hAnsi="Sylfaen" w:cs="AcadNusx"/>
          <w:bCs/>
          <w:sz w:val="24"/>
          <w:szCs w:val="24"/>
          <w:lang w:val="ka-GE"/>
        </w:rPr>
        <w:t>,</w:t>
      </w:r>
      <w:r w:rsidR="00203DA5" w:rsidRPr="00B93D76">
        <w:rPr>
          <w:rFonts w:ascii="Sylfaen" w:hAnsi="Sylfaen" w:cs="AcadNusx"/>
          <w:bCs/>
          <w:sz w:val="24"/>
          <w:szCs w:val="24"/>
          <w:lang w:val="ka-GE"/>
        </w:rPr>
        <w:t xml:space="preserve"> გააჩნი</w:t>
      </w:r>
      <w:r w:rsidR="00921663" w:rsidRPr="00B93D76">
        <w:rPr>
          <w:rFonts w:ascii="Sylfaen" w:hAnsi="Sylfaen" w:cs="AcadNusx"/>
          <w:bCs/>
          <w:sz w:val="24"/>
          <w:szCs w:val="24"/>
          <w:lang w:val="ka-GE"/>
        </w:rPr>
        <w:t>ა თუ არა პირს ამგვარი ნებართვა. ამ მხრივ, მოსარჩელე მხარეს არ წარმოუდგენია არც ერთი არგუმენტი, რომელიც წარმოაჩენდა უშუალოდ სად</w:t>
      </w:r>
      <w:r w:rsidR="00E324AF" w:rsidRPr="00B93D76">
        <w:rPr>
          <w:rFonts w:ascii="Sylfaen" w:hAnsi="Sylfaen" w:cs="AcadNusx"/>
          <w:bCs/>
          <w:sz w:val="24"/>
          <w:szCs w:val="24"/>
          <w:lang w:val="ka-GE"/>
        </w:rPr>
        <w:t>ავო ნორმის არაკონსტიტუციურობას.</w:t>
      </w:r>
    </w:p>
    <w:p w14:paraId="32CDB0B4" w14:textId="77777777" w:rsidR="00B93D76" w:rsidRPr="00B93D76" w:rsidRDefault="00921663"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 xml:space="preserve">ამასთანავე, კონსტიტუციური სარჩელის დასაბუთებულად მიჩნევისათვის საკმარისი არ არის მოსარჩელის არგუმენტი, რომ საგზაო მოძრაობის უსაფრთხოების უზრუნველყოფა შესაძლებელია საგზაო მოძრაობის წესების ვალდებულების დაწესებითა და მათი პრაქტიკაში ეფექტიანი აღსრულების კონტროლით. სატრანსპორტო საშუალების მართვის უფლების </w:t>
      </w:r>
      <w:r w:rsidR="000619DA" w:rsidRPr="00B93D76">
        <w:rPr>
          <w:rFonts w:ascii="Sylfaen" w:hAnsi="Sylfaen" w:cs="AcadNusx"/>
          <w:bCs/>
          <w:sz w:val="24"/>
          <w:szCs w:val="24"/>
          <w:lang w:val="ka-GE"/>
        </w:rPr>
        <w:t>ფლობა და საგზაო მოძრაობის წესების დაცვის ვალდებულების დაწესება</w:t>
      </w:r>
      <w:r w:rsidR="00896541" w:rsidRPr="00B93D76">
        <w:rPr>
          <w:rFonts w:ascii="Sylfaen" w:hAnsi="Sylfaen" w:cs="AcadNusx"/>
          <w:bCs/>
          <w:sz w:val="24"/>
          <w:szCs w:val="24"/>
          <w:lang w:val="ka-GE"/>
        </w:rPr>
        <w:t xml:space="preserve">, მართალია ერთსა და იმავე ლეგიტიმურ მიზანს ემსახურება, თუმცა ისინი </w:t>
      </w:r>
      <w:proofErr w:type="spellStart"/>
      <w:r w:rsidR="00896541" w:rsidRPr="00B93D76">
        <w:rPr>
          <w:rFonts w:ascii="Sylfaen" w:hAnsi="Sylfaen" w:cs="AcadNusx"/>
          <w:bCs/>
          <w:sz w:val="24"/>
          <w:szCs w:val="24"/>
          <w:lang w:val="ka-GE"/>
        </w:rPr>
        <w:t>ურთიერთჩანაცვლებადი</w:t>
      </w:r>
      <w:proofErr w:type="spellEnd"/>
      <w:r w:rsidR="00896541" w:rsidRPr="00B93D76">
        <w:rPr>
          <w:rFonts w:ascii="Sylfaen" w:hAnsi="Sylfaen" w:cs="AcadNusx"/>
          <w:bCs/>
          <w:sz w:val="24"/>
          <w:szCs w:val="24"/>
          <w:lang w:val="ka-GE"/>
        </w:rPr>
        <w:t xml:space="preserve"> მექანიზმები არ არის და სახელმწიფო უფლებამოსილია, ზემოხსენებული ლეგიტიმური მიზნების ეფექტიანად უზრუნველსაყოფად</w:t>
      </w:r>
      <w:r w:rsidR="000502EE" w:rsidRPr="00B93D76">
        <w:rPr>
          <w:rFonts w:ascii="Sylfaen" w:hAnsi="Sylfaen" w:cs="AcadNusx"/>
          <w:bCs/>
          <w:sz w:val="24"/>
          <w:szCs w:val="24"/>
          <w:lang w:val="ka-GE"/>
        </w:rPr>
        <w:t>,</w:t>
      </w:r>
      <w:r w:rsidR="00896541" w:rsidRPr="00B93D76">
        <w:rPr>
          <w:rFonts w:ascii="Sylfaen" w:hAnsi="Sylfaen" w:cs="AcadNusx"/>
          <w:bCs/>
          <w:sz w:val="24"/>
          <w:szCs w:val="24"/>
          <w:lang w:val="ka-GE"/>
        </w:rPr>
        <w:t xml:space="preserve"> აღნიშნული მექანიზმები პარალელურ რეჟიმში გამოიყენოს. </w:t>
      </w:r>
      <w:r w:rsidR="006871FA" w:rsidRPr="00B93D76">
        <w:rPr>
          <w:rFonts w:ascii="Sylfaen" w:hAnsi="Sylfaen" w:cs="AcadNusx"/>
          <w:bCs/>
          <w:sz w:val="24"/>
          <w:szCs w:val="24"/>
          <w:lang w:val="ka-GE"/>
        </w:rPr>
        <w:t xml:space="preserve">ბუნებრივია, რაც უფრო მკაცრი და </w:t>
      </w:r>
      <w:r w:rsidR="008F51C1" w:rsidRPr="00B93D76">
        <w:rPr>
          <w:rFonts w:ascii="Sylfaen" w:hAnsi="Sylfaen" w:cs="AcadNusx"/>
          <w:bCs/>
          <w:sz w:val="24"/>
          <w:szCs w:val="24"/>
          <w:lang w:val="ka-GE"/>
        </w:rPr>
        <w:t>ზედმიწევნითი იქნება სატრანსპორტო სა</w:t>
      </w:r>
      <w:r w:rsidR="00E324AF" w:rsidRPr="00B93D76">
        <w:rPr>
          <w:rFonts w:ascii="Sylfaen" w:hAnsi="Sylfaen" w:cs="AcadNusx"/>
          <w:bCs/>
          <w:sz w:val="24"/>
          <w:szCs w:val="24"/>
          <w:lang w:val="ka-GE"/>
        </w:rPr>
        <w:t xml:space="preserve">შუალების მართვის პროცესში პირთა </w:t>
      </w:r>
      <w:r w:rsidR="008F51C1" w:rsidRPr="00B93D76">
        <w:rPr>
          <w:rFonts w:ascii="Sylfaen" w:hAnsi="Sylfaen" w:cs="AcadNusx"/>
          <w:bCs/>
          <w:sz w:val="24"/>
          <w:szCs w:val="24"/>
          <w:lang w:val="ka-GE"/>
        </w:rPr>
        <w:t xml:space="preserve">ცოდნისა და უნარ-ჩვევების შეფასება და </w:t>
      </w:r>
      <w:r w:rsidR="008A0B82" w:rsidRPr="00B93D76">
        <w:rPr>
          <w:rFonts w:ascii="Sylfaen" w:hAnsi="Sylfaen" w:cs="AcadNusx"/>
          <w:bCs/>
          <w:sz w:val="24"/>
          <w:szCs w:val="24"/>
          <w:lang w:val="ka-GE"/>
        </w:rPr>
        <w:t xml:space="preserve">საგზაო მოძრაობის წესების დაცვის ყოველდღიური კონტროლი, </w:t>
      </w:r>
      <w:r w:rsidR="006871FA" w:rsidRPr="00B93D76">
        <w:rPr>
          <w:rFonts w:ascii="Sylfaen" w:hAnsi="Sylfaen" w:cs="AcadNusx"/>
          <w:bCs/>
          <w:sz w:val="24"/>
          <w:szCs w:val="24"/>
          <w:lang w:val="ka-GE"/>
        </w:rPr>
        <w:t xml:space="preserve">მით უფრო </w:t>
      </w:r>
      <w:r w:rsidR="008A0B82" w:rsidRPr="00B93D76">
        <w:rPr>
          <w:rFonts w:ascii="Sylfaen" w:hAnsi="Sylfaen" w:cs="AcadNusx"/>
          <w:bCs/>
          <w:sz w:val="24"/>
          <w:szCs w:val="24"/>
          <w:lang w:val="ka-GE"/>
        </w:rPr>
        <w:t>შემცირდება</w:t>
      </w:r>
      <w:r w:rsidR="006871FA" w:rsidRPr="00B93D76">
        <w:rPr>
          <w:rFonts w:ascii="Sylfaen" w:hAnsi="Sylfaen" w:cs="AcadNusx"/>
          <w:bCs/>
          <w:sz w:val="24"/>
          <w:szCs w:val="24"/>
          <w:lang w:val="ka-GE"/>
        </w:rPr>
        <w:t xml:space="preserve"> </w:t>
      </w:r>
      <w:r w:rsidR="008A0B82" w:rsidRPr="00B93D76">
        <w:rPr>
          <w:rFonts w:ascii="Sylfaen" w:hAnsi="Sylfaen" w:cs="AcadNusx"/>
          <w:bCs/>
          <w:sz w:val="24"/>
          <w:szCs w:val="24"/>
          <w:lang w:val="ka-GE"/>
        </w:rPr>
        <w:t xml:space="preserve">მოსახლეობის სიცოცხლისა და ჯანმრთელობისათვის საფრთხის შემცველი ქმედებების </w:t>
      </w:r>
      <w:r w:rsidR="00E324AF" w:rsidRPr="00B93D76">
        <w:rPr>
          <w:rFonts w:ascii="Sylfaen" w:hAnsi="Sylfaen" w:cs="AcadNusx"/>
          <w:bCs/>
          <w:sz w:val="24"/>
          <w:szCs w:val="24"/>
          <w:lang w:val="ka-GE"/>
        </w:rPr>
        <w:t>ჩადენის</w:t>
      </w:r>
      <w:r w:rsidR="008A0B82" w:rsidRPr="00B93D76">
        <w:rPr>
          <w:rFonts w:ascii="Sylfaen" w:hAnsi="Sylfaen" w:cs="AcadNusx"/>
          <w:bCs/>
          <w:sz w:val="24"/>
          <w:szCs w:val="24"/>
          <w:lang w:val="ka-GE"/>
        </w:rPr>
        <w:t xml:space="preserve"> </w:t>
      </w:r>
      <w:r w:rsidR="00E324AF" w:rsidRPr="00B93D76">
        <w:rPr>
          <w:rFonts w:ascii="Sylfaen" w:hAnsi="Sylfaen" w:cs="AcadNusx"/>
          <w:bCs/>
          <w:sz w:val="24"/>
          <w:szCs w:val="24"/>
          <w:lang w:val="ka-GE"/>
        </w:rPr>
        <w:t xml:space="preserve">რისკი. </w:t>
      </w:r>
    </w:p>
    <w:p w14:paraId="6CA38B25" w14:textId="77777777" w:rsidR="00B93D76" w:rsidRPr="00B93D76" w:rsidRDefault="00E324AF" w:rsidP="00B93D76">
      <w:pPr>
        <w:pStyle w:val="ListParagraph"/>
        <w:numPr>
          <w:ilvl w:val="0"/>
          <w:numId w:val="6"/>
        </w:numPr>
        <w:spacing w:after="0" w:line="276" w:lineRule="auto"/>
        <w:ind w:left="0" w:firstLine="284"/>
        <w:jc w:val="both"/>
        <w:rPr>
          <w:rFonts w:ascii="Sylfaen" w:hAnsi="Sylfaen"/>
          <w:sz w:val="24"/>
          <w:szCs w:val="24"/>
          <w:lang w:val="ka-GE"/>
        </w:rPr>
      </w:pPr>
      <w:r w:rsidRPr="00B93D76">
        <w:rPr>
          <w:rFonts w:ascii="Sylfaen" w:hAnsi="Sylfaen" w:cs="AcadNusx"/>
          <w:bCs/>
          <w:sz w:val="24"/>
          <w:szCs w:val="24"/>
          <w:lang w:val="ka-GE"/>
        </w:rPr>
        <w:t>ამრიგად, იმ პირობებში, როდესაც, ერთი მხრივ, ნათელია სადავო ნორმის ლეგიტიმური მიზანი, ხოლო, მეორე მხრივ, მოსარჩელეს არ წარმოუდგენია სათანად</w:t>
      </w:r>
      <w:r w:rsidR="00CB1C53" w:rsidRPr="00B93D76">
        <w:rPr>
          <w:rFonts w:ascii="Sylfaen" w:hAnsi="Sylfaen" w:cs="AcadNusx"/>
          <w:bCs/>
          <w:sz w:val="24"/>
          <w:szCs w:val="24"/>
          <w:lang w:val="ka-GE"/>
        </w:rPr>
        <w:t xml:space="preserve">ო არგუმენტაცია, </w:t>
      </w:r>
      <w:r w:rsidR="00E971D5" w:rsidRPr="00B93D76">
        <w:rPr>
          <w:rFonts w:ascii="Sylfaen" w:hAnsi="Sylfaen" w:cs="AcadNusx"/>
          <w:bCs/>
          <w:sz w:val="24"/>
          <w:szCs w:val="24"/>
          <w:lang w:val="ka-GE"/>
        </w:rPr>
        <w:t xml:space="preserve">თუ </w:t>
      </w:r>
      <w:r w:rsidR="00CB1C53" w:rsidRPr="00B93D76">
        <w:rPr>
          <w:rFonts w:ascii="Sylfaen" w:hAnsi="Sylfaen" w:cs="AcadNusx"/>
          <w:bCs/>
          <w:sz w:val="24"/>
          <w:szCs w:val="24"/>
          <w:lang w:val="ka-GE"/>
        </w:rPr>
        <w:t>რატომ მიიჩნევს სადავო ღონისძიებას</w:t>
      </w:r>
      <w:r w:rsidRPr="00B93D76">
        <w:rPr>
          <w:rFonts w:ascii="Sylfaen" w:hAnsi="Sylfaen" w:cs="AcadNusx"/>
          <w:bCs/>
          <w:sz w:val="24"/>
          <w:szCs w:val="24"/>
          <w:lang w:val="ka-GE"/>
        </w:rPr>
        <w:t xml:space="preserve"> </w:t>
      </w:r>
      <w:r w:rsidR="00CB1C53" w:rsidRPr="00B93D76">
        <w:rPr>
          <w:rFonts w:ascii="Sylfaen" w:hAnsi="Sylfaen" w:cs="AcadNusx"/>
          <w:bCs/>
          <w:sz w:val="24"/>
          <w:szCs w:val="24"/>
          <w:lang w:val="ka-GE"/>
        </w:rPr>
        <w:t xml:space="preserve">ლეგიტიმური </w:t>
      </w:r>
      <w:r w:rsidRPr="00B93D76">
        <w:rPr>
          <w:rFonts w:ascii="Sylfaen" w:hAnsi="Sylfaen" w:cs="AcadNusx"/>
          <w:bCs/>
          <w:sz w:val="24"/>
          <w:szCs w:val="24"/>
          <w:lang w:val="ka-GE"/>
        </w:rPr>
        <w:t>მიზნის მიღწევის არაპროპორციულ</w:t>
      </w:r>
      <w:r w:rsidR="000502EE" w:rsidRPr="00B93D76">
        <w:rPr>
          <w:rFonts w:ascii="Sylfaen" w:hAnsi="Sylfaen" w:cs="AcadNusx"/>
          <w:bCs/>
          <w:sz w:val="24"/>
          <w:szCs w:val="24"/>
          <w:lang w:val="ka-GE"/>
        </w:rPr>
        <w:t xml:space="preserve"> და, შესაბამისად, არაკონსტიტუციურ</w:t>
      </w:r>
      <w:r w:rsidRPr="00B93D76">
        <w:rPr>
          <w:rFonts w:ascii="Sylfaen" w:hAnsi="Sylfaen" w:cs="AcadNusx"/>
          <w:bCs/>
          <w:sz w:val="24"/>
          <w:szCs w:val="24"/>
          <w:lang w:val="ka-GE"/>
        </w:rPr>
        <w:t xml:space="preserve"> საშუალება</w:t>
      </w:r>
      <w:r w:rsidR="00CB1C53" w:rsidRPr="00B93D76">
        <w:rPr>
          <w:rFonts w:ascii="Sylfaen" w:hAnsi="Sylfaen" w:cs="AcadNusx"/>
          <w:bCs/>
          <w:sz w:val="24"/>
          <w:szCs w:val="24"/>
          <w:lang w:val="ka-GE"/>
        </w:rPr>
        <w:t>დ</w:t>
      </w:r>
      <w:r w:rsidR="000502EE" w:rsidRPr="00B93D76">
        <w:rPr>
          <w:rFonts w:ascii="Sylfaen" w:hAnsi="Sylfaen" w:cs="AcadNusx"/>
          <w:bCs/>
          <w:sz w:val="24"/>
          <w:szCs w:val="24"/>
          <w:lang w:val="ka-GE"/>
        </w:rPr>
        <w:t xml:space="preserve">, </w:t>
      </w:r>
      <w:r w:rsidR="00CB1C53" w:rsidRPr="00B93D76">
        <w:rPr>
          <w:rFonts w:ascii="Sylfaen" w:hAnsi="Sylfaen" w:cs="AcadNusx"/>
          <w:bCs/>
          <w:sz w:val="24"/>
          <w:szCs w:val="24"/>
          <w:lang w:val="ka-GE"/>
        </w:rPr>
        <w:t xml:space="preserve">საქართველოს საკონსტიტუციო სასამართლო მიიჩნევს, </w:t>
      </w:r>
      <w:r w:rsidR="00E971D5" w:rsidRPr="00B93D76">
        <w:rPr>
          <w:rFonts w:ascii="Sylfaen" w:hAnsi="Sylfaen" w:cs="AcadNusx"/>
          <w:bCs/>
          <w:sz w:val="24"/>
          <w:szCs w:val="24"/>
          <w:lang w:val="ka-GE"/>
        </w:rPr>
        <w:t xml:space="preserve">რომ </w:t>
      </w:r>
      <w:r w:rsidR="00CB1C53" w:rsidRPr="00B93D76">
        <w:rPr>
          <w:rFonts w:ascii="Sylfaen" w:hAnsi="Sylfaen" w:cs="AcadNusx"/>
          <w:bCs/>
          <w:sz w:val="24"/>
          <w:szCs w:val="24"/>
          <w:lang w:val="ka-GE"/>
        </w:rPr>
        <w:t>კონსტიტუციური სარჩელი დაუსაბუთებელია და არ უნდა იქნეს არსებითად განსახილველად მიღებული.</w:t>
      </w:r>
    </w:p>
    <w:p w14:paraId="0C39521F" w14:textId="591DE960" w:rsidR="00EB4E56" w:rsidRPr="00B93D76" w:rsidRDefault="003070C9" w:rsidP="00B93D76">
      <w:pPr>
        <w:pStyle w:val="ListParagraph"/>
        <w:numPr>
          <w:ilvl w:val="0"/>
          <w:numId w:val="6"/>
        </w:numPr>
        <w:spacing w:after="0" w:line="276" w:lineRule="auto"/>
        <w:ind w:left="0" w:firstLine="284"/>
        <w:jc w:val="both"/>
        <w:rPr>
          <w:rFonts w:ascii="Sylfaen" w:hAnsi="Sylfaen"/>
          <w:sz w:val="24"/>
          <w:szCs w:val="24"/>
          <w:lang w:val="ka-GE"/>
        </w:rPr>
      </w:pPr>
      <w:bookmarkStart w:id="1" w:name="_GoBack"/>
      <w:bookmarkEnd w:id="1"/>
      <w:r w:rsidRPr="00B93D76">
        <w:rPr>
          <w:rFonts w:ascii="Sylfaen" w:hAnsi="Sylfaen" w:cs="AcadNusx"/>
          <w:bCs/>
          <w:sz w:val="24"/>
          <w:szCs w:val="24"/>
          <w:lang w:val="ka-GE"/>
        </w:rPr>
        <w:t xml:space="preserve">ზემოაღნიშნულიდან გამომდინარე, </w:t>
      </w:r>
      <w:proofErr w:type="spellStart"/>
      <w:r w:rsidRPr="00B93D76">
        <w:rPr>
          <w:rFonts w:ascii="Sylfaen" w:hAnsi="Sylfaen" w:cs="Sylfaen"/>
          <w:sz w:val="24"/>
          <w:szCs w:val="24"/>
          <w:lang w:val="ka-GE"/>
        </w:rPr>
        <w:t>სასარჩელო</w:t>
      </w:r>
      <w:proofErr w:type="spellEnd"/>
      <w:r w:rsidRPr="00B93D76">
        <w:rPr>
          <w:rFonts w:ascii="Sylfaen" w:hAnsi="Sylfaen" w:cs="Sylfaen"/>
          <w:sz w:val="24"/>
          <w:szCs w:val="24"/>
          <w:lang w:val="ka-GE"/>
        </w:rPr>
        <w:t xml:space="preserve"> მოთხოვნის იმ ნაწილში, რომელიც შეეხება </w:t>
      </w:r>
      <w:r w:rsidRPr="00B93D76">
        <w:rPr>
          <w:rFonts w:ascii="Sylfaen" w:hAnsi="Sylfaen"/>
          <w:sz w:val="24"/>
          <w:szCs w:val="24"/>
          <w:lang w:val="ka-GE"/>
        </w:rPr>
        <w:t>საქართველოს ადმინისტრაციულ სამართალდარღვევათა კოდექსის 121-ე მუხლის პირველი ნაწილის სიტყვების „</w:t>
      </w:r>
      <w:r w:rsidRPr="00B93D76">
        <w:rPr>
          <w:rFonts w:ascii="Sylfaen" w:hAnsi="Sylfaen" w:cs="AcadNusx"/>
          <w:bCs/>
          <w:sz w:val="24"/>
          <w:szCs w:val="24"/>
          <w:lang w:val="ka-GE"/>
        </w:rPr>
        <w:t xml:space="preserve">სატრანსპორტო საშუალების მართვა პირის მიერ, რომელსაც არ აქვს სატრანსპორტო საშუალების მართვის უფლება ან ეს უფლება შეჩერებული აქვს სხვა დარღვევისათვის,“ </w:t>
      </w:r>
      <w:r w:rsidR="002B3F0C" w:rsidRPr="00B93D76">
        <w:rPr>
          <w:rFonts w:ascii="Sylfaen" w:hAnsi="Sylfaen" w:cs="AcadNusx"/>
          <w:bCs/>
          <w:sz w:val="24"/>
          <w:szCs w:val="24"/>
          <w:lang w:val="ka-GE"/>
        </w:rPr>
        <w:t>არაკონსტიტუციურად ცნობას</w:t>
      </w:r>
      <w:r w:rsidRPr="00B93D76">
        <w:rPr>
          <w:rFonts w:ascii="Sylfaen" w:hAnsi="Sylfaen" w:cs="AcadNusx"/>
          <w:bCs/>
          <w:sz w:val="24"/>
          <w:szCs w:val="24"/>
          <w:lang w:val="ka-GE"/>
        </w:rPr>
        <w:t xml:space="preserve"> საქართველოს კონსტიტუციის </w:t>
      </w:r>
      <w:r w:rsidRPr="00B93D76">
        <w:rPr>
          <w:rFonts w:ascii="Sylfaen" w:hAnsi="Sylfaen"/>
          <w:sz w:val="24"/>
          <w:szCs w:val="24"/>
          <w:lang w:val="ka-GE"/>
        </w:rPr>
        <w:t>მე-11 მუხლის პირველ პუნქტთან, მე-12 მუხლთან</w:t>
      </w:r>
      <w:r w:rsidR="0056432E" w:rsidRPr="00B93D76">
        <w:rPr>
          <w:rFonts w:ascii="Sylfaen" w:hAnsi="Sylfaen"/>
          <w:sz w:val="24"/>
          <w:szCs w:val="24"/>
          <w:lang w:val="ka-GE"/>
        </w:rPr>
        <w:t>, მე-14 მუხლის პირველ პუნქტთან</w:t>
      </w:r>
      <w:r w:rsidRPr="00B93D76">
        <w:rPr>
          <w:rFonts w:ascii="Sylfaen" w:hAnsi="Sylfaen"/>
          <w:sz w:val="24"/>
          <w:szCs w:val="24"/>
          <w:lang w:val="ka-GE"/>
        </w:rPr>
        <w:t xml:space="preserve"> და მე-19 მუხლის პირველ და მე-2 პუნქტებთან მიმართებით,</w:t>
      </w:r>
      <w:r w:rsidR="002B3F0C" w:rsidRPr="00B93D76">
        <w:rPr>
          <w:rFonts w:ascii="Sylfaen" w:hAnsi="Sylfaen"/>
          <w:sz w:val="24"/>
          <w:szCs w:val="24"/>
          <w:lang w:val="ka-GE"/>
        </w:rPr>
        <w:t xml:space="preserve"> </w:t>
      </w:r>
      <w:r w:rsidR="002B3F0C" w:rsidRPr="00B93D76">
        <w:rPr>
          <w:rFonts w:ascii="Sylfaen" w:hAnsi="Sylfaen" w:cs="Sylfaen"/>
          <w:sz w:val="24"/>
          <w:szCs w:val="24"/>
          <w:lang w:val="ka-GE"/>
        </w:rPr>
        <w:t>№1713 კონსტიტუციური სარჩელი</w:t>
      </w:r>
      <w:r w:rsidRPr="00B93D76">
        <w:rPr>
          <w:rFonts w:ascii="Sylfaen" w:hAnsi="Sylfaen"/>
          <w:sz w:val="24"/>
          <w:szCs w:val="24"/>
          <w:lang w:val="ka-GE"/>
        </w:rPr>
        <w:t xml:space="preserve"> დაუსაბუთებელია და არსებობს მისი არსებითად განსახილველად </w:t>
      </w:r>
      <w:r w:rsidRPr="00B93D76">
        <w:rPr>
          <w:rFonts w:ascii="Sylfaen" w:hAnsi="Sylfaen"/>
          <w:sz w:val="24"/>
          <w:szCs w:val="24"/>
          <w:lang w:val="ka-GE"/>
        </w:rPr>
        <w:lastRenderedPageBreak/>
        <w:t>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B93D76">
        <w:rPr>
          <w:rFonts w:ascii="Sylfaen" w:hAnsi="Sylfaen"/>
          <w:sz w:val="24"/>
          <w:szCs w:val="24"/>
          <w:vertAlign w:val="superscript"/>
          <w:lang w:val="ka-GE"/>
        </w:rPr>
        <w:t>3</w:t>
      </w:r>
      <w:r w:rsidRPr="00B93D76">
        <w:rPr>
          <w:rFonts w:ascii="Sylfaen" w:hAnsi="Sylfaen"/>
          <w:sz w:val="24"/>
          <w:szCs w:val="24"/>
          <w:lang w:val="ka-GE"/>
        </w:rPr>
        <w:t xml:space="preserve"> მუხლის პირველი პუნქტის „ა“ ქვეპუნქტით გათვალისწინებული საფუძველი.</w:t>
      </w:r>
    </w:p>
    <w:p w14:paraId="67A7E21C" w14:textId="77777777" w:rsidR="00B7725F" w:rsidRPr="006804AD" w:rsidRDefault="00B7725F" w:rsidP="00B7725F">
      <w:pPr>
        <w:pStyle w:val="ListParagraph1"/>
        <w:spacing w:after="100" w:afterAutospacing="1"/>
        <w:ind w:left="284"/>
        <w:jc w:val="both"/>
        <w:rPr>
          <w:rFonts w:ascii="Sylfaen" w:hAnsi="Sylfaen" w:cs="AcadNusx"/>
          <w:bCs/>
          <w:sz w:val="24"/>
          <w:szCs w:val="24"/>
          <w:lang w:val="ka-GE"/>
        </w:rPr>
      </w:pPr>
    </w:p>
    <w:p w14:paraId="26B9F55D" w14:textId="77777777" w:rsidR="001202B5" w:rsidRPr="002B3758" w:rsidRDefault="001202B5" w:rsidP="00A37045">
      <w:pPr>
        <w:pStyle w:val="ListParagraph"/>
        <w:spacing w:after="100" w:afterAutospacing="1" w:line="276" w:lineRule="auto"/>
        <w:ind w:left="0" w:firstLine="0"/>
        <w:jc w:val="center"/>
        <w:outlineLvl w:val="0"/>
        <w:rPr>
          <w:rFonts w:ascii="Sylfaen" w:hAnsi="Sylfaen"/>
          <w:b/>
          <w:sz w:val="24"/>
          <w:szCs w:val="24"/>
          <w:lang w:val="ka-GE"/>
        </w:rPr>
      </w:pPr>
      <w:r w:rsidRPr="002B3758">
        <w:rPr>
          <w:rFonts w:ascii="Sylfaen" w:hAnsi="Sylfaen"/>
          <w:b/>
          <w:sz w:val="24"/>
          <w:szCs w:val="24"/>
          <w:lang w:val="ka-GE"/>
        </w:rPr>
        <w:t>III</w:t>
      </w:r>
      <w:r w:rsidRPr="002B3758">
        <w:rPr>
          <w:rFonts w:ascii="Sylfaen" w:hAnsi="Sylfaen"/>
          <w:b/>
          <w:sz w:val="24"/>
          <w:szCs w:val="24"/>
          <w:lang w:val="ka-GE"/>
        </w:rPr>
        <w:br/>
      </w:r>
      <w:proofErr w:type="spellStart"/>
      <w:r w:rsidRPr="002B3758">
        <w:rPr>
          <w:rFonts w:ascii="Sylfaen" w:hAnsi="Sylfaen"/>
          <w:b/>
          <w:sz w:val="24"/>
          <w:szCs w:val="24"/>
          <w:lang w:val="ka-GE"/>
        </w:rPr>
        <w:t>სარეზოლუციო</w:t>
      </w:r>
      <w:proofErr w:type="spellEnd"/>
      <w:r w:rsidRPr="002B3758">
        <w:rPr>
          <w:rFonts w:ascii="Sylfaen" w:hAnsi="Sylfaen"/>
          <w:b/>
          <w:sz w:val="24"/>
          <w:szCs w:val="24"/>
          <w:lang w:val="ka-GE"/>
        </w:rPr>
        <w:t xml:space="preserve"> ნაწილი</w:t>
      </w:r>
    </w:p>
    <w:p w14:paraId="25844BD8" w14:textId="3DDA80A4" w:rsidR="00E971D5" w:rsidRPr="00083805" w:rsidRDefault="00572785" w:rsidP="00083805">
      <w:pPr>
        <w:spacing w:after="100" w:afterAutospacing="1" w:line="276" w:lineRule="auto"/>
        <w:ind w:firstLine="284"/>
        <w:jc w:val="both"/>
        <w:rPr>
          <w:rFonts w:ascii="Sylfaen" w:hAnsi="Sylfaen" w:cstheme="minorHAnsi"/>
          <w:sz w:val="24"/>
          <w:szCs w:val="24"/>
          <w:lang w:val="ka-GE"/>
        </w:rPr>
      </w:pPr>
      <w:r w:rsidRPr="002B3758">
        <w:rPr>
          <w:rFonts w:ascii="Sylfaen" w:hAnsi="Sylfaen" w:cstheme="minorHAnsi"/>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2B3758">
        <w:rPr>
          <w:rFonts w:ascii="Sylfaen" w:hAnsi="Sylfaen" w:cstheme="minorHAnsi"/>
          <w:sz w:val="24"/>
          <w:szCs w:val="24"/>
          <w:vertAlign w:val="superscript"/>
          <w:lang w:val="ka-GE"/>
        </w:rPr>
        <w:t>1</w:t>
      </w:r>
      <w:r w:rsidRPr="002B3758">
        <w:rPr>
          <w:rFonts w:ascii="Sylfaen" w:hAnsi="Sylfaen" w:cstheme="minorHAnsi"/>
          <w:sz w:val="24"/>
          <w:szCs w:val="24"/>
          <w:lang w:val="ka-GE"/>
        </w:rPr>
        <w:t xml:space="preserve"> მუხლის მე-2</w:t>
      </w:r>
      <w:r w:rsidR="00E478B4">
        <w:rPr>
          <w:rFonts w:ascii="Sylfaen" w:hAnsi="Sylfaen" w:cstheme="minorHAnsi"/>
          <w:sz w:val="24"/>
          <w:szCs w:val="24"/>
          <w:lang w:val="ka-GE"/>
        </w:rPr>
        <w:t xml:space="preserve"> და მე-3 პუნქტების,</w:t>
      </w:r>
      <w:r w:rsidRPr="002B3758">
        <w:rPr>
          <w:rFonts w:ascii="Sylfaen" w:hAnsi="Sylfaen" w:cstheme="minorHAnsi"/>
          <w:sz w:val="24"/>
          <w:szCs w:val="24"/>
          <w:lang w:val="ka-GE"/>
        </w:rPr>
        <w:t xml:space="preserve"> 31-ე მუხლის პირველი და მე-2 პუნქტების, 31</w:t>
      </w:r>
      <w:r w:rsidRPr="002B3758">
        <w:rPr>
          <w:rFonts w:ascii="Sylfaen" w:hAnsi="Sylfaen" w:cstheme="minorHAnsi"/>
          <w:sz w:val="24"/>
          <w:szCs w:val="24"/>
          <w:vertAlign w:val="superscript"/>
          <w:lang w:val="ka-GE"/>
        </w:rPr>
        <w:t>1</w:t>
      </w:r>
      <w:r w:rsidRPr="002B3758">
        <w:rPr>
          <w:rFonts w:ascii="Sylfaen" w:hAnsi="Sylfaen" w:cstheme="minorHAnsi"/>
          <w:sz w:val="24"/>
          <w:szCs w:val="24"/>
          <w:lang w:val="ka-GE"/>
        </w:rPr>
        <w:t xml:space="preserve"> მუხლის პირველი და მე-2 პუნქტების, 31</w:t>
      </w:r>
      <w:r w:rsidRPr="002B3758">
        <w:rPr>
          <w:rFonts w:ascii="Sylfaen" w:hAnsi="Sylfaen" w:cstheme="minorHAnsi"/>
          <w:sz w:val="24"/>
          <w:szCs w:val="24"/>
          <w:vertAlign w:val="superscript"/>
          <w:lang w:val="ka-GE"/>
        </w:rPr>
        <w:t>2</w:t>
      </w:r>
      <w:r w:rsidRPr="002B3758">
        <w:rPr>
          <w:rFonts w:ascii="Sylfaen" w:hAnsi="Sylfaen" w:cstheme="minorHAnsi"/>
          <w:sz w:val="24"/>
          <w:szCs w:val="24"/>
          <w:lang w:val="ka-GE"/>
        </w:rPr>
        <w:t xml:space="preserve"> მუხლის მე-8 პუნქტის, 31</w:t>
      </w:r>
      <w:r w:rsidRPr="002B3758">
        <w:rPr>
          <w:rFonts w:ascii="Sylfaen" w:hAnsi="Sylfaen" w:cstheme="minorHAnsi"/>
          <w:sz w:val="24"/>
          <w:szCs w:val="24"/>
          <w:vertAlign w:val="superscript"/>
          <w:lang w:val="ka-GE"/>
        </w:rPr>
        <w:t>3</w:t>
      </w:r>
      <w:r w:rsidRPr="002B3758">
        <w:rPr>
          <w:rFonts w:ascii="Sylfaen" w:hAnsi="Sylfaen" w:cstheme="minorHAnsi"/>
          <w:sz w:val="24"/>
          <w:szCs w:val="24"/>
          <w:lang w:val="ka-GE"/>
        </w:rPr>
        <w:t xml:space="preserve"> მუხლის პირველი პუნქტის „ა“</w:t>
      </w:r>
      <w:r w:rsidR="003838F2" w:rsidRPr="002B3758">
        <w:rPr>
          <w:rFonts w:ascii="Sylfaen" w:hAnsi="Sylfaen" w:cstheme="minorHAnsi"/>
          <w:sz w:val="24"/>
          <w:szCs w:val="24"/>
          <w:lang w:val="ka-GE"/>
        </w:rPr>
        <w:t xml:space="preserve"> და „ბ“</w:t>
      </w:r>
      <w:r w:rsidRPr="002B3758">
        <w:rPr>
          <w:rFonts w:ascii="Sylfaen" w:hAnsi="Sylfaen" w:cstheme="minorHAnsi"/>
          <w:sz w:val="24"/>
          <w:szCs w:val="24"/>
          <w:lang w:val="ka-GE"/>
        </w:rPr>
        <w:t xml:space="preserve"> ქვეპუნქტ</w:t>
      </w:r>
      <w:r w:rsidR="003838F2" w:rsidRPr="002B3758">
        <w:rPr>
          <w:rFonts w:ascii="Sylfaen" w:hAnsi="Sylfaen" w:cstheme="minorHAnsi"/>
          <w:sz w:val="24"/>
          <w:szCs w:val="24"/>
          <w:lang w:val="ka-GE"/>
        </w:rPr>
        <w:t>ებ</w:t>
      </w:r>
      <w:r w:rsidRPr="002B3758">
        <w:rPr>
          <w:rFonts w:ascii="Sylfaen" w:hAnsi="Sylfaen" w:cstheme="minorHAnsi"/>
          <w:sz w:val="24"/>
          <w:szCs w:val="24"/>
          <w:lang w:val="ka-GE"/>
        </w:rPr>
        <w:t>ის, 31</w:t>
      </w:r>
      <w:r w:rsidRPr="002B3758">
        <w:rPr>
          <w:rFonts w:ascii="Sylfaen" w:hAnsi="Sylfaen" w:cstheme="minorHAnsi"/>
          <w:sz w:val="24"/>
          <w:szCs w:val="24"/>
          <w:vertAlign w:val="superscript"/>
          <w:lang w:val="ka-GE"/>
        </w:rPr>
        <w:t>5</w:t>
      </w:r>
      <w:r w:rsidRPr="002B3758">
        <w:rPr>
          <w:rFonts w:ascii="Sylfaen" w:hAnsi="Sylfaen" w:cstheme="minorHAnsi"/>
          <w:sz w:val="24"/>
          <w:szCs w:val="24"/>
          <w:lang w:val="ka-GE"/>
        </w:rPr>
        <w:t xml:space="preserve"> მუხლის პირველი, მე-3, მე-4 და მე-7 პუნქტების, 31</w:t>
      </w:r>
      <w:r w:rsidRPr="002B3758">
        <w:rPr>
          <w:rFonts w:ascii="Sylfaen" w:hAnsi="Sylfaen" w:cstheme="minorHAnsi"/>
          <w:sz w:val="24"/>
          <w:szCs w:val="24"/>
          <w:vertAlign w:val="superscript"/>
          <w:lang w:val="ka-GE"/>
        </w:rPr>
        <w:t>6</w:t>
      </w:r>
      <w:r w:rsidRPr="002B3758">
        <w:rPr>
          <w:rFonts w:ascii="Sylfaen" w:hAnsi="Sylfaen" w:cstheme="minorHAnsi"/>
          <w:sz w:val="24"/>
          <w:szCs w:val="24"/>
          <w:lang w:val="ka-G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6700572E" w14:textId="77777777" w:rsidR="001202B5" w:rsidRPr="002B3758" w:rsidRDefault="001202B5" w:rsidP="00A37045">
      <w:pPr>
        <w:spacing w:line="276" w:lineRule="auto"/>
        <w:ind w:firstLine="0"/>
        <w:jc w:val="center"/>
        <w:rPr>
          <w:rFonts w:ascii="Sylfaen" w:hAnsi="Sylfaen"/>
          <w:b/>
          <w:bCs/>
          <w:sz w:val="24"/>
          <w:szCs w:val="24"/>
          <w:lang w:val="ka-GE"/>
        </w:rPr>
      </w:pPr>
      <w:r w:rsidRPr="002B3758">
        <w:rPr>
          <w:rFonts w:ascii="Sylfaen" w:hAnsi="Sylfaen"/>
          <w:b/>
          <w:bCs/>
          <w:sz w:val="24"/>
          <w:szCs w:val="24"/>
          <w:lang w:val="ka-GE"/>
        </w:rPr>
        <w:t>საქართველოს საკონსტიტუციო სასამართლო</w:t>
      </w:r>
    </w:p>
    <w:p w14:paraId="131D677D" w14:textId="77777777" w:rsidR="001202B5" w:rsidRPr="002B3758" w:rsidRDefault="001202B5" w:rsidP="00083805">
      <w:pPr>
        <w:spacing w:after="100" w:afterAutospacing="1" w:line="276" w:lineRule="auto"/>
        <w:ind w:firstLine="0"/>
        <w:jc w:val="center"/>
        <w:rPr>
          <w:rFonts w:ascii="Sylfaen" w:hAnsi="Sylfaen"/>
          <w:b/>
          <w:bCs/>
          <w:sz w:val="24"/>
          <w:szCs w:val="24"/>
          <w:lang w:val="ka-GE"/>
        </w:rPr>
      </w:pPr>
      <w:r w:rsidRPr="002B3758">
        <w:rPr>
          <w:rFonts w:ascii="Sylfaen" w:hAnsi="Sylfaen"/>
          <w:b/>
          <w:bCs/>
          <w:sz w:val="24"/>
          <w:szCs w:val="24"/>
          <w:lang w:val="ka-GE"/>
        </w:rPr>
        <w:t>ა დ გ ე ნ ს:</w:t>
      </w:r>
    </w:p>
    <w:p w14:paraId="3EDC4A44" w14:textId="1A0DA6B5" w:rsidR="002B0298" w:rsidRPr="002B3758" w:rsidRDefault="00A4293F" w:rsidP="00A37045">
      <w:pPr>
        <w:numPr>
          <w:ilvl w:val="0"/>
          <w:numId w:val="3"/>
        </w:numPr>
        <w:spacing w:after="0" w:line="276" w:lineRule="auto"/>
        <w:ind w:left="0" w:firstLine="284"/>
        <w:jc w:val="both"/>
        <w:rPr>
          <w:rFonts w:ascii="Sylfaen" w:hAnsi="Sylfaen"/>
          <w:sz w:val="24"/>
          <w:szCs w:val="24"/>
          <w:lang w:val="ka-GE"/>
        </w:rPr>
      </w:pPr>
      <w:r w:rsidRPr="002B3758">
        <w:rPr>
          <w:rFonts w:ascii="Sylfaen" w:hAnsi="Sylfaen"/>
          <w:sz w:val="24"/>
          <w:szCs w:val="24"/>
          <w:lang w:val="ka-GE"/>
        </w:rPr>
        <w:t>არ იქნეს მიღებული არსებითად განსახილველად №1</w:t>
      </w:r>
      <w:r w:rsidR="002B0298" w:rsidRPr="002B3758">
        <w:rPr>
          <w:rFonts w:ascii="Sylfaen" w:hAnsi="Sylfaen"/>
          <w:sz w:val="24"/>
          <w:szCs w:val="24"/>
          <w:lang w:val="ka-GE"/>
        </w:rPr>
        <w:t>71</w:t>
      </w:r>
      <w:r w:rsidR="006E1F8E" w:rsidRPr="002B3758">
        <w:rPr>
          <w:rFonts w:ascii="Sylfaen" w:hAnsi="Sylfaen"/>
          <w:sz w:val="24"/>
          <w:szCs w:val="24"/>
          <w:lang w:val="ka-GE"/>
        </w:rPr>
        <w:t>3</w:t>
      </w:r>
      <w:r w:rsidRPr="002B3758">
        <w:rPr>
          <w:rFonts w:ascii="Sylfaen" w:hAnsi="Sylfaen"/>
          <w:sz w:val="24"/>
          <w:szCs w:val="24"/>
          <w:lang w:val="ka-GE"/>
        </w:rPr>
        <w:t xml:space="preserve"> კონსტიტუციური სარჩელი </w:t>
      </w:r>
      <w:r w:rsidR="002B0298" w:rsidRPr="002B3758">
        <w:rPr>
          <w:rFonts w:ascii="Sylfaen" w:hAnsi="Sylfaen"/>
          <w:sz w:val="24"/>
          <w:szCs w:val="24"/>
          <w:lang w:val="ka-GE"/>
        </w:rPr>
        <w:t>(„დურმიშხან შაინიძე საქართველოს პარლამენტის წინააღმდეგ“).</w:t>
      </w:r>
    </w:p>
    <w:p w14:paraId="77E1462C" w14:textId="77777777" w:rsidR="008E4A3C" w:rsidRPr="002B3758" w:rsidRDefault="008E4A3C" w:rsidP="00A37045">
      <w:pPr>
        <w:numPr>
          <w:ilvl w:val="0"/>
          <w:numId w:val="3"/>
        </w:numPr>
        <w:spacing w:after="0" w:line="276" w:lineRule="auto"/>
        <w:ind w:left="0" w:firstLine="284"/>
        <w:jc w:val="both"/>
        <w:rPr>
          <w:rFonts w:ascii="Sylfaen" w:hAnsi="Sylfaen"/>
          <w:sz w:val="24"/>
          <w:szCs w:val="24"/>
          <w:lang w:val="ka-GE"/>
        </w:rPr>
      </w:pPr>
      <w:r w:rsidRPr="002B3758">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DD6977D" w14:textId="68D2BE74" w:rsidR="008E4A3C" w:rsidRPr="002B3758" w:rsidRDefault="008E4A3C" w:rsidP="00A37045">
      <w:pPr>
        <w:numPr>
          <w:ilvl w:val="0"/>
          <w:numId w:val="3"/>
        </w:numPr>
        <w:spacing w:after="100" w:afterAutospacing="1" w:line="276" w:lineRule="auto"/>
        <w:ind w:left="0" w:firstLine="284"/>
        <w:jc w:val="both"/>
        <w:rPr>
          <w:rFonts w:ascii="Sylfaen" w:hAnsi="Sylfaen"/>
          <w:sz w:val="24"/>
          <w:szCs w:val="24"/>
          <w:lang w:val="ka-GE"/>
        </w:rPr>
      </w:pPr>
      <w:r w:rsidRPr="002B3758">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D25168F" w14:textId="77777777" w:rsidR="001202B5" w:rsidRPr="002B3758" w:rsidRDefault="001202B5" w:rsidP="00A37045">
      <w:pPr>
        <w:spacing w:line="276" w:lineRule="auto"/>
        <w:ind w:firstLine="284"/>
        <w:jc w:val="both"/>
        <w:rPr>
          <w:rFonts w:ascii="Sylfaen" w:hAnsi="Sylfaen"/>
          <w:b/>
          <w:bCs/>
          <w:sz w:val="24"/>
          <w:szCs w:val="24"/>
          <w:lang w:val="ka-GE"/>
        </w:rPr>
      </w:pPr>
      <w:r w:rsidRPr="002B3758">
        <w:rPr>
          <w:rFonts w:ascii="Sylfaen" w:hAnsi="Sylfaen"/>
          <w:b/>
          <w:bCs/>
          <w:sz w:val="24"/>
          <w:szCs w:val="24"/>
          <w:lang w:val="ka-GE"/>
        </w:rPr>
        <w:t>კოლეგიის შემადგენლობა:</w:t>
      </w:r>
    </w:p>
    <w:p w14:paraId="328A2A1B" w14:textId="5391C3B9" w:rsidR="00003420" w:rsidRPr="002B3758" w:rsidRDefault="00003420" w:rsidP="00556ECB">
      <w:pPr>
        <w:spacing w:after="840" w:line="276" w:lineRule="auto"/>
        <w:ind w:firstLine="284"/>
        <w:jc w:val="both"/>
        <w:rPr>
          <w:rFonts w:ascii="Sylfaen" w:hAnsi="Sylfaen"/>
          <w:bCs/>
          <w:sz w:val="24"/>
          <w:szCs w:val="24"/>
          <w:lang w:val="ka-GE"/>
        </w:rPr>
      </w:pPr>
      <w:r w:rsidRPr="002B3758">
        <w:rPr>
          <w:rFonts w:ascii="Sylfaen" w:hAnsi="Sylfaen"/>
          <w:bCs/>
          <w:sz w:val="24"/>
          <w:szCs w:val="24"/>
          <w:lang w:val="ka-GE"/>
        </w:rPr>
        <w:t xml:space="preserve">ვასილ როინიშვილი </w:t>
      </w:r>
    </w:p>
    <w:p w14:paraId="797E2266" w14:textId="3768B020" w:rsidR="00003420" w:rsidRPr="002B3758" w:rsidRDefault="00003420" w:rsidP="00556ECB">
      <w:pPr>
        <w:spacing w:after="840" w:line="276" w:lineRule="auto"/>
        <w:ind w:firstLine="284"/>
        <w:jc w:val="both"/>
        <w:rPr>
          <w:rFonts w:ascii="Sylfaen" w:hAnsi="Sylfaen"/>
          <w:bCs/>
          <w:sz w:val="24"/>
          <w:szCs w:val="24"/>
          <w:lang w:val="ka-GE"/>
        </w:rPr>
      </w:pPr>
      <w:r w:rsidRPr="002B3758">
        <w:rPr>
          <w:rFonts w:ascii="Sylfaen" w:hAnsi="Sylfaen"/>
          <w:bCs/>
          <w:sz w:val="24"/>
          <w:szCs w:val="24"/>
          <w:lang w:val="ka-GE"/>
        </w:rPr>
        <w:t>ევა გოცირიძე</w:t>
      </w:r>
    </w:p>
    <w:p w14:paraId="76FAA607" w14:textId="28DD36C7" w:rsidR="00003420" w:rsidRPr="002B3758" w:rsidRDefault="00003420" w:rsidP="00556ECB">
      <w:pPr>
        <w:spacing w:after="840" w:line="276" w:lineRule="auto"/>
        <w:ind w:firstLine="284"/>
        <w:jc w:val="both"/>
        <w:rPr>
          <w:rFonts w:ascii="Sylfaen" w:hAnsi="Sylfaen"/>
          <w:bCs/>
          <w:sz w:val="24"/>
          <w:szCs w:val="24"/>
          <w:lang w:val="ka-GE"/>
        </w:rPr>
      </w:pPr>
      <w:r w:rsidRPr="002B3758">
        <w:rPr>
          <w:rFonts w:ascii="Sylfaen" w:hAnsi="Sylfaen"/>
          <w:bCs/>
          <w:sz w:val="24"/>
          <w:szCs w:val="24"/>
          <w:lang w:val="ka-GE"/>
        </w:rPr>
        <w:t>გიორგი თევდორაშვილი</w:t>
      </w:r>
    </w:p>
    <w:p w14:paraId="56E02A59" w14:textId="7BDF179A" w:rsidR="00F12C76" w:rsidRPr="002B3758" w:rsidRDefault="00003420" w:rsidP="00556ECB">
      <w:pPr>
        <w:spacing w:after="840" w:line="276" w:lineRule="auto"/>
        <w:ind w:firstLine="284"/>
        <w:jc w:val="both"/>
        <w:rPr>
          <w:rFonts w:ascii="Sylfaen" w:hAnsi="Sylfaen"/>
          <w:bCs/>
          <w:sz w:val="24"/>
          <w:szCs w:val="24"/>
          <w:lang w:val="ka-GE"/>
        </w:rPr>
      </w:pPr>
      <w:r w:rsidRPr="002B3758">
        <w:rPr>
          <w:rFonts w:ascii="Sylfaen" w:hAnsi="Sylfaen"/>
          <w:bCs/>
          <w:sz w:val="24"/>
          <w:szCs w:val="24"/>
          <w:lang w:val="ka-GE"/>
        </w:rPr>
        <w:lastRenderedPageBreak/>
        <w:t>გიორგი კვერენჩხილაძე</w:t>
      </w:r>
    </w:p>
    <w:sectPr w:rsidR="00F12C76" w:rsidRPr="002B3758" w:rsidSect="0043226D">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167EF" w14:textId="77777777" w:rsidR="00F32322" w:rsidRDefault="00F32322" w:rsidP="00B03453">
      <w:pPr>
        <w:spacing w:after="0" w:line="240" w:lineRule="auto"/>
      </w:pPr>
      <w:r>
        <w:separator/>
      </w:r>
    </w:p>
  </w:endnote>
  <w:endnote w:type="continuationSeparator" w:id="0">
    <w:p w14:paraId="051EF6C8" w14:textId="77777777" w:rsidR="00F32322" w:rsidRDefault="00F32322" w:rsidP="00B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22484"/>
      <w:docPartObj>
        <w:docPartGallery w:val="Page Numbers (Bottom of Page)"/>
        <w:docPartUnique/>
      </w:docPartObj>
    </w:sdtPr>
    <w:sdtEndPr>
      <w:rPr>
        <w:rFonts w:ascii="Sylfaen" w:hAnsi="Sylfaen"/>
        <w:noProof/>
        <w:sz w:val="20"/>
      </w:rPr>
    </w:sdtEndPr>
    <w:sdtContent>
      <w:p w14:paraId="4E98ED06" w14:textId="6960C8F1" w:rsidR="006804AD" w:rsidRPr="006804AD" w:rsidRDefault="006804AD">
        <w:pPr>
          <w:pStyle w:val="Footer"/>
          <w:jc w:val="right"/>
          <w:rPr>
            <w:rFonts w:ascii="Sylfaen" w:hAnsi="Sylfaen"/>
            <w:sz w:val="20"/>
          </w:rPr>
        </w:pPr>
        <w:r w:rsidRPr="006804AD">
          <w:rPr>
            <w:rFonts w:ascii="Sylfaen" w:hAnsi="Sylfaen"/>
            <w:sz w:val="20"/>
          </w:rPr>
          <w:fldChar w:fldCharType="begin"/>
        </w:r>
        <w:r w:rsidRPr="006804AD">
          <w:rPr>
            <w:rFonts w:ascii="Sylfaen" w:hAnsi="Sylfaen"/>
            <w:sz w:val="20"/>
          </w:rPr>
          <w:instrText xml:space="preserve"> PAGE   \* MERGEFORMAT </w:instrText>
        </w:r>
        <w:r w:rsidRPr="006804AD">
          <w:rPr>
            <w:rFonts w:ascii="Sylfaen" w:hAnsi="Sylfaen"/>
            <w:sz w:val="20"/>
          </w:rPr>
          <w:fldChar w:fldCharType="separate"/>
        </w:r>
        <w:r w:rsidR="00B93D76">
          <w:rPr>
            <w:rFonts w:ascii="Sylfaen" w:hAnsi="Sylfaen"/>
            <w:noProof/>
            <w:sz w:val="20"/>
          </w:rPr>
          <w:t>14</w:t>
        </w:r>
        <w:r w:rsidRPr="006804AD">
          <w:rPr>
            <w:rFonts w:ascii="Sylfaen" w:hAnsi="Sylfaen"/>
            <w:noProof/>
            <w:sz w:val="20"/>
          </w:rPr>
          <w:fldChar w:fldCharType="end"/>
        </w:r>
      </w:p>
    </w:sdtContent>
  </w:sdt>
  <w:p w14:paraId="4111E1C2" w14:textId="77777777" w:rsidR="00B03453" w:rsidRDefault="00B03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67CFB" w14:textId="77777777" w:rsidR="00F32322" w:rsidRDefault="00F32322" w:rsidP="00B03453">
      <w:pPr>
        <w:spacing w:after="0" w:line="240" w:lineRule="auto"/>
      </w:pPr>
      <w:r>
        <w:separator/>
      </w:r>
    </w:p>
  </w:footnote>
  <w:footnote w:type="continuationSeparator" w:id="0">
    <w:p w14:paraId="13424245" w14:textId="77777777" w:rsidR="00F32322" w:rsidRDefault="00F32322" w:rsidP="00B03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4C7"/>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7331A"/>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390BCE"/>
    <w:multiLevelType w:val="hybridMultilevel"/>
    <w:tmpl w:val="2F3EE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45063"/>
    <w:multiLevelType w:val="multilevel"/>
    <w:tmpl w:val="9182A1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426BAA"/>
    <w:multiLevelType w:val="hybridMultilevel"/>
    <w:tmpl w:val="6DDADE36"/>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56D92"/>
    <w:multiLevelType w:val="hybridMultilevel"/>
    <w:tmpl w:val="8CE0E61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C4"/>
    <w:rsid w:val="000015C8"/>
    <w:rsid w:val="00003420"/>
    <w:rsid w:val="00012159"/>
    <w:rsid w:val="000121B1"/>
    <w:rsid w:val="00015B9B"/>
    <w:rsid w:val="000244A0"/>
    <w:rsid w:val="00040095"/>
    <w:rsid w:val="00040C0F"/>
    <w:rsid w:val="0004248D"/>
    <w:rsid w:val="0004668D"/>
    <w:rsid w:val="000502EE"/>
    <w:rsid w:val="000616DB"/>
    <w:rsid w:val="000619DA"/>
    <w:rsid w:val="00071979"/>
    <w:rsid w:val="00072970"/>
    <w:rsid w:val="0007576C"/>
    <w:rsid w:val="00076E27"/>
    <w:rsid w:val="000815B4"/>
    <w:rsid w:val="00083805"/>
    <w:rsid w:val="00085054"/>
    <w:rsid w:val="000B3905"/>
    <w:rsid w:val="000C57FA"/>
    <w:rsid w:val="000C77EE"/>
    <w:rsid w:val="000D0FED"/>
    <w:rsid w:val="000D51EA"/>
    <w:rsid w:val="000D79B1"/>
    <w:rsid w:val="000E483C"/>
    <w:rsid w:val="000E4DB3"/>
    <w:rsid w:val="000E4DFD"/>
    <w:rsid w:val="000F26F5"/>
    <w:rsid w:val="000F78F6"/>
    <w:rsid w:val="00102DD0"/>
    <w:rsid w:val="001121B7"/>
    <w:rsid w:val="001202B5"/>
    <w:rsid w:val="00131673"/>
    <w:rsid w:val="00135A8C"/>
    <w:rsid w:val="00140A0D"/>
    <w:rsid w:val="00144C51"/>
    <w:rsid w:val="00160BFB"/>
    <w:rsid w:val="00162488"/>
    <w:rsid w:val="001749E6"/>
    <w:rsid w:val="001809D6"/>
    <w:rsid w:val="00180B62"/>
    <w:rsid w:val="00185EFC"/>
    <w:rsid w:val="00190D64"/>
    <w:rsid w:val="001910D9"/>
    <w:rsid w:val="001A03DB"/>
    <w:rsid w:val="001A2472"/>
    <w:rsid w:val="001A263B"/>
    <w:rsid w:val="001B17A1"/>
    <w:rsid w:val="001B5ED8"/>
    <w:rsid w:val="001B6424"/>
    <w:rsid w:val="001C26CD"/>
    <w:rsid w:val="001C6510"/>
    <w:rsid w:val="001C738E"/>
    <w:rsid w:val="001D2744"/>
    <w:rsid w:val="001D505B"/>
    <w:rsid w:val="001E44A4"/>
    <w:rsid w:val="001E570B"/>
    <w:rsid w:val="001F2C9B"/>
    <w:rsid w:val="001F2F11"/>
    <w:rsid w:val="00203DA5"/>
    <w:rsid w:val="002058AC"/>
    <w:rsid w:val="00205FFA"/>
    <w:rsid w:val="002117A0"/>
    <w:rsid w:val="00212B5B"/>
    <w:rsid w:val="00221661"/>
    <w:rsid w:val="00235230"/>
    <w:rsid w:val="002357CB"/>
    <w:rsid w:val="002440EB"/>
    <w:rsid w:val="0025099B"/>
    <w:rsid w:val="00260F94"/>
    <w:rsid w:val="00265521"/>
    <w:rsid w:val="00274248"/>
    <w:rsid w:val="002828AA"/>
    <w:rsid w:val="00282DC0"/>
    <w:rsid w:val="002843AB"/>
    <w:rsid w:val="002967F8"/>
    <w:rsid w:val="002A0599"/>
    <w:rsid w:val="002A286E"/>
    <w:rsid w:val="002A46FD"/>
    <w:rsid w:val="002B0298"/>
    <w:rsid w:val="002B3758"/>
    <w:rsid w:val="002B3F0C"/>
    <w:rsid w:val="002B4B23"/>
    <w:rsid w:val="002B6938"/>
    <w:rsid w:val="002C08C2"/>
    <w:rsid w:val="002D0D3B"/>
    <w:rsid w:val="002D7323"/>
    <w:rsid w:val="002E3D56"/>
    <w:rsid w:val="002F1E61"/>
    <w:rsid w:val="002F7ABF"/>
    <w:rsid w:val="002F7E99"/>
    <w:rsid w:val="003070C9"/>
    <w:rsid w:val="00307ABB"/>
    <w:rsid w:val="0031150E"/>
    <w:rsid w:val="00312A70"/>
    <w:rsid w:val="0032367A"/>
    <w:rsid w:val="0033351C"/>
    <w:rsid w:val="003476E0"/>
    <w:rsid w:val="00356414"/>
    <w:rsid w:val="00360602"/>
    <w:rsid w:val="0036331E"/>
    <w:rsid w:val="003655F9"/>
    <w:rsid w:val="00367173"/>
    <w:rsid w:val="0038355C"/>
    <w:rsid w:val="003838F2"/>
    <w:rsid w:val="003952A0"/>
    <w:rsid w:val="0039590A"/>
    <w:rsid w:val="003979D3"/>
    <w:rsid w:val="003A24C7"/>
    <w:rsid w:val="003A6D6B"/>
    <w:rsid w:val="003C32A0"/>
    <w:rsid w:val="003C43B1"/>
    <w:rsid w:val="003C49EA"/>
    <w:rsid w:val="003C6BDF"/>
    <w:rsid w:val="003C7015"/>
    <w:rsid w:val="003E00F4"/>
    <w:rsid w:val="003E6275"/>
    <w:rsid w:val="003F3ABD"/>
    <w:rsid w:val="00403FC2"/>
    <w:rsid w:val="00405FB8"/>
    <w:rsid w:val="00406BCB"/>
    <w:rsid w:val="0042102E"/>
    <w:rsid w:val="004225DD"/>
    <w:rsid w:val="00423935"/>
    <w:rsid w:val="0043096B"/>
    <w:rsid w:val="0043226D"/>
    <w:rsid w:val="00434216"/>
    <w:rsid w:val="004417ED"/>
    <w:rsid w:val="0045735E"/>
    <w:rsid w:val="004628C5"/>
    <w:rsid w:val="004660E7"/>
    <w:rsid w:val="00471C71"/>
    <w:rsid w:val="00471EC5"/>
    <w:rsid w:val="00472D7D"/>
    <w:rsid w:val="00472E93"/>
    <w:rsid w:val="00473A5D"/>
    <w:rsid w:val="00473E5D"/>
    <w:rsid w:val="00473EC3"/>
    <w:rsid w:val="004835EA"/>
    <w:rsid w:val="00484286"/>
    <w:rsid w:val="0048688A"/>
    <w:rsid w:val="0049107A"/>
    <w:rsid w:val="004A4F57"/>
    <w:rsid w:val="004A71DC"/>
    <w:rsid w:val="004B2370"/>
    <w:rsid w:val="004B79FA"/>
    <w:rsid w:val="004C0ABA"/>
    <w:rsid w:val="004C1635"/>
    <w:rsid w:val="004C1CFE"/>
    <w:rsid w:val="004C58BE"/>
    <w:rsid w:val="004D1782"/>
    <w:rsid w:val="004D196D"/>
    <w:rsid w:val="004E1A89"/>
    <w:rsid w:val="004E287B"/>
    <w:rsid w:val="004E6664"/>
    <w:rsid w:val="004E68C9"/>
    <w:rsid w:val="004F12BB"/>
    <w:rsid w:val="004F12C7"/>
    <w:rsid w:val="004F1730"/>
    <w:rsid w:val="004F22B7"/>
    <w:rsid w:val="00500D8C"/>
    <w:rsid w:val="0051150C"/>
    <w:rsid w:val="00511A02"/>
    <w:rsid w:val="00516ECD"/>
    <w:rsid w:val="005360E3"/>
    <w:rsid w:val="00540240"/>
    <w:rsid w:val="00542C12"/>
    <w:rsid w:val="00547C1C"/>
    <w:rsid w:val="00551BBC"/>
    <w:rsid w:val="00553BA7"/>
    <w:rsid w:val="00555B8C"/>
    <w:rsid w:val="00556ECB"/>
    <w:rsid w:val="0056432E"/>
    <w:rsid w:val="00565628"/>
    <w:rsid w:val="00565B8B"/>
    <w:rsid w:val="00567E47"/>
    <w:rsid w:val="00572785"/>
    <w:rsid w:val="00582301"/>
    <w:rsid w:val="00583D27"/>
    <w:rsid w:val="00584AC1"/>
    <w:rsid w:val="00591960"/>
    <w:rsid w:val="00594B59"/>
    <w:rsid w:val="005B1515"/>
    <w:rsid w:val="005B1F64"/>
    <w:rsid w:val="005B53EA"/>
    <w:rsid w:val="005B7007"/>
    <w:rsid w:val="005B7BAB"/>
    <w:rsid w:val="005C0D33"/>
    <w:rsid w:val="005D26F7"/>
    <w:rsid w:val="005D2B78"/>
    <w:rsid w:val="005E1F23"/>
    <w:rsid w:val="005E325C"/>
    <w:rsid w:val="005E550B"/>
    <w:rsid w:val="005F2BB4"/>
    <w:rsid w:val="005F4641"/>
    <w:rsid w:val="005F74A2"/>
    <w:rsid w:val="006035F3"/>
    <w:rsid w:val="006107C3"/>
    <w:rsid w:val="00611963"/>
    <w:rsid w:val="006154C2"/>
    <w:rsid w:val="00615B58"/>
    <w:rsid w:val="0062514E"/>
    <w:rsid w:val="006255AF"/>
    <w:rsid w:val="00637BD3"/>
    <w:rsid w:val="0064152C"/>
    <w:rsid w:val="006458BF"/>
    <w:rsid w:val="0065014D"/>
    <w:rsid w:val="006504F1"/>
    <w:rsid w:val="006604DE"/>
    <w:rsid w:val="00665C67"/>
    <w:rsid w:val="00666841"/>
    <w:rsid w:val="00666877"/>
    <w:rsid w:val="00671553"/>
    <w:rsid w:val="006722A7"/>
    <w:rsid w:val="006804AD"/>
    <w:rsid w:val="00681D7F"/>
    <w:rsid w:val="006871FA"/>
    <w:rsid w:val="0069772E"/>
    <w:rsid w:val="00697D9F"/>
    <w:rsid w:val="006A0378"/>
    <w:rsid w:val="006A11CE"/>
    <w:rsid w:val="006A4A68"/>
    <w:rsid w:val="006B4802"/>
    <w:rsid w:val="006B4B4C"/>
    <w:rsid w:val="006B62EA"/>
    <w:rsid w:val="006C0B77"/>
    <w:rsid w:val="006C144D"/>
    <w:rsid w:val="006C45B4"/>
    <w:rsid w:val="006D3A0F"/>
    <w:rsid w:val="006D587D"/>
    <w:rsid w:val="006E0864"/>
    <w:rsid w:val="006E1F8E"/>
    <w:rsid w:val="006E364B"/>
    <w:rsid w:val="006E5AA1"/>
    <w:rsid w:val="006E7399"/>
    <w:rsid w:val="006E77E6"/>
    <w:rsid w:val="006F4AE5"/>
    <w:rsid w:val="007161CF"/>
    <w:rsid w:val="00727B00"/>
    <w:rsid w:val="00740121"/>
    <w:rsid w:val="00746D8C"/>
    <w:rsid w:val="0075053E"/>
    <w:rsid w:val="00762BEB"/>
    <w:rsid w:val="0076563A"/>
    <w:rsid w:val="00767899"/>
    <w:rsid w:val="00772976"/>
    <w:rsid w:val="007804DC"/>
    <w:rsid w:val="007815A0"/>
    <w:rsid w:val="007823B2"/>
    <w:rsid w:val="00785C11"/>
    <w:rsid w:val="007942FD"/>
    <w:rsid w:val="007A422F"/>
    <w:rsid w:val="007B332E"/>
    <w:rsid w:val="007B6AF7"/>
    <w:rsid w:val="007B7832"/>
    <w:rsid w:val="007C7A0B"/>
    <w:rsid w:val="007D5C9A"/>
    <w:rsid w:val="007E0DC1"/>
    <w:rsid w:val="007E4528"/>
    <w:rsid w:val="007F384C"/>
    <w:rsid w:val="007F6C5D"/>
    <w:rsid w:val="008128EB"/>
    <w:rsid w:val="00817F42"/>
    <w:rsid w:val="008227D6"/>
    <w:rsid w:val="008242FF"/>
    <w:rsid w:val="0082509B"/>
    <w:rsid w:val="00827A17"/>
    <w:rsid w:val="00827DFD"/>
    <w:rsid w:val="00834FDC"/>
    <w:rsid w:val="00843DE2"/>
    <w:rsid w:val="00845962"/>
    <w:rsid w:val="00852DAF"/>
    <w:rsid w:val="0085320C"/>
    <w:rsid w:val="008535D8"/>
    <w:rsid w:val="00860C04"/>
    <w:rsid w:val="00861B47"/>
    <w:rsid w:val="00866C7A"/>
    <w:rsid w:val="00870751"/>
    <w:rsid w:val="00870BF9"/>
    <w:rsid w:val="00877ABD"/>
    <w:rsid w:val="008836A0"/>
    <w:rsid w:val="008845B5"/>
    <w:rsid w:val="00885D73"/>
    <w:rsid w:val="00887405"/>
    <w:rsid w:val="00895809"/>
    <w:rsid w:val="00896541"/>
    <w:rsid w:val="008A0B82"/>
    <w:rsid w:val="008A0B8A"/>
    <w:rsid w:val="008A2B7E"/>
    <w:rsid w:val="008B3A0D"/>
    <w:rsid w:val="008B41B7"/>
    <w:rsid w:val="008C24AA"/>
    <w:rsid w:val="008C7CD4"/>
    <w:rsid w:val="008D1541"/>
    <w:rsid w:val="008D43C4"/>
    <w:rsid w:val="008D5767"/>
    <w:rsid w:val="008E2B10"/>
    <w:rsid w:val="008E32EC"/>
    <w:rsid w:val="008E480C"/>
    <w:rsid w:val="008E4A3C"/>
    <w:rsid w:val="008F0F27"/>
    <w:rsid w:val="008F51C1"/>
    <w:rsid w:val="00906C2B"/>
    <w:rsid w:val="00920B5A"/>
    <w:rsid w:val="00921663"/>
    <w:rsid w:val="00921847"/>
    <w:rsid w:val="00922C48"/>
    <w:rsid w:val="00932294"/>
    <w:rsid w:val="00932AC7"/>
    <w:rsid w:val="009338C5"/>
    <w:rsid w:val="0093465B"/>
    <w:rsid w:val="00936763"/>
    <w:rsid w:val="009479C8"/>
    <w:rsid w:val="00954CB4"/>
    <w:rsid w:val="00960704"/>
    <w:rsid w:val="00963940"/>
    <w:rsid w:val="00975E93"/>
    <w:rsid w:val="00981168"/>
    <w:rsid w:val="009908F3"/>
    <w:rsid w:val="009A415B"/>
    <w:rsid w:val="009A4FC3"/>
    <w:rsid w:val="009A69D1"/>
    <w:rsid w:val="009B34F9"/>
    <w:rsid w:val="009B5BBA"/>
    <w:rsid w:val="009B6A0D"/>
    <w:rsid w:val="009C141F"/>
    <w:rsid w:val="009E0935"/>
    <w:rsid w:val="009E17EB"/>
    <w:rsid w:val="009E2F34"/>
    <w:rsid w:val="009E4F76"/>
    <w:rsid w:val="009E5DF5"/>
    <w:rsid w:val="009F05EA"/>
    <w:rsid w:val="009F5228"/>
    <w:rsid w:val="009F57A5"/>
    <w:rsid w:val="009F5BFB"/>
    <w:rsid w:val="00A0356A"/>
    <w:rsid w:val="00A07FAE"/>
    <w:rsid w:val="00A20367"/>
    <w:rsid w:val="00A24282"/>
    <w:rsid w:val="00A359E0"/>
    <w:rsid w:val="00A36975"/>
    <w:rsid w:val="00A37045"/>
    <w:rsid w:val="00A4286E"/>
    <w:rsid w:val="00A4293F"/>
    <w:rsid w:val="00A47A82"/>
    <w:rsid w:val="00A563A0"/>
    <w:rsid w:val="00A66C3F"/>
    <w:rsid w:val="00A76587"/>
    <w:rsid w:val="00A77D30"/>
    <w:rsid w:val="00A845A0"/>
    <w:rsid w:val="00A85FFA"/>
    <w:rsid w:val="00A90CFA"/>
    <w:rsid w:val="00A912EC"/>
    <w:rsid w:val="00A92B2B"/>
    <w:rsid w:val="00A93395"/>
    <w:rsid w:val="00A97A9B"/>
    <w:rsid w:val="00AA64E4"/>
    <w:rsid w:val="00AA6CF4"/>
    <w:rsid w:val="00AA786A"/>
    <w:rsid w:val="00AC1958"/>
    <w:rsid w:val="00AC2B85"/>
    <w:rsid w:val="00AC6AE9"/>
    <w:rsid w:val="00AD25C7"/>
    <w:rsid w:val="00AD6694"/>
    <w:rsid w:val="00AD6831"/>
    <w:rsid w:val="00AE3013"/>
    <w:rsid w:val="00AE33BD"/>
    <w:rsid w:val="00AE7F76"/>
    <w:rsid w:val="00B01634"/>
    <w:rsid w:val="00B0221C"/>
    <w:rsid w:val="00B02D36"/>
    <w:rsid w:val="00B03453"/>
    <w:rsid w:val="00B23CAD"/>
    <w:rsid w:val="00B26A5D"/>
    <w:rsid w:val="00B31BE7"/>
    <w:rsid w:val="00B3364D"/>
    <w:rsid w:val="00B33C3A"/>
    <w:rsid w:val="00B4009D"/>
    <w:rsid w:val="00B459DF"/>
    <w:rsid w:val="00B478E1"/>
    <w:rsid w:val="00B53995"/>
    <w:rsid w:val="00B540CE"/>
    <w:rsid w:val="00B562D0"/>
    <w:rsid w:val="00B619F4"/>
    <w:rsid w:val="00B642CE"/>
    <w:rsid w:val="00B64382"/>
    <w:rsid w:val="00B66F1E"/>
    <w:rsid w:val="00B7368C"/>
    <w:rsid w:val="00B7725F"/>
    <w:rsid w:val="00B84C40"/>
    <w:rsid w:val="00B86E74"/>
    <w:rsid w:val="00B87710"/>
    <w:rsid w:val="00B915B7"/>
    <w:rsid w:val="00B93D76"/>
    <w:rsid w:val="00B965B2"/>
    <w:rsid w:val="00BA477B"/>
    <w:rsid w:val="00BB5EF3"/>
    <w:rsid w:val="00BD5797"/>
    <w:rsid w:val="00BF42A1"/>
    <w:rsid w:val="00BF44DD"/>
    <w:rsid w:val="00C11F55"/>
    <w:rsid w:val="00C1312A"/>
    <w:rsid w:val="00C14125"/>
    <w:rsid w:val="00C22317"/>
    <w:rsid w:val="00C23711"/>
    <w:rsid w:val="00C24490"/>
    <w:rsid w:val="00C24AB7"/>
    <w:rsid w:val="00C35D11"/>
    <w:rsid w:val="00C40675"/>
    <w:rsid w:val="00C461C4"/>
    <w:rsid w:val="00C461E7"/>
    <w:rsid w:val="00C46A3D"/>
    <w:rsid w:val="00C534C6"/>
    <w:rsid w:val="00C539EA"/>
    <w:rsid w:val="00C57215"/>
    <w:rsid w:val="00C63ED7"/>
    <w:rsid w:val="00C6443F"/>
    <w:rsid w:val="00C70C1A"/>
    <w:rsid w:val="00C72D66"/>
    <w:rsid w:val="00C76AFC"/>
    <w:rsid w:val="00C76EF5"/>
    <w:rsid w:val="00C87D2C"/>
    <w:rsid w:val="00C904C1"/>
    <w:rsid w:val="00CA083A"/>
    <w:rsid w:val="00CA2F0D"/>
    <w:rsid w:val="00CB1C53"/>
    <w:rsid w:val="00CB611B"/>
    <w:rsid w:val="00CD470B"/>
    <w:rsid w:val="00CE058C"/>
    <w:rsid w:val="00CE5BAB"/>
    <w:rsid w:val="00CF1BD6"/>
    <w:rsid w:val="00D05481"/>
    <w:rsid w:val="00D059A5"/>
    <w:rsid w:val="00D05DD1"/>
    <w:rsid w:val="00D0719E"/>
    <w:rsid w:val="00D16190"/>
    <w:rsid w:val="00D1773C"/>
    <w:rsid w:val="00D224CC"/>
    <w:rsid w:val="00D47A55"/>
    <w:rsid w:val="00D47E9F"/>
    <w:rsid w:val="00D502D6"/>
    <w:rsid w:val="00D50EB2"/>
    <w:rsid w:val="00D51204"/>
    <w:rsid w:val="00D5674F"/>
    <w:rsid w:val="00D726E8"/>
    <w:rsid w:val="00D7387B"/>
    <w:rsid w:val="00D746A3"/>
    <w:rsid w:val="00D75C20"/>
    <w:rsid w:val="00D832FE"/>
    <w:rsid w:val="00DA0B36"/>
    <w:rsid w:val="00DA2A0F"/>
    <w:rsid w:val="00DB05FF"/>
    <w:rsid w:val="00DB1679"/>
    <w:rsid w:val="00DB20C5"/>
    <w:rsid w:val="00DB412D"/>
    <w:rsid w:val="00DC75F5"/>
    <w:rsid w:val="00DD34F1"/>
    <w:rsid w:val="00DE3E51"/>
    <w:rsid w:val="00DF43E4"/>
    <w:rsid w:val="00E04A77"/>
    <w:rsid w:val="00E0701D"/>
    <w:rsid w:val="00E14A5A"/>
    <w:rsid w:val="00E22389"/>
    <w:rsid w:val="00E27364"/>
    <w:rsid w:val="00E324AF"/>
    <w:rsid w:val="00E40929"/>
    <w:rsid w:val="00E4227C"/>
    <w:rsid w:val="00E4732A"/>
    <w:rsid w:val="00E478B4"/>
    <w:rsid w:val="00E5217D"/>
    <w:rsid w:val="00E60856"/>
    <w:rsid w:val="00E60C25"/>
    <w:rsid w:val="00E65068"/>
    <w:rsid w:val="00E7174E"/>
    <w:rsid w:val="00E903F0"/>
    <w:rsid w:val="00E949BA"/>
    <w:rsid w:val="00E971D5"/>
    <w:rsid w:val="00EA17A7"/>
    <w:rsid w:val="00EA4CEF"/>
    <w:rsid w:val="00EA59DF"/>
    <w:rsid w:val="00EB2BC5"/>
    <w:rsid w:val="00EB4E56"/>
    <w:rsid w:val="00EB7315"/>
    <w:rsid w:val="00EC1A16"/>
    <w:rsid w:val="00EC4CDE"/>
    <w:rsid w:val="00EC698E"/>
    <w:rsid w:val="00ED124E"/>
    <w:rsid w:val="00ED7361"/>
    <w:rsid w:val="00EE3CEC"/>
    <w:rsid w:val="00EE4070"/>
    <w:rsid w:val="00EF4276"/>
    <w:rsid w:val="00F11992"/>
    <w:rsid w:val="00F12C76"/>
    <w:rsid w:val="00F210A8"/>
    <w:rsid w:val="00F32322"/>
    <w:rsid w:val="00F465ED"/>
    <w:rsid w:val="00F567CB"/>
    <w:rsid w:val="00F56F48"/>
    <w:rsid w:val="00F604FA"/>
    <w:rsid w:val="00F664F0"/>
    <w:rsid w:val="00F72D85"/>
    <w:rsid w:val="00F86F84"/>
    <w:rsid w:val="00F903BC"/>
    <w:rsid w:val="00F97951"/>
    <w:rsid w:val="00FA2F9F"/>
    <w:rsid w:val="00FA4F5B"/>
    <w:rsid w:val="00FA674A"/>
    <w:rsid w:val="00FC0033"/>
    <w:rsid w:val="00FC68BD"/>
    <w:rsid w:val="00FD1378"/>
    <w:rsid w:val="00FD1FD9"/>
    <w:rsid w:val="00FD7CC4"/>
    <w:rsid w:val="00FE55B0"/>
    <w:rsid w:val="00FE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1409"/>
  <w15:chartTrackingRefBased/>
  <w15:docId w15:val="{EC8F1ECF-8ED6-4C7F-959A-E66D92F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B5"/>
    <w:pPr>
      <w:spacing w:line="256" w:lineRule="auto"/>
      <w:ind w:firstLine="720"/>
    </w:pPr>
    <w:rPr>
      <w:rFonts w:ascii="Calibri" w:eastAsia="Calibri" w:hAnsi="Calibri" w:cs="Times New Roman"/>
      <w:lang w:val="en-US"/>
    </w:rPr>
  </w:style>
  <w:style w:type="paragraph" w:styleId="Heading1">
    <w:name w:val="heading 1"/>
    <w:basedOn w:val="Normal"/>
    <w:next w:val="Normal"/>
    <w:link w:val="Heading1Char"/>
    <w:uiPriority w:val="9"/>
    <w:qFormat/>
    <w:rsid w:val="001202B5"/>
    <w:pPr>
      <w:keepNext/>
      <w:keepLines/>
      <w:spacing w:before="240" w:after="0" w:line="276" w:lineRule="auto"/>
      <w:ind w:firstLine="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B5"/>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1202B5"/>
    <w:pPr>
      <w:ind w:left="720"/>
      <w:contextualSpacing/>
    </w:pPr>
  </w:style>
  <w:style w:type="paragraph" w:customStyle="1" w:styleId="ListParagraph1">
    <w:name w:val="List Paragraph1"/>
    <w:basedOn w:val="Normal"/>
    <w:uiPriority w:val="34"/>
    <w:qFormat/>
    <w:rsid w:val="001202B5"/>
    <w:pPr>
      <w:spacing w:after="200" w:line="276" w:lineRule="auto"/>
      <w:ind w:left="720" w:firstLine="0"/>
      <w:contextualSpacing/>
    </w:pPr>
    <w:rPr>
      <w:rFonts w:eastAsia="Times New Roman"/>
    </w:rPr>
  </w:style>
  <w:style w:type="paragraph" w:styleId="NormalWeb">
    <w:name w:val="Normal (Web)"/>
    <w:basedOn w:val="Normal"/>
    <w:uiPriority w:val="99"/>
    <w:semiHidden/>
    <w:unhideWhenUsed/>
    <w:rsid w:val="00981168"/>
    <w:pPr>
      <w:spacing w:before="100" w:beforeAutospacing="1" w:after="100" w:afterAutospacing="1" w:line="240" w:lineRule="auto"/>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B0345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03453"/>
    <w:rPr>
      <w:rFonts w:ascii="Calibri" w:eastAsia="Calibri" w:hAnsi="Calibri" w:cs="Times New Roman"/>
      <w:lang w:val="en-US"/>
    </w:rPr>
  </w:style>
  <w:style w:type="paragraph" w:styleId="Footer">
    <w:name w:val="footer"/>
    <w:basedOn w:val="Normal"/>
    <w:link w:val="FooterChar"/>
    <w:uiPriority w:val="99"/>
    <w:unhideWhenUsed/>
    <w:rsid w:val="00B0345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03453"/>
    <w:rPr>
      <w:rFonts w:ascii="Calibri" w:eastAsia="Calibri" w:hAnsi="Calibri" w:cs="Times New Roman"/>
      <w:lang w:val="en-US"/>
    </w:rPr>
  </w:style>
  <w:style w:type="character" w:styleId="PlaceholderText">
    <w:name w:val="Placeholder Text"/>
    <w:basedOn w:val="DefaultParagraphFont"/>
    <w:uiPriority w:val="99"/>
    <w:semiHidden/>
    <w:rsid w:val="001749E6"/>
    <w:rPr>
      <w:color w:val="808080"/>
    </w:rPr>
  </w:style>
  <w:style w:type="character" w:styleId="CommentReference">
    <w:name w:val="annotation reference"/>
    <w:basedOn w:val="DefaultParagraphFont"/>
    <w:uiPriority w:val="99"/>
    <w:semiHidden/>
    <w:unhideWhenUsed/>
    <w:rsid w:val="00FA4F5B"/>
    <w:rPr>
      <w:sz w:val="16"/>
      <w:szCs w:val="16"/>
    </w:rPr>
  </w:style>
  <w:style w:type="paragraph" w:styleId="CommentText">
    <w:name w:val="annotation text"/>
    <w:basedOn w:val="Normal"/>
    <w:link w:val="CommentTextChar"/>
    <w:uiPriority w:val="99"/>
    <w:semiHidden/>
    <w:unhideWhenUsed/>
    <w:rsid w:val="00FA4F5B"/>
    <w:pPr>
      <w:spacing w:line="240" w:lineRule="auto"/>
    </w:pPr>
    <w:rPr>
      <w:sz w:val="20"/>
      <w:szCs w:val="20"/>
    </w:rPr>
  </w:style>
  <w:style w:type="character" w:customStyle="1" w:styleId="CommentTextChar">
    <w:name w:val="Comment Text Char"/>
    <w:basedOn w:val="DefaultParagraphFont"/>
    <w:link w:val="CommentText"/>
    <w:uiPriority w:val="99"/>
    <w:semiHidden/>
    <w:rsid w:val="00FA4F5B"/>
    <w:rPr>
      <w:rFonts w:ascii="Calibri" w:eastAsia="Calibri" w:hAnsi="Calibri" w:cs="Times New Roman"/>
      <w:sz w:val="20"/>
      <w:szCs w:val="20"/>
      <w:lang w:val="en-US"/>
    </w:rPr>
  </w:style>
  <w:style w:type="paragraph" w:customStyle="1" w:styleId="abzacixml">
    <w:name w:val="abzacixml"/>
    <w:basedOn w:val="Normal"/>
    <w:rsid w:val="006255AF"/>
    <w:pPr>
      <w:spacing w:before="100" w:beforeAutospacing="1" w:after="100" w:afterAutospacing="1" w:line="240" w:lineRule="auto"/>
      <w:ind w:firstLine="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AE33BD"/>
    <w:pPr>
      <w:spacing w:after="0" w:line="240" w:lineRule="auto"/>
      <w:ind w:firstLine="0"/>
    </w:pPr>
    <w:rPr>
      <w:rFonts w:ascii="Times New Roman" w:eastAsiaTheme="minorHAnsi" w:hAnsi="Times New Roman" w:cstheme="minorBidi"/>
      <w:sz w:val="20"/>
      <w:szCs w:val="20"/>
      <w:lang w:val="ru-RU"/>
    </w:rPr>
  </w:style>
  <w:style w:type="character" w:customStyle="1" w:styleId="FootnoteTextChar">
    <w:name w:val="Footnote Text Char"/>
    <w:basedOn w:val="DefaultParagraphFont"/>
    <w:link w:val="FootnoteText"/>
    <w:uiPriority w:val="99"/>
    <w:rsid w:val="00AE33BD"/>
    <w:rPr>
      <w:rFonts w:ascii="Times New Roman" w:hAnsi="Times New Roman"/>
      <w:sz w:val="20"/>
      <w:szCs w:val="20"/>
    </w:rPr>
  </w:style>
  <w:style w:type="character" w:styleId="FootnoteReference">
    <w:name w:val="footnote reference"/>
    <w:basedOn w:val="DefaultParagraphFont"/>
    <w:uiPriority w:val="99"/>
    <w:unhideWhenUsed/>
    <w:rsid w:val="00AE33BD"/>
    <w:rPr>
      <w:vertAlign w:val="superscript"/>
    </w:rPr>
  </w:style>
  <w:style w:type="paragraph" w:styleId="NoSpacing">
    <w:name w:val="No Spacing"/>
    <w:uiPriority w:val="1"/>
    <w:qFormat/>
    <w:rsid w:val="00E971D5"/>
    <w:pPr>
      <w:spacing w:after="0" w:line="240" w:lineRule="auto"/>
      <w:ind w:firstLine="72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5610">
      <w:bodyDiv w:val="1"/>
      <w:marLeft w:val="0"/>
      <w:marRight w:val="0"/>
      <w:marTop w:val="0"/>
      <w:marBottom w:val="0"/>
      <w:divBdr>
        <w:top w:val="none" w:sz="0" w:space="0" w:color="auto"/>
        <w:left w:val="none" w:sz="0" w:space="0" w:color="auto"/>
        <w:bottom w:val="none" w:sz="0" w:space="0" w:color="auto"/>
        <w:right w:val="none" w:sz="0" w:space="0" w:color="auto"/>
      </w:divBdr>
    </w:div>
    <w:div w:id="218899758">
      <w:bodyDiv w:val="1"/>
      <w:marLeft w:val="0"/>
      <w:marRight w:val="0"/>
      <w:marTop w:val="0"/>
      <w:marBottom w:val="0"/>
      <w:divBdr>
        <w:top w:val="none" w:sz="0" w:space="0" w:color="auto"/>
        <w:left w:val="none" w:sz="0" w:space="0" w:color="auto"/>
        <w:bottom w:val="none" w:sz="0" w:space="0" w:color="auto"/>
        <w:right w:val="none" w:sz="0" w:space="0" w:color="auto"/>
      </w:divBdr>
    </w:div>
    <w:div w:id="230771085">
      <w:bodyDiv w:val="1"/>
      <w:marLeft w:val="0"/>
      <w:marRight w:val="0"/>
      <w:marTop w:val="0"/>
      <w:marBottom w:val="0"/>
      <w:divBdr>
        <w:top w:val="none" w:sz="0" w:space="0" w:color="auto"/>
        <w:left w:val="none" w:sz="0" w:space="0" w:color="auto"/>
        <w:bottom w:val="none" w:sz="0" w:space="0" w:color="auto"/>
        <w:right w:val="none" w:sz="0" w:space="0" w:color="auto"/>
      </w:divBdr>
    </w:div>
    <w:div w:id="536744940">
      <w:bodyDiv w:val="1"/>
      <w:marLeft w:val="0"/>
      <w:marRight w:val="0"/>
      <w:marTop w:val="0"/>
      <w:marBottom w:val="0"/>
      <w:divBdr>
        <w:top w:val="none" w:sz="0" w:space="0" w:color="auto"/>
        <w:left w:val="none" w:sz="0" w:space="0" w:color="auto"/>
        <w:bottom w:val="none" w:sz="0" w:space="0" w:color="auto"/>
        <w:right w:val="none" w:sz="0" w:space="0" w:color="auto"/>
      </w:divBdr>
    </w:div>
    <w:div w:id="875124258">
      <w:bodyDiv w:val="1"/>
      <w:marLeft w:val="0"/>
      <w:marRight w:val="0"/>
      <w:marTop w:val="0"/>
      <w:marBottom w:val="0"/>
      <w:divBdr>
        <w:top w:val="none" w:sz="0" w:space="0" w:color="auto"/>
        <w:left w:val="none" w:sz="0" w:space="0" w:color="auto"/>
        <w:bottom w:val="none" w:sz="0" w:space="0" w:color="auto"/>
        <w:right w:val="none" w:sz="0" w:space="0" w:color="auto"/>
      </w:divBdr>
    </w:div>
    <w:div w:id="1044332456">
      <w:bodyDiv w:val="1"/>
      <w:marLeft w:val="0"/>
      <w:marRight w:val="0"/>
      <w:marTop w:val="0"/>
      <w:marBottom w:val="0"/>
      <w:divBdr>
        <w:top w:val="none" w:sz="0" w:space="0" w:color="auto"/>
        <w:left w:val="none" w:sz="0" w:space="0" w:color="auto"/>
        <w:bottom w:val="none" w:sz="0" w:space="0" w:color="auto"/>
        <w:right w:val="none" w:sz="0" w:space="0" w:color="auto"/>
      </w:divBdr>
    </w:div>
    <w:div w:id="1329868895">
      <w:bodyDiv w:val="1"/>
      <w:marLeft w:val="0"/>
      <w:marRight w:val="0"/>
      <w:marTop w:val="0"/>
      <w:marBottom w:val="0"/>
      <w:divBdr>
        <w:top w:val="none" w:sz="0" w:space="0" w:color="auto"/>
        <w:left w:val="none" w:sz="0" w:space="0" w:color="auto"/>
        <w:bottom w:val="none" w:sz="0" w:space="0" w:color="auto"/>
        <w:right w:val="none" w:sz="0" w:space="0" w:color="auto"/>
      </w:divBdr>
    </w:div>
    <w:div w:id="1341273892">
      <w:bodyDiv w:val="1"/>
      <w:marLeft w:val="0"/>
      <w:marRight w:val="0"/>
      <w:marTop w:val="0"/>
      <w:marBottom w:val="0"/>
      <w:divBdr>
        <w:top w:val="none" w:sz="0" w:space="0" w:color="auto"/>
        <w:left w:val="none" w:sz="0" w:space="0" w:color="auto"/>
        <w:bottom w:val="none" w:sz="0" w:space="0" w:color="auto"/>
        <w:right w:val="none" w:sz="0" w:space="0" w:color="auto"/>
      </w:divBdr>
    </w:div>
    <w:div w:id="1556349937">
      <w:bodyDiv w:val="1"/>
      <w:marLeft w:val="0"/>
      <w:marRight w:val="0"/>
      <w:marTop w:val="0"/>
      <w:marBottom w:val="0"/>
      <w:divBdr>
        <w:top w:val="none" w:sz="0" w:space="0" w:color="auto"/>
        <w:left w:val="none" w:sz="0" w:space="0" w:color="auto"/>
        <w:bottom w:val="none" w:sz="0" w:space="0" w:color="auto"/>
        <w:right w:val="none" w:sz="0" w:space="0" w:color="auto"/>
      </w:divBdr>
    </w:div>
    <w:div w:id="1565220705">
      <w:bodyDiv w:val="1"/>
      <w:marLeft w:val="0"/>
      <w:marRight w:val="0"/>
      <w:marTop w:val="0"/>
      <w:marBottom w:val="0"/>
      <w:divBdr>
        <w:top w:val="none" w:sz="0" w:space="0" w:color="auto"/>
        <w:left w:val="none" w:sz="0" w:space="0" w:color="auto"/>
        <w:bottom w:val="none" w:sz="0" w:space="0" w:color="auto"/>
        <w:right w:val="none" w:sz="0" w:space="0" w:color="auto"/>
      </w:divBdr>
    </w:div>
    <w:div w:id="1768766075">
      <w:bodyDiv w:val="1"/>
      <w:marLeft w:val="0"/>
      <w:marRight w:val="0"/>
      <w:marTop w:val="0"/>
      <w:marBottom w:val="0"/>
      <w:divBdr>
        <w:top w:val="none" w:sz="0" w:space="0" w:color="auto"/>
        <w:left w:val="none" w:sz="0" w:space="0" w:color="auto"/>
        <w:bottom w:val="none" w:sz="0" w:space="0" w:color="auto"/>
        <w:right w:val="none" w:sz="0" w:space="0" w:color="auto"/>
      </w:divBdr>
    </w:div>
    <w:div w:id="1863015199">
      <w:bodyDiv w:val="1"/>
      <w:marLeft w:val="0"/>
      <w:marRight w:val="0"/>
      <w:marTop w:val="0"/>
      <w:marBottom w:val="0"/>
      <w:divBdr>
        <w:top w:val="none" w:sz="0" w:space="0" w:color="auto"/>
        <w:left w:val="none" w:sz="0" w:space="0" w:color="auto"/>
        <w:bottom w:val="none" w:sz="0" w:space="0" w:color="auto"/>
        <w:right w:val="none" w:sz="0" w:space="0" w:color="auto"/>
      </w:divBdr>
    </w:div>
    <w:div w:id="1925338666">
      <w:bodyDiv w:val="1"/>
      <w:marLeft w:val="0"/>
      <w:marRight w:val="0"/>
      <w:marTop w:val="0"/>
      <w:marBottom w:val="0"/>
      <w:divBdr>
        <w:top w:val="none" w:sz="0" w:space="0" w:color="auto"/>
        <w:left w:val="none" w:sz="0" w:space="0" w:color="auto"/>
        <w:bottom w:val="none" w:sz="0" w:space="0" w:color="auto"/>
        <w:right w:val="none" w:sz="0" w:space="0" w:color="auto"/>
      </w:divBdr>
      <w:divsChild>
        <w:div w:id="939531095">
          <w:marLeft w:val="0"/>
          <w:marRight w:val="0"/>
          <w:marTop w:val="0"/>
          <w:marBottom w:val="0"/>
          <w:divBdr>
            <w:top w:val="none" w:sz="0" w:space="0" w:color="auto"/>
            <w:left w:val="none" w:sz="0" w:space="0" w:color="auto"/>
            <w:bottom w:val="none" w:sz="0" w:space="0" w:color="auto"/>
            <w:right w:val="none" w:sz="0" w:space="0" w:color="auto"/>
          </w:divBdr>
          <w:divsChild>
            <w:div w:id="246499561">
              <w:marLeft w:val="0"/>
              <w:marRight w:val="0"/>
              <w:marTop w:val="0"/>
              <w:marBottom w:val="0"/>
              <w:divBdr>
                <w:top w:val="none" w:sz="0" w:space="0" w:color="auto"/>
                <w:left w:val="none" w:sz="0" w:space="0" w:color="auto"/>
                <w:bottom w:val="none" w:sz="0" w:space="0" w:color="auto"/>
                <w:right w:val="none" w:sz="0" w:space="0" w:color="auto"/>
              </w:divBdr>
              <w:divsChild>
                <w:div w:id="1953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1010">
      <w:bodyDiv w:val="1"/>
      <w:marLeft w:val="0"/>
      <w:marRight w:val="0"/>
      <w:marTop w:val="0"/>
      <w:marBottom w:val="0"/>
      <w:divBdr>
        <w:top w:val="none" w:sz="0" w:space="0" w:color="auto"/>
        <w:left w:val="none" w:sz="0" w:space="0" w:color="auto"/>
        <w:bottom w:val="none" w:sz="0" w:space="0" w:color="auto"/>
        <w:right w:val="none" w:sz="0" w:space="0" w:color="auto"/>
      </w:divBdr>
    </w:div>
    <w:div w:id="20379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5392-58E8-4C2B-AA2B-870F5D2E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8222</TotalTime>
  <Pages>14</Pages>
  <Words>4158</Words>
  <Characters>23706</Characters>
  <Application>Microsoft Office Word</Application>
  <DocSecurity>0</DocSecurity>
  <Lines>197</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gvantsa lashkhia</cp:lastModifiedBy>
  <cp:revision>6</cp:revision>
  <dcterms:created xsi:type="dcterms:W3CDTF">2021-09-10T10:59:00Z</dcterms:created>
  <dcterms:modified xsi:type="dcterms:W3CDTF">2023-02-22T15:19:00Z</dcterms:modified>
</cp:coreProperties>
</file>