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DB908" w14:textId="77777777" w:rsidR="00095830" w:rsidRPr="005D7CF7" w:rsidRDefault="00095830" w:rsidP="00DC1AD2">
      <w:pPr>
        <w:ind w:firstLine="284"/>
        <w:rPr>
          <w:lang w:val="ka-GE"/>
        </w:rPr>
      </w:pPr>
    </w:p>
    <w:p w14:paraId="761032E8" w14:textId="77777777" w:rsidR="009D1C37" w:rsidRPr="005D7CF7" w:rsidRDefault="009D1C37" w:rsidP="00DC1AD2">
      <w:pPr>
        <w:ind w:firstLine="284"/>
        <w:rPr>
          <w:lang w:val="ka-GE"/>
        </w:rPr>
      </w:pPr>
    </w:p>
    <w:p w14:paraId="667DE7AA" w14:textId="77777777" w:rsidR="009D1C37" w:rsidRPr="005D7CF7" w:rsidRDefault="009D1C37" w:rsidP="00DC1AD2">
      <w:pPr>
        <w:ind w:firstLine="284"/>
        <w:rPr>
          <w:lang w:val="ka-GE"/>
        </w:rPr>
      </w:pPr>
    </w:p>
    <w:p w14:paraId="072D487E" w14:textId="77777777" w:rsidR="00911FF2" w:rsidRPr="005D7CF7" w:rsidRDefault="00911FF2" w:rsidP="00DC1AD2">
      <w:pPr>
        <w:ind w:firstLine="284"/>
        <w:rPr>
          <w:lang w:val="ka-GE"/>
        </w:rPr>
      </w:pPr>
    </w:p>
    <w:p w14:paraId="6F42B42E" w14:textId="77777777" w:rsidR="00911FF2" w:rsidRPr="005D7CF7" w:rsidRDefault="00911FF2" w:rsidP="00DC1AD2">
      <w:pPr>
        <w:ind w:firstLine="284"/>
        <w:rPr>
          <w:lang w:val="ka-GE"/>
        </w:rPr>
      </w:pPr>
    </w:p>
    <w:p w14:paraId="6D074191" w14:textId="77777777" w:rsidR="00911FF2" w:rsidRPr="005D7CF7" w:rsidRDefault="00911FF2" w:rsidP="00DC1AD2">
      <w:pPr>
        <w:ind w:firstLine="284"/>
        <w:rPr>
          <w:lang w:val="ka-GE"/>
        </w:rPr>
      </w:pPr>
    </w:p>
    <w:p w14:paraId="4A6B576E" w14:textId="77777777" w:rsidR="00911FF2" w:rsidRPr="005D7CF7" w:rsidRDefault="00911FF2" w:rsidP="00DC1AD2">
      <w:pPr>
        <w:ind w:firstLine="284"/>
        <w:rPr>
          <w:lang w:val="ka-GE"/>
        </w:rPr>
      </w:pPr>
    </w:p>
    <w:p w14:paraId="1305E544" w14:textId="77777777" w:rsidR="00911FF2" w:rsidRPr="005D7CF7" w:rsidRDefault="00911FF2" w:rsidP="00DC1AD2">
      <w:pPr>
        <w:ind w:firstLine="284"/>
        <w:rPr>
          <w:lang w:val="ka-GE"/>
        </w:rPr>
      </w:pPr>
    </w:p>
    <w:p w14:paraId="64390E0F" w14:textId="77777777" w:rsidR="00125B92" w:rsidRPr="005D7CF7" w:rsidRDefault="00125B92" w:rsidP="00DC1AD2">
      <w:pPr>
        <w:ind w:firstLine="284"/>
        <w:rPr>
          <w:lang w:val="ka-GE"/>
        </w:rPr>
      </w:pPr>
    </w:p>
    <w:p w14:paraId="7BDD43AA" w14:textId="77777777" w:rsidR="00125B92" w:rsidRPr="005D7CF7" w:rsidRDefault="00125B92" w:rsidP="00DC1AD2">
      <w:pPr>
        <w:ind w:firstLine="284"/>
        <w:rPr>
          <w:lang w:val="ka-GE"/>
        </w:rPr>
      </w:pPr>
    </w:p>
    <w:p w14:paraId="7279D860" w14:textId="77777777" w:rsidR="00125B92" w:rsidRPr="005D7CF7" w:rsidRDefault="00125B92" w:rsidP="00DC1AD2">
      <w:pPr>
        <w:ind w:firstLine="284"/>
        <w:rPr>
          <w:lang w:val="ka-GE"/>
        </w:rPr>
      </w:pPr>
    </w:p>
    <w:p w14:paraId="476ED263" w14:textId="77777777" w:rsidR="00CE5007" w:rsidRPr="005D7CF7" w:rsidRDefault="00CE5007" w:rsidP="00DC1AD2">
      <w:pPr>
        <w:ind w:firstLine="284"/>
        <w:rPr>
          <w:lang w:val="ka-GE"/>
        </w:rPr>
      </w:pPr>
    </w:p>
    <w:p w14:paraId="0189EF05" w14:textId="77777777" w:rsidR="00CE5007" w:rsidRPr="005D7CF7" w:rsidRDefault="00CE5007" w:rsidP="00DC1AD2">
      <w:pPr>
        <w:ind w:firstLine="284"/>
        <w:rPr>
          <w:lang w:val="ka-GE"/>
        </w:rPr>
      </w:pPr>
    </w:p>
    <w:p w14:paraId="23A33822" w14:textId="77777777" w:rsidR="00CE5007" w:rsidRPr="005D7CF7" w:rsidRDefault="00CE5007" w:rsidP="00DC1AD2">
      <w:pPr>
        <w:ind w:firstLine="284"/>
        <w:rPr>
          <w:lang w:val="ka-GE"/>
        </w:rPr>
      </w:pPr>
    </w:p>
    <w:p w14:paraId="47AD355D" w14:textId="77777777" w:rsidR="00CE5007" w:rsidRPr="005D7CF7" w:rsidRDefault="00CE5007" w:rsidP="002741C1">
      <w:pPr>
        <w:ind w:firstLine="0"/>
        <w:rPr>
          <w:lang w:val="ka-GE"/>
        </w:rPr>
      </w:pPr>
    </w:p>
    <w:p w14:paraId="5AE4FAED" w14:textId="77777777" w:rsidR="005C293A" w:rsidRPr="005D7CF7" w:rsidRDefault="005C293A" w:rsidP="00DC1AD2">
      <w:pPr>
        <w:ind w:firstLine="284"/>
        <w:rPr>
          <w:lang w:val="ka-GE"/>
        </w:rPr>
      </w:pPr>
    </w:p>
    <w:p w14:paraId="1D7B38DB" w14:textId="77777777" w:rsidR="00CE5007" w:rsidRPr="005D7CF7" w:rsidRDefault="00CE5007" w:rsidP="00DC1AD2">
      <w:pPr>
        <w:ind w:firstLine="284"/>
        <w:rPr>
          <w:lang w:val="ka-GE"/>
        </w:rPr>
      </w:pPr>
    </w:p>
    <w:p w14:paraId="1B40EC79" w14:textId="77777777" w:rsidR="00125B92" w:rsidRDefault="00125B92" w:rsidP="00DC1AD2">
      <w:pPr>
        <w:ind w:firstLine="284"/>
        <w:rPr>
          <w:lang w:val="ka-GE"/>
        </w:rPr>
      </w:pPr>
    </w:p>
    <w:p w14:paraId="24BC994D" w14:textId="77777777" w:rsidR="00672A75" w:rsidRPr="005D7CF7" w:rsidRDefault="00672A75" w:rsidP="00DC1AD2">
      <w:pPr>
        <w:ind w:firstLine="284"/>
        <w:rPr>
          <w:lang w:val="ka-GE"/>
        </w:rPr>
      </w:pPr>
    </w:p>
    <w:p w14:paraId="7251F36A" w14:textId="77777777" w:rsidR="00125B92" w:rsidRPr="005D7CF7" w:rsidRDefault="00125B92" w:rsidP="00DC1AD2">
      <w:pPr>
        <w:ind w:firstLine="284"/>
        <w:rPr>
          <w:lang w:val="ka-GE"/>
        </w:rPr>
      </w:pPr>
    </w:p>
    <w:p w14:paraId="4CF41E8C" w14:textId="7FFE025E" w:rsidR="00EA21DD" w:rsidRPr="005D7CF7" w:rsidRDefault="00911FF2" w:rsidP="00DC1AD2">
      <w:pPr>
        <w:ind w:firstLine="284"/>
        <w:rPr>
          <w:b/>
          <w:lang w:val="ka-GE"/>
        </w:rPr>
      </w:pPr>
      <w:r w:rsidRPr="00BF19EE">
        <w:rPr>
          <w:b/>
          <w:lang w:val="ka-GE"/>
        </w:rPr>
        <w:t>№</w:t>
      </w:r>
      <w:r w:rsidR="0007548D" w:rsidRPr="00BF19EE">
        <w:rPr>
          <w:b/>
          <w:lang w:val="ka-GE"/>
        </w:rPr>
        <w:t>2</w:t>
      </w:r>
      <w:r w:rsidRPr="00BF19EE">
        <w:rPr>
          <w:b/>
          <w:lang w:val="ka-GE"/>
        </w:rPr>
        <w:t>/</w:t>
      </w:r>
      <w:r w:rsidR="008F4234">
        <w:rPr>
          <w:b/>
          <w:lang w:val="ka-GE"/>
        </w:rPr>
        <w:t>7</w:t>
      </w:r>
      <w:r w:rsidR="00B825A9" w:rsidRPr="00BF19EE">
        <w:rPr>
          <w:b/>
          <w:lang w:val="ka-GE"/>
        </w:rPr>
        <w:t>/</w:t>
      </w:r>
      <w:r w:rsidR="008262ED" w:rsidRPr="00BF19EE">
        <w:rPr>
          <w:b/>
          <w:lang w:val="ka-GE"/>
        </w:rPr>
        <w:t>1532</w:t>
      </w:r>
      <w:r w:rsidR="00890C61" w:rsidRPr="00BF19EE">
        <w:rPr>
          <w:b/>
          <w:lang w:val="ka-GE"/>
        </w:rPr>
        <w:tab/>
      </w:r>
      <w:r w:rsidR="00DB6158" w:rsidRPr="00BF19EE">
        <w:rPr>
          <w:b/>
          <w:lang w:val="ka-GE"/>
        </w:rPr>
        <w:tab/>
      </w:r>
      <w:r w:rsidR="00DB6158" w:rsidRPr="00BF19EE">
        <w:rPr>
          <w:b/>
          <w:lang w:val="ka-GE"/>
        </w:rPr>
        <w:tab/>
      </w:r>
      <w:r w:rsidR="00DB6158" w:rsidRPr="00BF19EE">
        <w:rPr>
          <w:b/>
          <w:lang w:val="ka-GE"/>
        </w:rPr>
        <w:tab/>
      </w:r>
      <w:r w:rsidR="00DB6158" w:rsidRPr="00BF19EE">
        <w:rPr>
          <w:b/>
          <w:lang w:val="ka-GE"/>
        </w:rPr>
        <w:tab/>
      </w:r>
      <w:r w:rsidR="00890C61" w:rsidRPr="00BF19EE">
        <w:rPr>
          <w:b/>
          <w:lang w:val="ka-GE"/>
        </w:rPr>
        <w:t xml:space="preserve">ქ. </w:t>
      </w:r>
      <w:r w:rsidRPr="00BF19EE">
        <w:rPr>
          <w:b/>
          <w:lang w:val="ka-GE"/>
        </w:rPr>
        <w:t xml:space="preserve">ბათუმი, </w:t>
      </w:r>
      <w:r w:rsidR="0080481F" w:rsidRPr="00BF19EE">
        <w:rPr>
          <w:b/>
          <w:lang w:val="ka-GE"/>
        </w:rPr>
        <w:t>2023</w:t>
      </w:r>
      <w:r w:rsidRPr="00BF19EE">
        <w:rPr>
          <w:b/>
          <w:lang w:val="ka-GE"/>
        </w:rPr>
        <w:t xml:space="preserve"> </w:t>
      </w:r>
      <w:r w:rsidR="004561E1" w:rsidRPr="00BF19EE">
        <w:rPr>
          <w:b/>
          <w:lang w:val="ka-GE"/>
        </w:rPr>
        <w:t>წლის</w:t>
      </w:r>
      <w:r w:rsidR="005A58A1" w:rsidRPr="00BF19EE">
        <w:rPr>
          <w:b/>
          <w:lang w:val="ka-GE"/>
        </w:rPr>
        <w:t xml:space="preserve"> 27 ოქტომბერი</w:t>
      </w:r>
      <w:r w:rsidR="008262ED" w:rsidRPr="005D7CF7">
        <w:rPr>
          <w:b/>
          <w:lang w:val="ka-GE"/>
        </w:rPr>
        <w:t xml:space="preserve"> </w:t>
      </w:r>
    </w:p>
    <w:p w14:paraId="4C44B035" w14:textId="77777777" w:rsidR="005C293A" w:rsidRPr="005D7CF7" w:rsidRDefault="005C293A" w:rsidP="00DC1AD2">
      <w:pPr>
        <w:ind w:firstLine="284"/>
        <w:rPr>
          <w:b/>
          <w:lang w:val="ka-GE"/>
        </w:rPr>
      </w:pPr>
      <w:bookmarkStart w:id="0" w:name="_GoBack"/>
      <w:bookmarkEnd w:id="0"/>
    </w:p>
    <w:p w14:paraId="0228C8CF" w14:textId="77777777" w:rsidR="00911FF2" w:rsidRPr="005D7CF7" w:rsidRDefault="00911FF2" w:rsidP="00DC1AD2">
      <w:pPr>
        <w:ind w:firstLine="284"/>
        <w:rPr>
          <w:b/>
          <w:lang w:val="ka-GE"/>
        </w:rPr>
      </w:pPr>
      <w:r w:rsidRPr="005D7CF7">
        <w:rPr>
          <w:b/>
          <w:lang w:val="ka-GE"/>
        </w:rPr>
        <w:t>კოლეგიის შემადგენლობა:</w:t>
      </w:r>
    </w:p>
    <w:p w14:paraId="71AC61B9" w14:textId="77777777" w:rsidR="0080481F" w:rsidRPr="005D7CF7" w:rsidRDefault="0080481F" w:rsidP="00DC1AD2">
      <w:pPr>
        <w:ind w:firstLine="284"/>
        <w:rPr>
          <w:lang w:val="ka-GE"/>
        </w:rPr>
      </w:pPr>
      <w:r w:rsidRPr="005D7CF7">
        <w:rPr>
          <w:lang w:val="ka-GE"/>
        </w:rPr>
        <w:t xml:space="preserve">მანანა კობახიძე </w:t>
      </w:r>
      <w:r w:rsidR="00890C61" w:rsidRPr="0009334B">
        <w:rPr>
          <w:rFonts w:eastAsia="Times New Roman" w:cs="Sylfaen"/>
          <w:lang w:val="ka-GE"/>
        </w:rPr>
        <w:t>–</w:t>
      </w:r>
      <w:r w:rsidRPr="005D7CF7">
        <w:rPr>
          <w:lang w:val="ka-GE"/>
        </w:rPr>
        <w:t xml:space="preserve"> </w:t>
      </w:r>
      <w:r w:rsidR="000C38B7" w:rsidRPr="005D7CF7">
        <w:rPr>
          <w:lang w:val="ka-GE"/>
        </w:rPr>
        <w:t>სხდომის თავმჯდომარე</w:t>
      </w:r>
      <w:r w:rsidR="0081579B" w:rsidRPr="005D7CF7">
        <w:rPr>
          <w:lang w:val="ka-GE"/>
        </w:rPr>
        <w:t>;</w:t>
      </w:r>
    </w:p>
    <w:p w14:paraId="7D2DDCB5" w14:textId="77777777" w:rsidR="00911FF2" w:rsidRPr="005D7CF7" w:rsidRDefault="00911FF2" w:rsidP="00DC1AD2">
      <w:pPr>
        <w:ind w:firstLine="284"/>
        <w:rPr>
          <w:lang w:val="ka-GE"/>
        </w:rPr>
      </w:pPr>
      <w:r w:rsidRPr="005D7CF7">
        <w:rPr>
          <w:lang w:val="ka-GE"/>
        </w:rPr>
        <w:t xml:space="preserve">ირინე იმერლიშვილი </w:t>
      </w:r>
      <w:r w:rsidR="00890C61" w:rsidRPr="0009334B">
        <w:rPr>
          <w:rFonts w:eastAsia="Times New Roman" w:cs="Sylfaen"/>
          <w:lang w:val="ka-GE"/>
        </w:rPr>
        <w:t>–</w:t>
      </w:r>
      <w:r w:rsidRPr="005D7CF7">
        <w:rPr>
          <w:lang w:val="ka-GE"/>
        </w:rPr>
        <w:t xml:space="preserve"> წევრი;</w:t>
      </w:r>
    </w:p>
    <w:p w14:paraId="63790F40" w14:textId="77777777" w:rsidR="000C38B7" w:rsidRPr="005D7CF7" w:rsidRDefault="0081579B" w:rsidP="00DC1AD2">
      <w:pPr>
        <w:ind w:firstLine="284"/>
        <w:rPr>
          <w:lang w:val="ka-GE"/>
        </w:rPr>
      </w:pPr>
      <w:r w:rsidRPr="005D7CF7">
        <w:rPr>
          <w:lang w:val="ka-GE"/>
        </w:rPr>
        <w:t xml:space="preserve">ხვიჩა კიკილაშვილი </w:t>
      </w:r>
      <w:r w:rsidR="00890C61" w:rsidRPr="0009334B">
        <w:rPr>
          <w:rFonts w:eastAsia="Times New Roman" w:cs="Sylfaen"/>
          <w:lang w:val="ka-GE"/>
        </w:rPr>
        <w:t>–</w:t>
      </w:r>
      <w:r w:rsidR="00911FF2" w:rsidRPr="005D7CF7">
        <w:rPr>
          <w:lang w:val="ka-GE"/>
        </w:rPr>
        <w:t xml:space="preserve"> წე</w:t>
      </w:r>
      <w:r w:rsidR="00B825A9" w:rsidRPr="005D7CF7">
        <w:rPr>
          <w:lang w:val="ka-GE"/>
        </w:rPr>
        <w:t>ვრი</w:t>
      </w:r>
      <w:r w:rsidR="008262ED" w:rsidRPr="005D7CF7">
        <w:rPr>
          <w:lang w:val="ka-GE"/>
        </w:rPr>
        <w:t>, მომხსენებელი მოსამართლე</w:t>
      </w:r>
      <w:r w:rsidR="000C38B7" w:rsidRPr="005D7CF7">
        <w:rPr>
          <w:lang w:val="ka-GE"/>
        </w:rPr>
        <w:t>;</w:t>
      </w:r>
    </w:p>
    <w:p w14:paraId="364B0210" w14:textId="77777777" w:rsidR="00EA21DD" w:rsidRPr="005D7CF7" w:rsidRDefault="000C38B7" w:rsidP="00DC1AD2">
      <w:pPr>
        <w:ind w:firstLine="284"/>
        <w:rPr>
          <w:lang w:val="ka-GE"/>
        </w:rPr>
      </w:pPr>
      <w:r w:rsidRPr="005D7CF7">
        <w:rPr>
          <w:lang w:val="ka-GE"/>
        </w:rPr>
        <w:t xml:space="preserve">თეიმურაზ ტუღუში </w:t>
      </w:r>
      <w:r w:rsidR="00890C61" w:rsidRPr="0009334B">
        <w:rPr>
          <w:rFonts w:eastAsia="Times New Roman" w:cs="Sylfaen"/>
          <w:lang w:val="ka-GE"/>
        </w:rPr>
        <w:t>–</w:t>
      </w:r>
      <w:r w:rsidRPr="005D7CF7">
        <w:rPr>
          <w:lang w:val="ka-GE"/>
        </w:rPr>
        <w:t xml:space="preserve"> წევრი</w:t>
      </w:r>
      <w:r w:rsidR="008262ED" w:rsidRPr="005D7CF7">
        <w:rPr>
          <w:lang w:val="ka-GE"/>
        </w:rPr>
        <w:t>.</w:t>
      </w:r>
    </w:p>
    <w:p w14:paraId="769AE44B" w14:textId="77777777" w:rsidR="00911FF2" w:rsidRPr="005D7CF7" w:rsidRDefault="00911FF2" w:rsidP="00DC1AD2">
      <w:pPr>
        <w:ind w:firstLine="284"/>
        <w:rPr>
          <w:lang w:val="ka-GE"/>
        </w:rPr>
      </w:pPr>
    </w:p>
    <w:p w14:paraId="2F351233" w14:textId="77777777" w:rsidR="00911FF2" w:rsidRPr="005D7CF7" w:rsidRDefault="00911FF2" w:rsidP="00DC1AD2">
      <w:pPr>
        <w:ind w:firstLine="284"/>
        <w:rPr>
          <w:lang w:val="ka-GE"/>
        </w:rPr>
      </w:pPr>
      <w:r w:rsidRPr="005D7CF7">
        <w:rPr>
          <w:b/>
          <w:lang w:val="ka-GE"/>
        </w:rPr>
        <w:t>სხდომის მდივანი:</w:t>
      </w:r>
      <w:r w:rsidRPr="005D7CF7">
        <w:rPr>
          <w:lang w:val="ka-GE"/>
        </w:rPr>
        <w:t xml:space="preserve"> </w:t>
      </w:r>
      <w:r w:rsidR="00340048" w:rsidRPr="00340048">
        <w:rPr>
          <w:lang w:val="ka-GE"/>
        </w:rPr>
        <w:t>სოფია კობახიძე.</w:t>
      </w:r>
    </w:p>
    <w:p w14:paraId="2207F93C" w14:textId="77777777" w:rsidR="005C293A" w:rsidRPr="00925328" w:rsidRDefault="005C293A" w:rsidP="00DC1AD2">
      <w:pPr>
        <w:ind w:firstLine="284"/>
        <w:rPr>
          <w:lang w:val="ka-GE"/>
        </w:rPr>
      </w:pPr>
    </w:p>
    <w:p w14:paraId="26F129F2" w14:textId="77777777" w:rsidR="00911FF2" w:rsidRPr="005D7CF7" w:rsidRDefault="00911FF2" w:rsidP="00DC1AD2">
      <w:pPr>
        <w:ind w:firstLine="284"/>
        <w:rPr>
          <w:lang w:val="ka-GE"/>
        </w:rPr>
      </w:pPr>
      <w:r w:rsidRPr="005D7CF7">
        <w:rPr>
          <w:b/>
          <w:lang w:val="ka-GE"/>
        </w:rPr>
        <w:t>საქმის დასახელება:</w:t>
      </w:r>
      <w:r w:rsidRPr="005D7CF7">
        <w:rPr>
          <w:lang w:val="ka-GE"/>
        </w:rPr>
        <w:t xml:space="preserve"> </w:t>
      </w:r>
      <w:r w:rsidR="0010543D" w:rsidRPr="005D7CF7">
        <w:rPr>
          <w:lang w:val="ka-GE"/>
        </w:rPr>
        <w:t>გიორგი გოცაძე საქართველოს პარლამენტის წინააღმდეგ</w:t>
      </w:r>
      <w:r w:rsidR="00512CA2" w:rsidRPr="005D7CF7">
        <w:rPr>
          <w:lang w:val="ka-GE"/>
        </w:rPr>
        <w:t>.</w:t>
      </w:r>
    </w:p>
    <w:p w14:paraId="0CE2F6C5" w14:textId="77777777" w:rsidR="005C293A" w:rsidRPr="005D7CF7" w:rsidRDefault="005C293A" w:rsidP="00DC1AD2">
      <w:pPr>
        <w:ind w:firstLine="284"/>
        <w:rPr>
          <w:lang w:val="ka-GE"/>
        </w:rPr>
      </w:pPr>
    </w:p>
    <w:p w14:paraId="7A218C79" w14:textId="77777777" w:rsidR="00911FF2" w:rsidRPr="005D7CF7" w:rsidRDefault="00911FF2" w:rsidP="00DC1AD2">
      <w:pPr>
        <w:ind w:firstLine="284"/>
        <w:rPr>
          <w:rFonts w:eastAsia="Times New Roman"/>
          <w:bCs/>
          <w:lang w:val="ka-GE"/>
        </w:rPr>
      </w:pPr>
      <w:r w:rsidRPr="005D7CF7">
        <w:rPr>
          <w:b/>
          <w:lang w:val="ka-GE"/>
        </w:rPr>
        <w:t>დავის საგანი:</w:t>
      </w:r>
      <w:r w:rsidRPr="005D7CF7">
        <w:rPr>
          <w:lang w:val="ka-GE"/>
        </w:rPr>
        <w:t xml:space="preserve"> </w:t>
      </w:r>
      <w:r w:rsidR="0010543D" w:rsidRPr="005D7CF7">
        <w:rPr>
          <w:lang w:val="ka-GE"/>
        </w:rPr>
        <w:t>„ნოტარიატის შესახებ“ საქართველოს კანონის მე-11 მუხლის პირველი პუნქტის კონსტიტუციურობა საქართველოს კონსტიტუციის მე-11 მუხლის პირველ პუნქტთან</w:t>
      </w:r>
      <w:r w:rsidR="00A90FE9" w:rsidRPr="005D7CF7">
        <w:rPr>
          <w:lang w:val="ka-GE"/>
        </w:rPr>
        <w:t xml:space="preserve"> </w:t>
      </w:r>
      <w:r w:rsidR="00A90FE9" w:rsidRPr="005D7CF7">
        <w:rPr>
          <w:rFonts w:eastAsia="Times New Roman"/>
          <w:bCs/>
          <w:lang w:val="ka-GE"/>
        </w:rPr>
        <w:t xml:space="preserve">მიმართებით. </w:t>
      </w:r>
    </w:p>
    <w:p w14:paraId="741704E6" w14:textId="77777777" w:rsidR="007319DE" w:rsidRDefault="007319DE" w:rsidP="00DC1AD2">
      <w:pPr>
        <w:ind w:firstLine="284"/>
        <w:rPr>
          <w:rFonts w:eastAsia="Times New Roman"/>
          <w:bCs/>
          <w:lang w:val="en-US"/>
        </w:rPr>
      </w:pPr>
    </w:p>
    <w:p w14:paraId="3223F101" w14:textId="77777777" w:rsidR="001439B3" w:rsidRPr="00BF19EE" w:rsidRDefault="001439B3" w:rsidP="00DC1AD2">
      <w:pPr>
        <w:ind w:firstLine="284"/>
        <w:rPr>
          <w:rFonts w:eastAsia="Times New Roman"/>
          <w:bCs/>
          <w:lang w:val="en-US"/>
        </w:rPr>
      </w:pPr>
    </w:p>
    <w:p w14:paraId="27E17A2C" w14:textId="77777777" w:rsidR="005C65E4" w:rsidRPr="005D7CF7" w:rsidRDefault="005C65E4" w:rsidP="00DC1AD2">
      <w:pPr>
        <w:pStyle w:val="Heading1"/>
      </w:pPr>
      <w:r w:rsidRPr="005D7CF7">
        <w:lastRenderedPageBreak/>
        <w:t>I</w:t>
      </w:r>
      <w:r w:rsidR="00DC1AD2" w:rsidRPr="005D7CF7">
        <w:br/>
      </w:r>
      <w:r w:rsidRPr="005D7CF7">
        <w:t>აღწერილობითი ნაწილი</w:t>
      </w:r>
    </w:p>
    <w:p w14:paraId="1018B66A" w14:textId="77777777" w:rsidR="00EA21DD" w:rsidRPr="005D7CF7" w:rsidRDefault="00EA21DD" w:rsidP="00DC1AD2">
      <w:pPr>
        <w:tabs>
          <w:tab w:val="left" w:pos="3135"/>
        </w:tabs>
        <w:ind w:firstLine="284"/>
        <w:jc w:val="center"/>
        <w:rPr>
          <w:b/>
          <w:lang w:val="ka-GE"/>
        </w:rPr>
      </w:pPr>
    </w:p>
    <w:p w14:paraId="1F1ABE7A" w14:textId="77777777" w:rsidR="003441C7" w:rsidRPr="005D7CF7" w:rsidRDefault="003441C7" w:rsidP="00DC1AD2">
      <w:pPr>
        <w:pStyle w:val="ListParagraph"/>
        <w:numPr>
          <w:ilvl w:val="0"/>
          <w:numId w:val="1"/>
        </w:numPr>
        <w:ind w:left="0" w:firstLine="284"/>
        <w:rPr>
          <w:lang w:val="ka-GE"/>
        </w:rPr>
      </w:pPr>
      <w:r w:rsidRPr="005D7CF7">
        <w:rPr>
          <w:lang w:val="ka-GE"/>
        </w:rPr>
        <w:t>საქართველოს საკონსტიტუციო სასამართლოს</w:t>
      </w:r>
      <w:r w:rsidR="00241B0E" w:rsidRPr="005D7CF7">
        <w:rPr>
          <w:lang w:val="ka-GE"/>
        </w:rPr>
        <w:t xml:space="preserve"> </w:t>
      </w:r>
      <w:r w:rsidR="00CE5007" w:rsidRPr="005D7CF7">
        <w:rPr>
          <w:lang w:val="ka-GE"/>
        </w:rPr>
        <w:t>2020 წლის 18 აგვისტოს</w:t>
      </w:r>
      <w:r w:rsidRPr="005D7CF7">
        <w:rPr>
          <w:lang w:val="ka-GE"/>
        </w:rPr>
        <w:t xml:space="preserve"> კონსტიტუციური სარჩელით (რეგისტრაციის</w:t>
      </w:r>
      <w:r w:rsidR="00241B0E" w:rsidRPr="005D7CF7">
        <w:rPr>
          <w:lang w:val="ka-GE"/>
        </w:rPr>
        <w:t xml:space="preserve"> №</w:t>
      </w:r>
      <w:r w:rsidR="008262ED" w:rsidRPr="005D7CF7">
        <w:rPr>
          <w:lang w:val="ka-GE"/>
        </w:rPr>
        <w:t>1532</w:t>
      </w:r>
      <w:r w:rsidRPr="005D7CF7">
        <w:rPr>
          <w:lang w:val="ka-GE"/>
        </w:rPr>
        <w:t xml:space="preserve">) </w:t>
      </w:r>
      <w:r w:rsidR="00CE5007" w:rsidRPr="005D7CF7">
        <w:rPr>
          <w:lang w:val="ka-GE"/>
        </w:rPr>
        <w:t>მომართა გიორგი გოცაძემ</w:t>
      </w:r>
      <w:r w:rsidRPr="005D7CF7">
        <w:rPr>
          <w:lang w:val="ka-GE"/>
        </w:rPr>
        <w:t xml:space="preserve">. </w:t>
      </w:r>
      <w:r w:rsidR="00241B0E" w:rsidRPr="005D7CF7">
        <w:rPr>
          <w:lang w:val="ka-GE"/>
        </w:rPr>
        <w:t>№</w:t>
      </w:r>
      <w:r w:rsidR="008262ED" w:rsidRPr="005D7CF7">
        <w:rPr>
          <w:lang w:val="ka-GE"/>
        </w:rPr>
        <w:t>1532</w:t>
      </w:r>
      <w:r w:rsidRPr="005D7CF7">
        <w:rPr>
          <w:lang w:val="ka-GE"/>
        </w:rPr>
        <w:t xml:space="preserve"> კონსტიტუციური სარჩელი </w:t>
      </w:r>
      <w:r w:rsidR="0054207E" w:rsidRPr="005D7CF7">
        <w:rPr>
          <w:lang w:val="ka-GE"/>
        </w:rPr>
        <w:t xml:space="preserve">საქართველოს </w:t>
      </w:r>
      <w:r w:rsidRPr="005D7CF7">
        <w:rPr>
          <w:lang w:val="ka-GE"/>
        </w:rPr>
        <w:t>საკონსტიტუციო სასამართლოს მეორე კოლეგიას</w:t>
      </w:r>
      <w:r w:rsidR="004C7AA2" w:rsidRPr="005D7CF7">
        <w:rPr>
          <w:lang w:val="ka-GE"/>
        </w:rPr>
        <w:t xml:space="preserve">, არსებითად განსახილველად მიღების საკითხის გადასაწყვეტად, </w:t>
      </w:r>
      <w:r w:rsidRPr="005D7CF7">
        <w:rPr>
          <w:lang w:val="ka-GE"/>
        </w:rPr>
        <w:t>გადმოეცა</w:t>
      </w:r>
      <w:r w:rsidR="00241B0E" w:rsidRPr="005D7CF7">
        <w:rPr>
          <w:lang w:val="ka-GE"/>
        </w:rPr>
        <w:t xml:space="preserve"> </w:t>
      </w:r>
      <w:r w:rsidR="00CE5007" w:rsidRPr="005D7CF7">
        <w:rPr>
          <w:lang w:val="ka-GE"/>
        </w:rPr>
        <w:t xml:space="preserve">2020 წლის 20 აგვისტოს. </w:t>
      </w:r>
      <w:r w:rsidR="00A5123A" w:rsidRPr="005D7CF7">
        <w:rPr>
          <w:lang w:val="ka-GE"/>
        </w:rPr>
        <w:t>№1532</w:t>
      </w:r>
      <w:r w:rsidR="00A5123A">
        <w:rPr>
          <w:lang w:val="ka-GE"/>
        </w:rPr>
        <w:t xml:space="preserve"> </w:t>
      </w:r>
      <w:r w:rsidRPr="005D7CF7">
        <w:rPr>
          <w:lang w:val="ka-GE"/>
        </w:rPr>
        <w:t>კონსტიტუციური სარჩელის არსებითად განსახილველად მიღების საკითხის გადასაწყვეტად</w:t>
      </w:r>
      <w:r w:rsidR="00534AF4" w:rsidRPr="005D7CF7">
        <w:rPr>
          <w:lang w:val="ka-GE"/>
        </w:rPr>
        <w:t>,</w:t>
      </w:r>
      <w:r w:rsidRPr="005D7CF7">
        <w:rPr>
          <w:lang w:val="ka-GE"/>
        </w:rPr>
        <w:t xml:space="preserve"> </w:t>
      </w:r>
      <w:r w:rsidR="0054207E" w:rsidRPr="005D7CF7">
        <w:rPr>
          <w:lang w:val="ka-GE"/>
        </w:rPr>
        <w:t xml:space="preserve">საქართველოს </w:t>
      </w:r>
      <w:r w:rsidRPr="005D7CF7">
        <w:rPr>
          <w:lang w:val="ka-GE"/>
        </w:rPr>
        <w:t>საკონსტიტუციო სასამართლოს მეორე კოლეგიის განმწესრიგებელი სხდომა, ზეპირი მოსმენის გარეშე, გაიმართა</w:t>
      </w:r>
      <w:r w:rsidR="00823617" w:rsidRPr="005D7CF7">
        <w:rPr>
          <w:lang w:val="ka-GE"/>
        </w:rPr>
        <w:t xml:space="preserve"> </w:t>
      </w:r>
      <w:r w:rsidR="00823617" w:rsidRPr="00BF19EE">
        <w:rPr>
          <w:lang w:val="ka-GE"/>
        </w:rPr>
        <w:t xml:space="preserve">2023 </w:t>
      </w:r>
      <w:r w:rsidR="004561E1" w:rsidRPr="00BF19EE">
        <w:rPr>
          <w:lang w:val="ka-GE"/>
        </w:rPr>
        <w:t>წლის</w:t>
      </w:r>
      <w:r w:rsidR="005A58A1" w:rsidRPr="00BF19EE">
        <w:rPr>
          <w:lang w:val="ka-GE"/>
        </w:rPr>
        <w:t xml:space="preserve"> 27 ოქტომბერს.</w:t>
      </w:r>
    </w:p>
    <w:p w14:paraId="600A0A1D" w14:textId="77777777" w:rsidR="003441C7" w:rsidRPr="005D7CF7" w:rsidRDefault="00241B0E" w:rsidP="00DC1AD2">
      <w:pPr>
        <w:pStyle w:val="ListParagraph"/>
        <w:numPr>
          <w:ilvl w:val="0"/>
          <w:numId w:val="1"/>
        </w:numPr>
        <w:ind w:left="0" w:firstLine="284"/>
        <w:rPr>
          <w:lang w:val="ka-GE"/>
        </w:rPr>
      </w:pPr>
      <w:r w:rsidRPr="005D7CF7">
        <w:rPr>
          <w:lang w:val="ka-GE"/>
        </w:rPr>
        <w:t>№</w:t>
      </w:r>
      <w:r w:rsidR="008262ED" w:rsidRPr="005D7CF7">
        <w:rPr>
          <w:lang w:val="ka-GE"/>
        </w:rPr>
        <w:t>1532</w:t>
      </w:r>
      <w:r w:rsidR="003441C7" w:rsidRPr="005D7CF7">
        <w:rPr>
          <w:lang w:val="ka-GE"/>
        </w:rPr>
        <w:t xml:space="preserve"> კონსტიტუციურ სარჩელში საქართველოს საკონსტიტუციო სასამართლოსადმი მომართვის </w:t>
      </w:r>
      <w:r w:rsidR="007319DE" w:rsidRPr="005D7CF7">
        <w:rPr>
          <w:lang w:val="ka-GE"/>
        </w:rPr>
        <w:t xml:space="preserve">სამართლებრივ </w:t>
      </w:r>
      <w:r w:rsidR="003441C7" w:rsidRPr="005D7CF7">
        <w:rPr>
          <w:lang w:val="ka-GE"/>
        </w:rPr>
        <w:t>საფუძვლ</w:t>
      </w:r>
      <w:r w:rsidR="007319DE" w:rsidRPr="005D7CF7">
        <w:rPr>
          <w:lang w:val="ka-GE"/>
        </w:rPr>
        <w:t>ებ</w:t>
      </w:r>
      <w:r w:rsidR="003441C7" w:rsidRPr="005D7CF7">
        <w:rPr>
          <w:lang w:val="ka-GE"/>
        </w:rPr>
        <w:t>ად მითითებულია</w:t>
      </w:r>
      <w:r w:rsidR="00291CC0" w:rsidRPr="005D7CF7">
        <w:rPr>
          <w:lang w:val="ka-GE"/>
        </w:rPr>
        <w:t>:</w:t>
      </w:r>
      <w:r w:rsidR="003441C7" w:rsidRPr="005D7CF7">
        <w:rPr>
          <w:lang w:val="ka-GE"/>
        </w:rPr>
        <w:t xml:space="preserve"> საქართველოს კონსტიტუციის</w:t>
      </w:r>
      <w:r w:rsidR="00CE5007" w:rsidRPr="005D7CF7">
        <w:rPr>
          <w:lang w:val="ka-GE"/>
        </w:rPr>
        <w:t xml:space="preserve"> 31-ე მუხლის პირველი პუნქტი და</w:t>
      </w:r>
      <w:r w:rsidRPr="005D7CF7">
        <w:rPr>
          <w:lang w:val="ka-GE"/>
        </w:rPr>
        <w:t xml:space="preserve"> მე-60 მუხლის მე-4 პუნქტი</w:t>
      </w:r>
      <w:r w:rsidR="00823617" w:rsidRPr="005D7CF7">
        <w:rPr>
          <w:lang w:val="ka-GE"/>
        </w:rPr>
        <w:t>ს „ა“ ქვეპუნქტი</w:t>
      </w:r>
      <w:r w:rsidR="00DD6443" w:rsidRPr="005D7CF7">
        <w:rPr>
          <w:lang w:val="ka-GE"/>
        </w:rPr>
        <w:t>,</w:t>
      </w:r>
      <w:r w:rsidR="003441C7" w:rsidRPr="005D7CF7">
        <w:rPr>
          <w:lang w:val="ka-GE"/>
        </w:rPr>
        <w:t xml:space="preserve"> „საქართველოს საკონსტიტუციო სასამართლოს შესახებ“ საქართველოს ორგანული კანონის მე-19 მუხლის პირველი პუნქტის „ე“ ქვეპუნქტი</w:t>
      </w:r>
      <w:r w:rsidR="00CE5007" w:rsidRPr="005D7CF7">
        <w:rPr>
          <w:lang w:val="ka-GE"/>
        </w:rPr>
        <w:t>, 31-ე მუხლი, 31</w:t>
      </w:r>
      <w:r w:rsidR="00CE5007" w:rsidRPr="005D7CF7">
        <w:rPr>
          <w:vertAlign w:val="superscript"/>
          <w:lang w:val="ka-GE"/>
        </w:rPr>
        <w:t xml:space="preserve">1 </w:t>
      </w:r>
      <w:r w:rsidR="00CE5007" w:rsidRPr="005D7CF7">
        <w:rPr>
          <w:lang w:val="ka-GE"/>
        </w:rPr>
        <w:t xml:space="preserve">მუხლი </w:t>
      </w:r>
      <w:r w:rsidRPr="005D7CF7">
        <w:rPr>
          <w:lang w:val="ka-GE"/>
        </w:rPr>
        <w:t>და</w:t>
      </w:r>
      <w:r w:rsidR="003441C7" w:rsidRPr="005D7CF7">
        <w:rPr>
          <w:lang w:val="ka-GE"/>
        </w:rPr>
        <w:t xml:space="preserve"> 39-ე მუხლის პირველი პუნქტის „ა“ ქვეპუნქტი</w:t>
      </w:r>
      <w:r w:rsidRPr="005D7CF7">
        <w:rPr>
          <w:lang w:val="ka-GE"/>
        </w:rPr>
        <w:t>.</w:t>
      </w:r>
    </w:p>
    <w:p w14:paraId="7C32D26C" w14:textId="77777777" w:rsidR="000B173A" w:rsidRPr="005D7CF7" w:rsidRDefault="00CE5007" w:rsidP="00DC1AD2">
      <w:pPr>
        <w:pStyle w:val="ListParagraph"/>
        <w:numPr>
          <w:ilvl w:val="0"/>
          <w:numId w:val="1"/>
        </w:numPr>
        <w:ind w:left="0" w:firstLine="284"/>
        <w:rPr>
          <w:lang w:val="ka-GE"/>
        </w:rPr>
      </w:pPr>
      <w:r w:rsidRPr="005D7CF7">
        <w:rPr>
          <w:lang w:val="ka-GE"/>
        </w:rPr>
        <w:t>„ნოტარიატის შესახებ“ საქართველოს კანონის მე-11 მუხლის პირველი პუნქტი ნოტარიუსის თანამდებობის დაკავებისთვის</w:t>
      </w:r>
      <w:r w:rsidR="00535479">
        <w:rPr>
          <w:lang w:val="ka-GE"/>
        </w:rPr>
        <w:t>,</w:t>
      </w:r>
      <w:r w:rsidRPr="005D7CF7">
        <w:rPr>
          <w:lang w:val="ka-GE"/>
        </w:rPr>
        <w:t xml:space="preserve"> უმაღლესი იურიდიული განათლების ქონასა და ნოტარიუსთა საკვალიფიკაციო გამოცდის ჩაბარებასთან ერთად</w:t>
      </w:r>
      <w:r w:rsidR="00535479">
        <w:rPr>
          <w:lang w:val="ka-GE"/>
        </w:rPr>
        <w:t>,</w:t>
      </w:r>
      <w:r w:rsidRPr="005D7CF7">
        <w:rPr>
          <w:lang w:val="ka-GE"/>
        </w:rPr>
        <w:t xml:space="preserve"> ადგენს სამ ალტერნატიულ წინაპირობას - სტაჟირების გავლას, ნოტარიუსად მუშ</w:t>
      </w:r>
      <w:r w:rsidR="00535479">
        <w:rPr>
          <w:lang w:val="ka-GE"/>
        </w:rPr>
        <w:t>ა</w:t>
      </w:r>
      <w:r w:rsidRPr="005D7CF7">
        <w:rPr>
          <w:lang w:val="ka-GE"/>
        </w:rPr>
        <w:t>ობის 1 წლის სტაჟის ქონას ან საჯარო სამსახურში სპეციალობით მუშაობის არანაკლებ 5 წლი</w:t>
      </w:r>
      <w:r w:rsidR="00535479">
        <w:rPr>
          <w:lang w:val="ka-GE"/>
        </w:rPr>
        <w:t>ან</w:t>
      </w:r>
      <w:r w:rsidR="00D47ACC">
        <w:rPr>
          <w:lang w:val="ka-GE"/>
        </w:rPr>
        <w:t>ი</w:t>
      </w:r>
      <w:r w:rsidRPr="005D7CF7">
        <w:rPr>
          <w:lang w:val="ka-GE"/>
        </w:rPr>
        <w:t xml:space="preserve"> სტაჟ</w:t>
      </w:r>
      <w:r w:rsidR="00D47ACC">
        <w:rPr>
          <w:lang w:val="ka-GE"/>
        </w:rPr>
        <w:t>ი</w:t>
      </w:r>
      <w:r w:rsidRPr="005D7CF7">
        <w:rPr>
          <w:lang w:val="ka-GE"/>
        </w:rPr>
        <w:t>ს</w:t>
      </w:r>
      <w:r w:rsidR="00D47ACC">
        <w:rPr>
          <w:lang w:val="ka-GE"/>
        </w:rPr>
        <w:t xml:space="preserve"> ქონას</w:t>
      </w:r>
      <w:r w:rsidRPr="005D7CF7">
        <w:rPr>
          <w:lang w:val="ka-GE"/>
        </w:rPr>
        <w:t>.</w:t>
      </w:r>
    </w:p>
    <w:p w14:paraId="44BF7BE9" w14:textId="77777777" w:rsidR="00FB0139" w:rsidRPr="005D7CF7" w:rsidRDefault="00130A5C" w:rsidP="00DC1AD2">
      <w:pPr>
        <w:pStyle w:val="ListParagraph"/>
        <w:numPr>
          <w:ilvl w:val="0"/>
          <w:numId w:val="1"/>
        </w:numPr>
        <w:ind w:left="0" w:firstLine="284"/>
        <w:rPr>
          <w:lang w:val="ka-GE"/>
        </w:rPr>
      </w:pPr>
      <w:r w:rsidRPr="005D7CF7">
        <w:rPr>
          <w:lang w:val="ka-GE"/>
        </w:rPr>
        <w:t xml:space="preserve">საქართველოს კონსტიტუციის </w:t>
      </w:r>
      <w:r w:rsidR="004C7AA2" w:rsidRPr="005D7CF7">
        <w:rPr>
          <w:lang w:val="ka-GE"/>
        </w:rPr>
        <w:t>მე-11 მუხლის პირველი პუნქტით დაცულია სამართლის წინაშე თანასწორობის უფლება.</w:t>
      </w:r>
    </w:p>
    <w:p w14:paraId="01016B19" w14:textId="77777777" w:rsidR="005507F3" w:rsidRDefault="004C7AA2" w:rsidP="00DC1AD2">
      <w:pPr>
        <w:pStyle w:val="ListParagraph"/>
        <w:numPr>
          <w:ilvl w:val="0"/>
          <w:numId w:val="1"/>
        </w:numPr>
        <w:ind w:left="0" w:firstLine="284"/>
        <w:rPr>
          <w:lang w:val="ka-GE"/>
        </w:rPr>
      </w:pPr>
      <w:r w:rsidRPr="005D7CF7">
        <w:rPr>
          <w:lang w:val="ka-GE"/>
        </w:rPr>
        <w:t>მოსარჩელე</w:t>
      </w:r>
      <w:r w:rsidR="002A1CEA" w:rsidRPr="005D7CF7">
        <w:rPr>
          <w:lang w:val="ka-GE"/>
        </w:rPr>
        <w:t xml:space="preserve">ს ჩაბარებული აქვს ნოტარიუსთა საკვალიფიკაციო გამოცდა, ფლობს უმაღლეს </w:t>
      </w:r>
      <w:r w:rsidR="00B070C1" w:rsidRPr="005D7CF7">
        <w:rPr>
          <w:lang w:val="ka-GE"/>
        </w:rPr>
        <w:t xml:space="preserve">იურიდიულ </w:t>
      </w:r>
      <w:r w:rsidR="002A1CEA" w:rsidRPr="005D7CF7">
        <w:rPr>
          <w:lang w:val="ka-GE"/>
        </w:rPr>
        <w:t>განათლებას</w:t>
      </w:r>
      <w:r w:rsidRPr="005D7CF7">
        <w:rPr>
          <w:lang w:val="ka-GE"/>
        </w:rPr>
        <w:t xml:space="preserve"> </w:t>
      </w:r>
      <w:r w:rsidR="002A1CEA" w:rsidRPr="005D7CF7">
        <w:rPr>
          <w:lang w:val="ka-GE"/>
        </w:rPr>
        <w:t xml:space="preserve">და </w:t>
      </w:r>
      <w:r w:rsidR="00B070C1">
        <w:rPr>
          <w:lang w:val="ka-GE"/>
        </w:rPr>
        <w:t xml:space="preserve">5 წელზე მეტი ხნით აქვს ნამუშევარი </w:t>
      </w:r>
      <w:r w:rsidRPr="005D7CF7">
        <w:rPr>
          <w:lang w:val="ka-GE"/>
        </w:rPr>
        <w:t>საქართველოს განათლების, მეცნიერების, კულტურისა დ</w:t>
      </w:r>
      <w:r w:rsidR="00B070C1">
        <w:rPr>
          <w:lang w:val="ka-GE"/>
        </w:rPr>
        <w:t>ა</w:t>
      </w:r>
      <w:r w:rsidRPr="005D7CF7">
        <w:rPr>
          <w:lang w:val="ka-GE"/>
        </w:rPr>
        <w:t xml:space="preserve"> სპორტის სამინისტროს </w:t>
      </w:r>
      <w:r w:rsidRPr="005507F3">
        <w:rPr>
          <w:lang w:val="ka-GE"/>
        </w:rPr>
        <w:t>სსიპ</w:t>
      </w:r>
      <w:r w:rsidRPr="005D7CF7">
        <w:rPr>
          <w:lang w:val="ka-GE"/>
        </w:rPr>
        <w:t xml:space="preserve"> საგანმანათლებლო დაწესებულების მანდატურის სამსახურის ადმინისტრაციული სამმართველოს კოორდინატორის (იურისტის) </w:t>
      </w:r>
      <w:r w:rsidR="00B070C1">
        <w:rPr>
          <w:lang w:val="ka-GE"/>
        </w:rPr>
        <w:t>პოზიციაზე</w:t>
      </w:r>
      <w:r w:rsidRPr="005D7CF7">
        <w:rPr>
          <w:lang w:val="ka-GE"/>
        </w:rPr>
        <w:t xml:space="preserve">. </w:t>
      </w:r>
      <w:r w:rsidR="0022292D">
        <w:rPr>
          <w:lang w:val="ka-GE"/>
        </w:rPr>
        <w:t xml:space="preserve">2018 წელს მას უარი ეთქვა </w:t>
      </w:r>
      <w:r w:rsidR="0045385B">
        <w:rPr>
          <w:lang w:val="ka-GE"/>
        </w:rPr>
        <w:t>ნოტარიუსის თანამდებობ</w:t>
      </w:r>
      <w:r w:rsidR="00B070C1">
        <w:rPr>
          <w:lang w:val="ka-GE"/>
        </w:rPr>
        <w:t>ის</w:t>
      </w:r>
      <w:r w:rsidR="0045385B">
        <w:rPr>
          <w:lang w:val="ka-GE"/>
        </w:rPr>
        <w:t xml:space="preserve"> და</w:t>
      </w:r>
      <w:r w:rsidR="00B070C1">
        <w:rPr>
          <w:lang w:val="ka-GE"/>
        </w:rPr>
        <w:t>კავებაზე იმ საფუძვლით, რომ</w:t>
      </w:r>
      <w:r w:rsidR="0045385B">
        <w:rPr>
          <w:lang w:val="ka-GE"/>
        </w:rPr>
        <w:t xml:space="preserve"> კანონმდებლობით დადგენილი სამი </w:t>
      </w:r>
      <w:r w:rsidR="001C37B9">
        <w:rPr>
          <w:lang w:val="ka-GE"/>
        </w:rPr>
        <w:t>ალტერნატიული</w:t>
      </w:r>
      <w:r w:rsidR="0045385B">
        <w:rPr>
          <w:lang w:val="ka-GE"/>
        </w:rPr>
        <w:t xml:space="preserve"> </w:t>
      </w:r>
      <w:r w:rsidR="001C37B9">
        <w:rPr>
          <w:lang w:val="ka-GE"/>
        </w:rPr>
        <w:t>წინა</w:t>
      </w:r>
      <w:r w:rsidR="0045385B">
        <w:rPr>
          <w:lang w:val="ka-GE"/>
        </w:rPr>
        <w:t>პირობიდან ვერც</w:t>
      </w:r>
      <w:r w:rsidR="00BC2F56">
        <w:rPr>
          <w:lang w:val="ka-GE"/>
        </w:rPr>
        <w:t xml:space="preserve"> </w:t>
      </w:r>
      <w:r w:rsidR="0045385B">
        <w:rPr>
          <w:lang w:val="ka-GE"/>
        </w:rPr>
        <w:t xml:space="preserve">ერთს ვერ აკმაყოფილებდა, მათ შორის, ვერც საჯარო </w:t>
      </w:r>
      <w:r w:rsidR="001C37B9">
        <w:rPr>
          <w:lang w:val="ka-GE"/>
        </w:rPr>
        <w:t>სამსახურში მუშაობის 5 წლიან</w:t>
      </w:r>
      <w:r w:rsidR="00B070C1">
        <w:rPr>
          <w:lang w:val="ka-GE"/>
        </w:rPr>
        <w:t>ი</w:t>
      </w:r>
      <w:r w:rsidR="001C37B9">
        <w:rPr>
          <w:lang w:val="ka-GE"/>
        </w:rPr>
        <w:t xml:space="preserve"> სტაჟ</w:t>
      </w:r>
      <w:r w:rsidR="00B070C1">
        <w:rPr>
          <w:lang w:val="ka-GE"/>
        </w:rPr>
        <w:t>ი</w:t>
      </w:r>
      <w:r w:rsidR="001C37B9">
        <w:rPr>
          <w:lang w:val="ka-GE"/>
        </w:rPr>
        <w:t>ს</w:t>
      </w:r>
      <w:r w:rsidR="00B070C1">
        <w:rPr>
          <w:lang w:val="ka-GE"/>
        </w:rPr>
        <w:t xml:space="preserve"> შესახებ მოთხოვნას</w:t>
      </w:r>
      <w:r w:rsidR="001C37B9">
        <w:rPr>
          <w:lang w:val="ka-GE"/>
        </w:rPr>
        <w:t>.</w:t>
      </w:r>
      <w:r w:rsidR="005507F3">
        <w:rPr>
          <w:lang w:val="ka-GE"/>
        </w:rPr>
        <w:t xml:space="preserve"> </w:t>
      </w:r>
    </w:p>
    <w:p w14:paraId="2E763C34" w14:textId="77777777" w:rsidR="0022292D" w:rsidRDefault="005507F3" w:rsidP="00DC1AD2">
      <w:pPr>
        <w:pStyle w:val="ListParagraph"/>
        <w:numPr>
          <w:ilvl w:val="0"/>
          <w:numId w:val="1"/>
        </w:numPr>
        <w:ind w:left="0" w:firstLine="284"/>
        <w:rPr>
          <w:lang w:val="ka-GE"/>
        </w:rPr>
      </w:pPr>
      <w:r>
        <w:rPr>
          <w:lang w:val="ka-GE"/>
        </w:rPr>
        <w:t>ნოტარიუსის თანამდებობაზე დანიშვნის შესახებ უარის თქმისას მოსარჩელეს განემარტა, რომ 2017 წლის 1 ივლისამდე მოქმედი კანონმდებლობით, საჯარო სამართლის იურიდიული პირები არ განეკუთვნებოდ</w:t>
      </w:r>
      <w:r w:rsidR="00BC2F56">
        <w:rPr>
          <w:lang w:val="ka-GE"/>
        </w:rPr>
        <w:t>ნენ</w:t>
      </w:r>
      <w:r>
        <w:rPr>
          <w:lang w:val="ka-GE"/>
        </w:rPr>
        <w:t xml:space="preserve"> საჯარო სამსახურს. ამასთან, „საჯარო სამსახურის შესახებ“ საქართველოს კანონის 126</w:t>
      </w:r>
      <w:r>
        <w:rPr>
          <w:vertAlign w:val="superscript"/>
          <w:lang w:val="ka-GE"/>
        </w:rPr>
        <w:t>1</w:t>
      </w:r>
      <w:r>
        <w:rPr>
          <w:lang w:val="ka-GE"/>
        </w:rPr>
        <w:t xml:space="preserve"> </w:t>
      </w:r>
      <w:r>
        <w:rPr>
          <w:lang w:val="ka-GE"/>
        </w:rPr>
        <w:lastRenderedPageBreak/>
        <w:t xml:space="preserve">მუხლის პირველი და მე-2 პუნქტების მიხედვით, 2017 წლის 1 ივლისიდან მოქმედებს გარდამავალი პერიოდი, როდესაც </w:t>
      </w:r>
      <w:r w:rsidRPr="005507F3">
        <w:rPr>
          <w:lang w:val="ka-GE"/>
        </w:rPr>
        <w:t>საჯარო სამართლის იურიდიულ პირზე (გარდა კულტურული, საგანმანათლებლო, სამეცნიერო, კვლევითი, სასპორტო, რელიგიური და წევრობაზე დაფუძნებული საჯარო სამართლის იურიდიული პირებისა) არ ვრცელდება ამ</w:t>
      </w:r>
      <w:r>
        <w:rPr>
          <w:lang w:val="ka-GE"/>
        </w:rPr>
        <w:t>ავე</w:t>
      </w:r>
      <w:r w:rsidRPr="005507F3">
        <w:rPr>
          <w:lang w:val="ka-GE"/>
        </w:rPr>
        <w:t xml:space="preserve"> კანონის</w:t>
      </w:r>
      <w:r>
        <w:rPr>
          <w:lang w:val="ka-GE"/>
        </w:rPr>
        <w:t xml:space="preserve"> მოქმედება. აქედან გამომდინარე, მიჩნეულ იქნა, რომ მოსარჩელე ვერ აკმაყოფილებდა საჯარო სამსახურში მუშაობის </w:t>
      </w:r>
      <w:r w:rsidR="00914DFC">
        <w:rPr>
          <w:lang w:val="ka-GE"/>
        </w:rPr>
        <w:t>ხუთწლიანი სტაჟის შესახებ დაწესებულ მოთხოვნას.</w:t>
      </w:r>
    </w:p>
    <w:p w14:paraId="08F0717C" w14:textId="77777777" w:rsidR="0045385B" w:rsidRDefault="0045385B" w:rsidP="00DC1AD2">
      <w:pPr>
        <w:pStyle w:val="ListParagraph"/>
        <w:numPr>
          <w:ilvl w:val="0"/>
          <w:numId w:val="1"/>
        </w:numPr>
        <w:ind w:left="0" w:firstLine="284"/>
        <w:rPr>
          <w:lang w:val="ka-GE"/>
        </w:rPr>
      </w:pPr>
      <w:r>
        <w:rPr>
          <w:lang w:val="ka-GE"/>
        </w:rPr>
        <w:t>მოსარჩელ</w:t>
      </w:r>
      <w:r w:rsidR="00A11B89">
        <w:rPr>
          <w:lang w:val="ka-GE"/>
        </w:rPr>
        <w:t>ე მიუთითებს, რომ სადავო ნორმა ადგენს დისკრიმინაციულ მოპყრობას, რადგან პირთა კატეგორია, რომელთაც ხუთწლიანი სტაჟის შესახებ მოთხოვნა შეასრულეს სსიპ-ში მუშაობისას, რომელიც</w:t>
      </w:r>
      <w:r w:rsidR="00B03083">
        <w:rPr>
          <w:lang w:val="ka-GE"/>
        </w:rPr>
        <w:t>,</w:t>
      </w:r>
      <w:r w:rsidR="00A11B89">
        <w:rPr>
          <w:lang w:val="ka-GE"/>
        </w:rPr>
        <w:t xml:space="preserve"> თავისი არსით</w:t>
      </w:r>
      <w:r w:rsidR="00B03083">
        <w:rPr>
          <w:lang w:val="ka-GE"/>
        </w:rPr>
        <w:t>,</w:t>
      </w:r>
      <w:r w:rsidR="00A11B89">
        <w:rPr>
          <w:lang w:val="ka-GE"/>
        </w:rPr>
        <w:t xml:space="preserve"> ახორციელებდა საჯარო ფუნქციებს, ვალდებულნი არიან გაიარონ სტაჟირება ნოტარიუსის თანამდებობის დასაკავებლად. ხოლო პირები, რომელთაც შესაბამისი სტაჟი დააგროვეს სხვა საჯარო სამსახურში, თავისუფლდებიან ამ მოთხოვნისგან. </w:t>
      </w:r>
      <w:r w:rsidR="00E04084">
        <w:rPr>
          <w:lang w:val="ka-GE"/>
        </w:rPr>
        <w:t>მოსარჩელე</w:t>
      </w:r>
      <w:r w:rsidR="001C37B9">
        <w:rPr>
          <w:lang w:val="ka-GE"/>
        </w:rPr>
        <w:t xml:space="preserve"> </w:t>
      </w:r>
      <w:r w:rsidR="001C37B9" w:rsidRPr="005D7CF7">
        <w:rPr>
          <w:lang w:val="ka-GE"/>
        </w:rPr>
        <w:t xml:space="preserve">ხაზს უსვამს, რომ </w:t>
      </w:r>
      <w:r w:rsidR="001C37B9" w:rsidRPr="00E63DA8">
        <w:rPr>
          <w:lang w:val="ka-GE"/>
        </w:rPr>
        <w:t>საჯარო სამართლის იურიდიული პირი</w:t>
      </w:r>
      <w:r w:rsidR="001C37B9" w:rsidRPr="005D7CF7">
        <w:rPr>
          <w:lang w:val="ka-GE"/>
        </w:rPr>
        <w:t xml:space="preserve"> იქმნება საჯარო მიზნებისა და ფუნქციების განსახორციელებლად და უმრავლეს შემთხვევებში მისი დაფინანსების არსებით წყაროს წარმოადგენს სახელმწიფო ბიუჯეტი. სწორედ ამ ორგანიზაციული ბუნების, მიზნებისა და სამართლებრივი ფორმის გათვ</w:t>
      </w:r>
      <w:r w:rsidR="001C37B9">
        <w:rPr>
          <w:lang w:val="ka-GE"/>
        </w:rPr>
        <w:t>ა</w:t>
      </w:r>
      <w:r w:rsidR="001C37B9" w:rsidRPr="005D7CF7">
        <w:rPr>
          <w:lang w:val="ka-GE"/>
        </w:rPr>
        <w:t>ლისწინებით</w:t>
      </w:r>
      <w:r w:rsidR="001C37B9">
        <w:rPr>
          <w:lang w:val="ka-GE"/>
        </w:rPr>
        <w:t>,</w:t>
      </w:r>
      <w:r w:rsidR="001C37B9" w:rsidRPr="005D7CF7">
        <w:rPr>
          <w:lang w:val="ka-GE"/>
        </w:rPr>
        <w:t xml:space="preserve"> გაუგებარია, რატომ ხდება სადავო ნორმის მიერ </w:t>
      </w:r>
      <w:r w:rsidR="001C37B9">
        <w:rPr>
          <w:lang w:val="ka-GE"/>
        </w:rPr>
        <w:t>ამ ორ პირთა კატეგორიის დიფერენცირება.</w:t>
      </w:r>
    </w:p>
    <w:p w14:paraId="0B3E51D1" w14:textId="77777777" w:rsidR="00E03E82" w:rsidRPr="005D2220" w:rsidRDefault="00E03E82" w:rsidP="00DC1AD2">
      <w:pPr>
        <w:pStyle w:val="ListParagraph"/>
        <w:numPr>
          <w:ilvl w:val="0"/>
          <w:numId w:val="1"/>
        </w:numPr>
        <w:ind w:left="0" w:firstLine="284"/>
        <w:rPr>
          <w:lang w:val="ka-GE"/>
        </w:rPr>
      </w:pPr>
      <w:r w:rsidRPr="005D2220">
        <w:rPr>
          <w:lang w:val="ka-GE"/>
        </w:rPr>
        <w:t xml:space="preserve">მოსარჩელე </w:t>
      </w:r>
      <w:r w:rsidR="00EA3C5A" w:rsidRPr="005D2220">
        <w:rPr>
          <w:lang w:val="ka-GE"/>
        </w:rPr>
        <w:t>აღნიშნავს,</w:t>
      </w:r>
      <w:r w:rsidRPr="005D2220">
        <w:rPr>
          <w:lang w:val="ka-GE"/>
        </w:rPr>
        <w:t xml:space="preserve"> რომ ნოტარიუსის თანამდებობის დაკავებისთვის გარკვეული შეზღუდვების დაწესება </w:t>
      </w:r>
      <w:r w:rsidR="00EA3C5A" w:rsidRPr="005D2220">
        <w:rPr>
          <w:lang w:val="ka-GE"/>
        </w:rPr>
        <w:t>ლოგიკურიც</w:t>
      </w:r>
      <w:r w:rsidRPr="005D2220">
        <w:rPr>
          <w:lang w:val="ka-GE"/>
        </w:rPr>
        <w:t xml:space="preserve"> არის მისი </w:t>
      </w:r>
      <w:r w:rsidRPr="00007623">
        <w:rPr>
          <w:lang w:val="ka-GE"/>
        </w:rPr>
        <w:t xml:space="preserve">საჯარო </w:t>
      </w:r>
      <w:r w:rsidR="00007623">
        <w:rPr>
          <w:lang w:val="ka-GE"/>
        </w:rPr>
        <w:t>ფუნქციებიდან</w:t>
      </w:r>
      <w:r w:rsidRPr="005D2220">
        <w:rPr>
          <w:lang w:val="ka-GE"/>
        </w:rPr>
        <w:t xml:space="preserve"> გამომდინარე, თუმცა აუცილებელია</w:t>
      </w:r>
      <w:r w:rsidR="00007623">
        <w:rPr>
          <w:lang w:val="ka-GE"/>
        </w:rPr>
        <w:t>,</w:t>
      </w:r>
      <w:r w:rsidRPr="005D2220">
        <w:rPr>
          <w:lang w:val="ka-GE"/>
        </w:rPr>
        <w:t xml:space="preserve"> რომ ეს შეზღუდვები იყოს </w:t>
      </w:r>
      <w:r w:rsidR="00EA3C5A" w:rsidRPr="005D2220">
        <w:rPr>
          <w:lang w:val="ka-GE"/>
        </w:rPr>
        <w:t>გონივრული</w:t>
      </w:r>
      <w:r w:rsidRPr="005D2220">
        <w:rPr>
          <w:lang w:val="ka-GE"/>
        </w:rPr>
        <w:t xml:space="preserve"> და არ ლახავდეს სხვათა უფლებებს</w:t>
      </w:r>
      <w:r w:rsidR="00007623">
        <w:rPr>
          <w:lang w:val="ka-GE"/>
        </w:rPr>
        <w:t>.</w:t>
      </w:r>
      <w:r w:rsidRPr="005D2220">
        <w:rPr>
          <w:lang w:val="ka-GE"/>
        </w:rPr>
        <w:t xml:space="preserve"> </w:t>
      </w:r>
      <w:r w:rsidR="00C0515B" w:rsidRPr="005D2220">
        <w:rPr>
          <w:lang w:val="ka-GE"/>
        </w:rPr>
        <w:t xml:space="preserve">მისი </w:t>
      </w:r>
      <w:r w:rsidR="00007623">
        <w:rPr>
          <w:lang w:val="ka-GE"/>
        </w:rPr>
        <w:t>პოზიციით</w:t>
      </w:r>
      <w:r w:rsidR="00C0515B" w:rsidRPr="005D2220">
        <w:rPr>
          <w:lang w:val="ka-GE"/>
        </w:rPr>
        <w:t xml:space="preserve">, </w:t>
      </w:r>
      <w:r w:rsidR="00094ECC" w:rsidRPr="005D2220">
        <w:rPr>
          <w:lang w:val="ka-GE"/>
        </w:rPr>
        <w:t xml:space="preserve">ზოგადი ჩანაწერი, რომელიც სტაჟირების გავლის ვალდებულებისგან ათავისუფლებს ნოტარიუსის თანამდებობის </w:t>
      </w:r>
      <w:r w:rsidR="00CC53E5" w:rsidRPr="005D2220">
        <w:rPr>
          <w:lang w:val="ka-GE"/>
        </w:rPr>
        <w:t>დაკავების</w:t>
      </w:r>
      <w:r w:rsidR="00094ECC" w:rsidRPr="005D2220">
        <w:rPr>
          <w:lang w:val="ka-GE"/>
        </w:rPr>
        <w:t xml:space="preserve"> მსურველ კანდიდატს, რომელს</w:t>
      </w:r>
      <w:r w:rsidR="00E3124A" w:rsidRPr="005D2220">
        <w:rPr>
          <w:lang w:val="ka-GE"/>
        </w:rPr>
        <w:t>აც</w:t>
      </w:r>
      <w:r w:rsidR="00094ECC" w:rsidRPr="005D2220">
        <w:rPr>
          <w:lang w:val="ka-GE"/>
        </w:rPr>
        <w:t xml:space="preserve"> საჯარო სამსახურში</w:t>
      </w:r>
      <w:r w:rsidR="00EA3C5A" w:rsidRPr="005D2220">
        <w:rPr>
          <w:lang w:val="ka-GE"/>
        </w:rPr>
        <w:t xml:space="preserve"> სპეციალობით მუშაობის</w:t>
      </w:r>
      <w:r w:rsidR="00E3124A" w:rsidRPr="005D2220">
        <w:rPr>
          <w:lang w:val="ka-GE"/>
        </w:rPr>
        <w:t xml:space="preserve"> </w:t>
      </w:r>
      <w:r w:rsidR="004A255D">
        <w:rPr>
          <w:lang w:val="ka-GE"/>
        </w:rPr>
        <w:t>ხუთ</w:t>
      </w:r>
      <w:r w:rsidR="00E3124A" w:rsidRPr="005D2220">
        <w:rPr>
          <w:lang w:val="ka-GE"/>
        </w:rPr>
        <w:t>წლიანი სტაჟი აქვს</w:t>
      </w:r>
      <w:r w:rsidR="00094ECC" w:rsidRPr="005D2220">
        <w:rPr>
          <w:lang w:val="ka-GE"/>
        </w:rPr>
        <w:t xml:space="preserve">, </w:t>
      </w:r>
      <w:r w:rsidR="00C0515B" w:rsidRPr="005D2220">
        <w:rPr>
          <w:lang w:val="ka-GE"/>
        </w:rPr>
        <w:t>ლოგიკურ მოთხოვნას წარმოადგენს</w:t>
      </w:r>
      <w:r w:rsidR="00E3124A" w:rsidRPr="005D2220">
        <w:rPr>
          <w:lang w:val="ka-GE"/>
        </w:rPr>
        <w:t>.</w:t>
      </w:r>
      <w:r w:rsidR="00C0515B" w:rsidRPr="005D2220">
        <w:rPr>
          <w:lang w:val="ka-GE"/>
        </w:rPr>
        <w:t xml:space="preserve"> თუმცა მისი იმგვარი განმარტება, რომ ამ ჩანაწერიდან გამოირიცხებიან </w:t>
      </w:r>
      <w:r w:rsidR="00F852B2" w:rsidRPr="005D2220">
        <w:rPr>
          <w:lang w:val="ka-GE"/>
        </w:rPr>
        <w:t>საჯარო სამართლის იურიდიულ პირებში</w:t>
      </w:r>
      <w:r w:rsidR="00C0515B" w:rsidRPr="005D2220">
        <w:rPr>
          <w:lang w:val="ka-GE"/>
        </w:rPr>
        <w:t xml:space="preserve"> სპეციალობით მომუშავე პირები, რომელთა საქმიანობაც </w:t>
      </w:r>
      <w:r w:rsidR="00CC53E5" w:rsidRPr="005D2220">
        <w:rPr>
          <w:lang w:val="ka-GE"/>
        </w:rPr>
        <w:t>ფუნქციურად</w:t>
      </w:r>
      <w:r w:rsidR="00C0515B" w:rsidRPr="005D2220">
        <w:rPr>
          <w:lang w:val="ka-GE"/>
        </w:rPr>
        <w:t xml:space="preserve"> არ განსხვავდება საჯარო სამსახურში მომუშავე პირთა საქმიანობიდან, აზრს მოკლებულია. ამგვარი განმარტების </w:t>
      </w:r>
      <w:r w:rsidRPr="005D2220">
        <w:rPr>
          <w:lang w:val="ka-GE"/>
        </w:rPr>
        <w:t xml:space="preserve">პირობებში, ვიღებთ რეალობას, სადაც საჯარო სამსახურში სპეციალობით მომუშავე პირს, თუნდაც მას ჰქონდეს ყველაზე დაბალი რანგის წოდება და მისი საქმიანობა </w:t>
      </w:r>
      <w:r w:rsidR="00CC53E5" w:rsidRPr="005D2220">
        <w:rPr>
          <w:lang w:val="ka-GE"/>
        </w:rPr>
        <w:t>შემოიფარგლებოდეს</w:t>
      </w:r>
      <w:r w:rsidRPr="005D2220">
        <w:rPr>
          <w:lang w:val="ka-GE"/>
        </w:rPr>
        <w:t xml:space="preserve"> მხოლოდ მარტივი, ტექნიკური ხასიათის ფუნქციების განხორციელებით</w:t>
      </w:r>
      <w:r w:rsidR="007E0FBB" w:rsidRPr="005D2220">
        <w:rPr>
          <w:lang w:val="ka-GE"/>
        </w:rPr>
        <w:t>,</w:t>
      </w:r>
      <w:r w:rsidR="00094ECC" w:rsidRPr="005D2220">
        <w:rPr>
          <w:lang w:val="ka-GE"/>
        </w:rPr>
        <w:t xml:space="preserve"> უფლება აქვს სტაჟირების გარეშე დაიკავოს ნოტარიუსის თანამდებობა</w:t>
      </w:r>
      <w:r w:rsidR="0027010E">
        <w:rPr>
          <w:lang w:val="ka-GE"/>
        </w:rPr>
        <w:t>. მეორე მხრივ,</w:t>
      </w:r>
      <w:r w:rsidR="00094ECC" w:rsidRPr="005D2220">
        <w:rPr>
          <w:lang w:val="ka-GE"/>
        </w:rPr>
        <w:t xml:space="preserve"> ასეთი შესაძლებლობა ერთმევა </w:t>
      </w:r>
      <w:r w:rsidR="00F852B2" w:rsidRPr="005D2220">
        <w:rPr>
          <w:lang w:val="ka-GE"/>
        </w:rPr>
        <w:t>საჯარო სამართლის იურიდიულ პირებში</w:t>
      </w:r>
      <w:r w:rsidR="00094ECC" w:rsidRPr="005D2220">
        <w:rPr>
          <w:lang w:val="ka-GE"/>
        </w:rPr>
        <w:t xml:space="preserve"> სპეციალობით მომუშავე ყველაზე მაღალი რანგის თანამშრომ</w:t>
      </w:r>
      <w:r w:rsidR="0027010E">
        <w:rPr>
          <w:lang w:val="ka-GE"/>
        </w:rPr>
        <w:t>ლებ</w:t>
      </w:r>
      <w:r w:rsidR="00094ECC" w:rsidRPr="005D2220">
        <w:rPr>
          <w:lang w:val="ka-GE"/>
        </w:rPr>
        <w:t>საც კი</w:t>
      </w:r>
      <w:r w:rsidR="00C0515B" w:rsidRPr="005D2220">
        <w:rPr>
          <w:lang w:val="ka-GE"/>
        </w:rPr>
        <w:t xml:space="preserve">, რაც წინააღმდეგობაში მოდის </w:t>
      </w:r>
      <w:r w:rsidR="0027010E">
        <w:rPr>
          <w:lang w:val="ka-GE"/>
        </w:rPr>
        <w:t>თანასწორობის კონსტიტუციურ უფლებასთან</w:t>
      </w:r>
      <w:r w:rsidR="00C0515B" w:rsidRPr="005D2220">
        <w:rPr>
          <w:lang w:val="ka-GE"/>
        </w:rPr>
        <w:t xml:space="preserve">. </w:t>
      </w:r>
    </w:p>
    <w:p w14:paraId="70D57DC0" w14:textId="77777777" w:rsidR="00855799" w:rsidRPr="005D7CF7" w:rsidRDefault="00250386" w:rsidP="00DC1AD2">
      <w:pPr>
        <w:pStyle w:val="ListParagraph"/>
        <w:numPr>
          <w:ilvl w:val="0"/>
          <w:numId w:val="1"/>
        </w:numPr>
        <w:ind w:left="0" w:firstLine="284"/>
        <w:rPr>
          <w:lang w:val="ka-GE"/>
        </w:rPr>
      </w:pPr>
      <w:r w:rsidRPr="005D7CF7">
        <w:rPr>
          <w:lang w:val="ka-GE"/>
        </w:rPr>
        <w:lastRenderedPageBreak/>
        <w:t>მოსარჩელე მხარე</w:t>
      </w:r>
      <w:r w:rsidR="00CF19DE" w:rsidRPr="005D7CF7">
        <w:rPr>
          <w:lang w:val="ka-GE"/>
        </w:rPr>
        <w:t>,</w:t>
      </w:r>
      <w:r w:rsidRPr="005D7CF7">
        <w:rPr>
          <w:lang w:val="ka-GE"/>
        </w:rPr>
        <w:t xml:space="preserve"> </w:t>
      </w:r>
      <w:r w:rsidR="00855799" w:rsidRPr="005D7CF7">
        <w:rPr>
          <w:lang w:val="ka-GE"/>
        </w:rPr>
        <w:t>საკუთარი არგუმენტაციის გასამყარებლად</w:t>
      </w:r>
      <w:r w:rsidR="00CF19DE" w:rsidRPr="005D7CF7">
        <w:rPr>
          <w:lang w:val="ka-GE"/>
        </w:rPr>
        <w:t>,</w:t>
      </w:r>
      <w:r w:rsidR="00855799" w:rsidRPr="005D7CF7">
        <w:rPr>
          <w:lang w:val="ka-GE"/>
        </w:rPr>
        <w:t xml:space="preserve"> </w:t>
      </w:r>
      <w:r w:rsidRPr="005D7CF7">
        <w:rPr>
          <w:lang w:val="ka-GE"/>
        </w:rPr>
        <w:t>იშველიებს</w:t>
      </w:r>
      <w:r w:rsidR="00855799" w:rsidRPr="005D7CF7">
        <w:rPr>
          <w:lang w:val="ka-GE"/>
        </w:rPr>
        <w:t xml:space="preserve"> საქართველოს საკონსტიტუციო სასამართლოს</w:t>
      </w:r>
      <w:r w:rsidR="00C0515B" w:rsidRPr="005D7CF7">
        <w:rPr>
          <w:lang w:val="ka-GE"/>
        </w:rPr>
        <w:t xml:space="preserve"> </w:t>
      </w:r>
      <w:r w:rsidR="008C6AE9" w:rsidRPr="005D7CF7">
        <w:rPr>
          <w:lang w:val="ka-GE"/>
        </w:rPr>
        <w:t>პრაქტიკას</w:t>
      </w:r>
      <w:r w:rsidR="00A46BBA" w:rsidRPr="005D7CF7">
        <w:rPr>
          <w:lang w:val="ka-GE"/>
        </w:rPr>
        <w:t>.</w:t>
      </w:r>
    </w:p>
    <w:p w14:paraId="4946277F" w14:textId="77777777" w:rsidR="00DD6443" w:rsidRDefault="00DD6443" w:rsidP="00DC1AD2">
      <w:pPr>
        <w:pStyle w:val="ListParagraph"/>
        <w:ind w:left="0" w:firstLine="284"/>
        <w:rPr>
          <w:lang w:val="ka-GE"/>
        </w:rPr>
      </w:pPr>
    </w:p>
    <w:p w14:paraId="23661538" w14:textId="77777777" w:rsidR="00243BCA" w:rsidRPr="005D7CF7" w:rsidRDefault="00243BCA" w:rsidP="00DC1AD2">
      <w:pPr>
        <w:pStyle w:val="ListParagraph"/>
        <w:ind w:left="0" w:firstLine="284"/>
        <w:rPr>
          <w:lang w:val="ka-GE"/>
        </w:rPr>
      </w:pPr>
    </w:p>
    <w:p w14:paraId="1E48D645" w14:textId="77777777" w:rsidR="005C65E4" w:rsidRPr="005D7CF7" w:rsidRDefault="005C65E4" w:rsidP="00DC1AD2">
      <w:pPr>
        <w:pStyle w:val="Heading1"/>
      </w:pPr>
      <w:r w:rsidRPr="005D7CF7">
        <w:t>II</w:t>
      </w:r>
      <w:r w:rsidR="00DC1AD2" w:rsidRPr="005D7CF7">
        <w:br/>
      </w:r>
      <w:r w:rsidRPr="005D7CF7">
        <w:t>სამოტივაციო ნაწილი</w:t>
      </w:r>
    </w:p>
    <w:p w14:paraId="6B50CF22" w14:textId="77777777" w:rsidR="00DD6443" w:rsidRPr="005D7CF7" w:rsidRDefault="00DD6443" w:rsidP="00DC1AD2">
      <w:pPr>
        <w:ind w:firstLine="284"/>
        <w:rPr>
          <w:lang w:val="ka-GE"/>
        </w:rPr>
      </w:pPr>
    </w:p>
    <w:p w14:paraId="162742CA" w14:textId="77777777" w:rsidR="00C62125" w:rsidRPr="005D7CF7" w:rsidRDefault="000B28F8" w:rsidP="00DC1AD2">
      <w:pPr>
        <w:pStyle w:val="ListParagraph"/>
        <w:numPr>
          <w:ilvl w:val="0"/>
          <w:numId w:val="2"/>
        </w:numPr>
        <w:ind w:left="0" w:firstLine="284"/>
        <w:rPr>
          <w:lang w:val="ka-GE"/>
        </w:rPr>
      </w:pPr>
      <w:r w:rsidRPr="005D7CF7">
        <w:rPr>
          <w:lang w:val="ka-GE"/>
        </w:rPr>
        <w:t xml:space="preserve">საქართველოს </w:t>
      </w:r>
      <w:r w:rsidR="00E9129C" w:rsidRPr="005D7CF7">
        <w:rPr>
          <w:lang w:val="ka-GE"/>
        </w:rPr>
        <w:t>საკონსტიტუციო სასამართლოს მეორე კოლეგია მიიჩნევს, რომ №</w:t>
      </w:r>
      <w:r w:rsidR="008262ED" w:rsidRPr="005D7CF7">
        <w:rPr>
          <w:lang w:val="ka-GE"/>
        </w:rPr>
        <w:t>1532</w:t>
      </w:r>
      <w:r w:rsidR="00E9129C" w:rsidRPr="005D7CF7">
        <w:rPr>
          <w:lang w:val="ka-GE"/>
        </w:rPr>
        <w:t xml:space="preserve"> კონსტიტუციური სარჩელი სრულად აკმაყოფილებს „საქართველოს საკონსტიტუციო სასამართლოს შესახებ“ საქართველოს ორგანული კანონის </w:t>
      </w:r>
      <w:r w:rsidRPr="005D7CF7">
        <w:rPr>
          <w:lang w:val="ka-GE"/>
        </w:rPr>
        <w:t xml:space="preserve"> </w:t>
      </w:r>
      <w:r w:rsidR="00A33C07" w:rsidRPr="005D7CF7">
        <w:rPr>
          <w:lang w:val="ka-GE"/>
        </w:rPr>
        <w:t>31</w:t>
      </w:r>
      <w:r w:rsidR="00A33C07" w:rsidRPr="005D7CF7">
        <w:rPr>
          <w:vertAlign w:val="superscript"/>
          <w:lang w:val="ka-GE"/>
        </w:rPr>
        <w:t>1</w:t>
      </w:r>
      <w:r w:rsidR="00A33C07" w:rsidRPr="005D7CF7">
        <w:rPr>
          <w:lang w:val="ka-GE"/>
        </w:rPr>
        <w:t xml:space="preserve"> მუხლის პირველი და მე-2 პუნქტების მოთხოვნებს და არ არსებობს ამ კანონის 31</w:t>
      </w:r>
      <w:r w:rsidR="00A33C07" w:rsidRPr="005D7CF7">
        <w:rPr>
          <w:vertAlign w:val="superscript"/>
          <w:lang w:val="ka-GE"/>
        </w:rPr>
        <w:t>3</w:t>
      </w:r>
      <w:r w:rsidR="00A33C07" w:rsidRPr="005D7CF7">
        <w:rPr>
          <w:lang w:val="ka-GE"/>
        </w:rPr>
        <w:t xml:space="preserve"> მუხლის პირველი პუნქტით გათვალისწინებული კონსტიტუციური სარჩელის არსებითად </w:t>
      </w:r>
      <w:r w:rsidR="00887598" w:rsidRPr="005D7CF7">
        <w:rPr>
          <w:lang w:val="ka-GE"/>
        </w:rPr>
        <w:t>განსახილველად მიღებაზე უარის თქმის რომელიმე საფუძველი.</w:t>
      </w:r>
    </w:p>
    <w:p w14:paraId="7B3A0789" w14:textId="77777777" w:rsidR="00DB259F" w:rsidRDefault="00DB259F" w:rsidP="00DC1AD2">
      <w:pPr>
        <w:ind w:firstLine="284"/>
        <w:contextualSpacing/>
        <w:rPr>
          <w:b/>
          <w:bCs/>
          <w:lang w:val="ka-GE"/>
        </w:rPr>
      </w:pPr>
    </w:p>
    <w:p w14:paraId="7C400FE5" w14:textId="77777777" w:rsidR="002F2F00" w:rsidRPr="005D7CF7" w:rsidRDefault="002F2F00" w:rsidP="00DC1AD2">
      <w:pPr>
        <w:ind w:firstLine="284"/>
        <w:contextualSpacing/>
        <w:rPr>
          <w:b/>
          <w:bCs/>
          <w:lang w:val="ka-GE"/>
        </w:rPr>
      </w:pPr>
    </w:p>
    <w:p w14:paraId="40AED195" w14:textId="77777777" w:rsidR="005C65E4" w:rsidRPr="005D7CF7" w:rsidRDefault="005C65E4" w:rsidP="00DC1AD2">
      <w:pPr>
        <w:pStyle w:val="Heading1"/>
      </w:pPr>
      <w:r w:rsidRPr="005D7CF7">
        <w:t>III</w:t>
      </w:r>
      <w:r w:rsidR="00DC1AD2" w:rsidRPr="005D7CF7">
        <w:br/>
      </w:r>
      <w:r w:rsidRPr="005D7CF7">
        <w:t>სარეზოლუციო ნაწილი</w:t>
      </w:r>
    </w:p>
    <w:p w14:paraId="0DAB11AE" w14:textId="77777777" w:rsidR="00C62125" w:rsidRPr="005D7CF7" w:rsidRDefault="00C62125" w:rsidP="00DC1AD2">
      <w:pPr>
        <w:ind w:firstLine="284"/>
        <w:rPr>
          <w:lang w:val="ka-GE"/>
        </w:rPr>
      </w:pPr>
    </w:p>
    <w:p w14:paraId="76D1FDCD" w14:textId="77777777" w:rsidR="00D74343" w:rsidRPr="005D7CF7" w:rsidRDefault="00C62125" w:rsidP="00DC1AD2">
      <w:pPr>
        <w:ind w:firstLine="284"/>
        <w:rPr>
          <w:rFonts w:eastAsia="Times New Roman" w:cs="Arial"/>
          <w:lang w:val="ka-GE" w:eastAsia="x-none"/>
        </w:rPr>
      </w:pPr>
      <w:r w:rsidRPr="005D7CF7">
        <w:rPr>
          <w:rFonts w:eastAsia="Times New Roman" w:cs="Arial"/>
          <w:lang w:val="ka-GE" w:eastAsia="x-none"/>
        </w:rPr>
        <w:t>საქართველოს კონსტიტუციის მე-60 მუხლის მე-4 პუნქტის „ა“ ქვეპუნქტის,  „საქართველოს საკონსტიტუციო სასამართლოს შესახებ“ საქართველოს ორგანული კანონის მე-19 მუხლის პირველი პუნქტის „ე“ ქვეპუნქტის, 21-ე მუხლის მე-2 პუნქტის, 27</w:t>
      </w:r>
      <w:r w:rsidRPr="005D7CF7">
        <w:rPr>
          <w:rFonts w:eastAsia="Times New Roman" w:cs="Arial"/>
          <w:vertAlign w:val="superscript"/>
          <w:lang w:val="ka-GE" w:eastAsia="x-none"/>
        </w:rPr>
        <w:t>1</w:t>
      </w:r>
      <w:r w:rsidRPr="005D7CF7">
        <w:rPr>
          <w:rFonts w:eastAsia="Times New Roman" w:cs="Arial"/>
          <w:lang w:val="ka-GE" w:eastAsia="x-none"/>
        </w:rPr>
        <w:t xml:space="preserve"> მუხლის მე-2 </w:t>
      </w:r>
      <w:r w:rsidR="009B4CB7" w:rsidRPr="005D7CF7">
        <w:rPr>
          <w:rFonts w:eastAsia="Times New Roman" w:cs="Arial"/>
          <w:lang w:val="ka-GE" w:eastAsia="x-none"/>
        </w:rPr>
        <w:t>და მე-3 პუნქტების,</w:t>
      </w:r>
      <w:r w:rsidRPr="005D7CF7">
        <w:rPr>
          <w:rFonts w:eastAsia="Times New Roman" w:cs="Arial"/>
          <w:lang w:val="ka-GE" w:eastAsia="x-none"/>
        </w:rPr>
        <w:t xml:space="preserve"> 31-ე მუხლის პირველი და მე-2 პუნქტების, 31</w:t>
      </w:r>
      <w:r w:rsidRPr="005D7CF7">
        <w:rPr>
          <w:rFonts w:eastAsia="Times New Roman" w:cs="Arial"/>
          <w:vertAlign w:val="superscript"/>
          <w:lang w:val="ka-GE" w:eastAsia="x-none"/>
        </w:rPr>
        <w:t>1</w:t>
      </w:r>
      <w:r w:rsidRPr="005D7CF7">
        <w:rPr>
          <w:rFonts w:eastAsia="Times New Roman" w:cs="Arial"/>
          <w:lang w:val="ka-GE" w:eastAsia="x-none"/>
        </w:rPr>
        <w:t xml:space="preserve"> მუხლის პირველი </w:t>
      </w:r>
      <w:r w:rsidR="00A14FCB" w:rsidRPr="005D7CF7">
        <w:rPr>
          <w:rFonts w:eastAsia="Times New Roman" w:cs="Arial"/>
          <w:lang w:val="ka-GE" w:eastAsia="x-none"/>
        </w:rPr>
        <w:t xml:space="preserve">და მე-2 პუნქტების, </w:t>
      </w:r>
      <w:r w:rsidRPr="005D7CF7">
        <w:rPr>
          <w:rFonts w:eastAsia="Times New Roman" w:cs="Arial"/>
          <w:lang w:val="ka-GE" w:eastAsia="x-none"/>
        </w:rPr>
        <w:t>31</w:t>
      </w:r>
      <w:r w:rsidRPr="005D7CF7">
        <w:rPr>
          <w:rFonts w:eastAsia="Times New Roman" w:cs="Arial"/>
          <w:vertAlign w:val="superscript"/>
          <w:lang w:val="ka-GE" w:eastAsia="x-none"/>
        </w:rPr>
        <w:t>2</w:t>
      </w:r>
      <w:r w:rsidRPr="005D7CF7">
        <w:rPr>
          <w:rFonts w:eastAsia="Times New Roman" w:cs="Arial"/>
          <w:lang w:val="ka-GE" w:eastAsia="x-none"/>
        </w:rPr>
        <w:t xml:space="preserve"> მუხლის მე-8 პუნქტის, 31</w:t>
      </w:r>
      <w:r w:rsidRPr="005D7CF7">
        <w:rPr>
          <w:rFonts w:eastAsia="Times New Roman" w:cs="Arial"/>
          <w:vertAlign w:val="superscript"/>
          <w:lang w:val="ka-GE" w:eastAsia="x-none"/>
        </w:rPr>
        <w:t>3</w:t>
      </w:r>
      <w:r w:rsidRPr="005D7CF7">
        <w:rPr>
          <w:rFonts w:eastAsia="Times New Roman" w:cs="Arial"/>
          <w:lang w:val="ka-GE" w:eastAsia="x-none"/>
        </w:rPr>
        <w:t xml:space="preserve"> მუხლის პირველი პუნქტის</w:t>
      </w:r>
      <w:r w:rsidR="00152847" w:rsidRPr="005D7CF7">
        <w:rPr>
          <w:rFonts w:eastAsia="Times New Roman" w:cs="Arial"/>
          <w:lang w:val="ka-GE" w:eastAsia="x-none"/>
        </w:rPr>
        <w:t xml:space="preserve">, </w:t>
      </w:r>
      <w:r w:rsidRPr="005D7CF7">
        <w:rPr>
          <w:rFonts w:eastAsia="Times New Roman" w:cs="Arial"/>
          <w:lang w:val="ka-GE" w:eastAsia="x-none"/>
        </w:rPr>
        <w:t>31</w:t>
      </w:r>
      <w:r w:rsidRPr="005D7CF7">
        <w:rPr>
          <w:rFonts w:eastAsia="Times New Roman" w:cs="Arial"/>
          <w:vertAlign w:val="superscript"/>
          <w:lang w:val="ka-GE" w:eastAsia="x-none"/>
        </w:rPr>
        <w:t>5</w:t>
      </w:r>
      <w:r w:rsidR="00152847" w:rsidRPr="005D7CF7">
        <w:rPr>
          <w:rFonts w:eastAsia="Times New Roman" w:cs="Arial"/>
          <w:lang w:val="ka-GE" w:eastAsia="x-none"/>
        </w:rPr>
        <w:t xml:space="preserve"> მუხლის პირველი, მე-2</w:t>
      </w:r>
      <w:r w:rsidRPr="005D7CF7">
        <w:rPr>
          <w:rFonts w:eastAsia="Times New Roman" w:cs="Arial"/>
          <w:lang w:val="ka-GE" w:eastAsia="x-none"/>
        </w:rPr>
        <w:t xml:space="preserve">, </w:t>
      </w:r>
      <w:r w:rsidR="00152847" w:rsidRPr="005D7CF7">
        <w:rPr>
          <w:rFonts w:eastAsia="Times New Roman" w:cs="Arial"/>
          <w:lang w:val="ka-GE" w:eastAsia="x-none"/>
        </w:rPr>
        <w:t xml:space="preserve">მე-3, </w:t>
      </w:r>
      <w:r w:rsidRPr="005D7CF7">
        <w:rPr>
          <w:rFonts w:eastAsia="Times New Roman" w:cs="Arial"/>
          <w:lang w:val="ka-GE" w:eastAsia="x-none"/>
        </w:rPr>
        <w:t>მე-4 და მე-7 პუნქტების, 31</w:t>
      </w:r>
      <w:r w:rsidRPr="005D7CF7">
        <w:rPr>
          <w:rFonts w:eastAsia="Times New Roman" w:cs="Arial"/>
          <w:vertAlign w:val="superscript"/>
          <w:lang w:val="ka-GE" w:eastAsia="x-none"/>
        </w:rPr>
        <w:t>6</w:t>
      </w:r>
      <w:r w:rsidRPr="005D7CF7">
        <w:rPr>
          <w:rFonts w:eastAsia="Times New Roman" w:cs="Arial"/>
          <w:lang w:val="ka-GE" w:eastAsia="x-none"/>
        </w:rPr>
        <w:t xml:space="preserve"> მუხლის </w:t>
      </w:r>
      <w:r w:rsidR="00152847" w:rsidRPr="005D7CF7">
        <w:rPr>
          <w:rFonts w:eastAsia="Times New Roman" w:cs="Arial"/>
          <w:lang w:val="ka-GE" w:eastAsia="x-none"/>
        </w:rPr>
        <w:t>პირველი</w:t>
      </w:r>
      <w:r w:rsidRPr="005D7CF7">
        <w:rPr>
          <w:rFonts w:eastAsia="Times New Roman" w:cs="Arial"/>
          <w:lang w:val="ka-GE" w:eastAsia="x-none"/>
        </w:rPr>
        <w:t xml:space="preserve"> პუნქტის</w:t>
      </w:r>
      <w:r w:rsidR="00FE785D" w:rsidRPr="005D7CF7">
        <w:rPr>
          <w:rFonts w:eastAsia="Times New Roman" w:cs="Arial"/>
          <w:lang w:val="ka-GE" w:eastAsia="x-none"/>
        </w:rPr>
        <w:t>, 39-ე მუხლის პირველი პუნქტის „ა</w:t>
      </w:r>
      <w:r w:rsidRPr="005D7CF7">
        <w:rPr>
          <w:rFonts w:eastAsia="Times New Roman" w:cs="Arial"/>
          <w:lang w:val="ka-GE" w:eastAsia="x-none"/>
        </w:rPr>
        <w:t>“ ქვეპუნქტის</w:t>
      </w:r>
      <w:r w:rsidR="00015A34" w:rsidRPr="005D7CF7">
        <w:rPr>
          <w:rFonts w:eastAsia="Times New Roman" w:cs="Arial"/>
          <w:lang w:val="ka-GE" w:eastAsia="x-none"/>
        </w:rPr>
        <w:t xml:space="preserve"> და მე-2 პუნქტის</w:t>
      </w:r>
      <w:r w:rsidRPr="005D7CF7">
        <w:rPr>
          <w:rFonts w:eastAsia="Times New Roman" w:cs="Arial"/>
          <w:lang w:val="ka-GE" w:eastAsia="x-none"/>
        </w:rPr>
        <w:t xml:space="preserve">, 43-ე </w:t>
      </w:r>
      <w:r w:rsidR="00D74343" w:rsidRPr="005D7CF7">
        <w:rPr>
          <w:rFonts w:eastAsia="Times New Roman" w:cs="Arial"/>
          <w:lang w:val="ka-GE" w:eastAsia="x-none"/>
        </w:rPr>
        <w:t xml:space="preserve">მუხლის პირველი, მე-2, მე-5, </w:t>
      </w:r>
      <w:r w:rsidRPr="005D7CF7">
        <w:rPr>
          <w:rFonts w:eastAsia="Times New Roman" w:cs="Arial"/>
          <w:lang w:val="ka-GE" w:eastAsia="x-none"/>
        </w:rPr>
        <w:t>მე-8, მე-10 და</w:t>
      </w:r>
      <w:r w:rsidR="00D74343" w:rsidRPr="005D7CF7">
        <w:rPr>
          <w:rFonts w:eastAsia="Times New Roman" w:cs="Arial"/>
          <w:lang w:val="ka-GE" w:eastAsia="x-none"/>
        </w:rPr>
        <w:t xml:space="preserve"> მე-13 პუნქტების საფუძველზე,</w:t>
      </w:r>
    </w:p>
    <w:p w14:paraId="71028726" w14:textId="77777777" w:rsidR="00015A34" w:rsidRPr="005D7CF7" w:rsidRDefault="00015A34" w:rsidP="00DC1AD2">
      <w:pPr>
        <w:tabs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284"/>
        <w:rPr>
          <w:rFonts w:eastAsia="Times New Roman" w:cs="Arial"/>
          <w:lang w:val="ka-GE" w:eastAsia="x-none"/>
        </w:rPr>
      </w:pPr>
    </w:p>
    <w:p w14:paraId="0907A961" w14:textId="77777777" w:rsidR="00C62125" w:rsidRPr="005D7CF7" w:rsidRDefault="00C62125" w:rsidP="00DC1AD2">
      <w:pPr>
        <w:ind w:firstLine="0"/>
        <w:contextualSpacing/>
        <w:jc w:val="center"/>
        <w:rPr>
          <w:b/>
          <w:bCs/>
          <w:lang w:val="ka-GE"/>
        </w:rPr>
      </w:pPr>
      <w:r w:rsidRPr="005D7CF7">
        <w:rPr>
          <w:b/>
          <w:bCs/>
          <w:lang w:val="ka-GE"/>
        </w:rPr>
        <w:t>საქართველოს საკონსტიტუციო სასამართლო</w:t>
      </w:r>
    </w:p>
    <w:p w14:paraId="05F9A95C" w14:textId="77777777" w:rsidR="00C62125" w:rsidRPr="005D7CF7" w:rsidRDefault="00C62125" w:rsidP="00DC1AD2">
      <w:pPr>
        <w:ind w:firstLine="0"/>
        <w:contextualSpacing/>
        <w:jc w:val="center"/>
        <w:rPr>
          <w:b/>
          <w:bCs/>
          <w:lang w:val="ka-GE"/>
        </w:rPr>
      </w:pPr>
      <w:r w:rsidRPr="005D7CF7">
        <w:rPr>
          <w:b/>
          <w:bCs/>
          <w:lang w:val="ka-GE"/>
        </w:rPr>
        <w:t>ა დ გ ე ნ ს:</w:t>
      </w:r>
    </w:p>
    <w:p w14:paraId="55E2EDF6" w14:textId="77777777" w:rsidR="00C62125" w:rsidRPr="005D7CF7" w:rsidRDefault="00C62125" w:rsidP="00DC1AD2">
      <w:pPr>
        <w:ind w:firstLine="284"/>
        <w:contextualSpacing/>
        <w:jc w:val="center"/>
        <w:rPr>
          <w:b/>
          <w:bCs/>
          <w:lang w:val="ka-GE"/>
        </w:rPr>
      </w:pPr>
    </w:p>
    <w:p w14:paraId="7DCFD167" w14:textId="77777777" w:rsidR="00D74343" w:rsidRPr="005D7CF7" w:rsidRDefault="00D74343" w:rsidP="00DC1AD2">
      <w:pPr>
        <w:numPr>
          <w:ilvl w:val="0"/>
          <w:numId w:val="9"/>
        </w:numPr>
        <w:ind w:left="0" w:firstLine="284"/>
        <w:contextualSpacing/>
        <w:rPr>
          <w:rFonts w:cs="Sylfaen"/>
          <w:lang w:val="ka-GE"/>
        </w:rPr>
      </w:pPr>
      <w:r w:rsidRPr="005D7CF7">
        <w:rPr>
          <w:rFonts w:cs="Sylfaen"/>
          <w:lang w:val="ka-GE"/>
        </w:rPr>
        <w:t>მიღებულ იქნეს</w:t>
      </w:r>
      <w:r w:rsidR="00C62125" w:rsidRPr="005D7CF7">
        <w:rPr>
          <w:rFonts w:cs="Sylfaen"/>
          <w:lang w:val="ka-GE"/>
        </w:rPr>
        <w:t xml:space="preserve"> არსებითად განსახილველად</w:t>
      </w:r>
      <w:r w:rsidRPr="005D7CF7">
        <w:rPr>
          <w:rFonts w:cs="Sylfaen"/>
          <w:lang w:val="ka-GE"/>
        </w:rPr>
        <w:t xml:space="preserve"> №</w:t>
      </w:r>
      <w:r w:rsidR="008262ED" w:rsidRPr="005D7CF7">
        <w:rPr>
          <w:rFonts w:cs="Sylfaen"/>
          <w:lang w:val="ka-GE"/>
        </w:rPr>
        <w:t>1532</w:t>
      </w:r>
      <w:r w:rsidRPr="005D7CF7">
        <w:rPr>
          <w:rFonts w:cs="Sylfaen"/>
          <w:lang w:val="ka-GE"/>
        </w:rPr>
        <w:t xml:space="preserve"> </w:t>
      </w:r>
      <w:r w:rsidR="00C62125" w:rsidRPr="005D7CF7">
        <w:rPr>
          <w:rFonts w:cs="Sylfaen"/>
          <w:lang w:val="ka-GE"/>
        </w:rPr>
        <w:t xml:space="preserve">კონსტიტუციური სარჩელი </w:t>
      </w:r>
      <w:r w:rsidR="00BE3D86" w:rsidRPr="005D7CF7">
        <w:rPr>
          <w:rFonts w:cs="Sylfaen"/>
          <w:lang w:val="ka-GE"/>
        </w:rPr>
        <w:t>(„</w:t>
      </w:r>
      <w:r w:rsidR="0010543D" w:rsidRPr="005D7CF7">
        <w:rPr>
          <w:lang w:val="ka-GE"/>
        </w:rPr>
        <w:t>გიორგი გოცაძე საქართველოს პარლამენტის წინააღმდეგ</w:t>
      </w:r>
      <w:r w:rsidR="007A6EB6" w:rsidRPr="005D7CF7">
        <w:rPr>
          <w:rFonts w:cs="Sylfaen"/>
          <w:lang w:val="ka-GE"/>
        </w:rPr>
        <w:t>“).</w:t>
      </w:r>
    </w:p>
    <w:p w14:paraId="28A150DC" w14:textId="77777777" w:rsidR="00D74343" w:rsidRPr="005D7CF7" w:rsidRDefault="00D74343" w:rsidP="00DC1AD2">
      <w:pPr>
        <w:numPr>
          <w:ilvl w:val="0"/>
          <w:numId w:val="9"/>
        </w:numPr>
        <w:tabs>
          <w:tab w:val="left" w:pos="720"/>
          <w:tab w:val="left" w:pos="810"/>
        </w:tabs>
        <w:ind w:left="0" w:firstLine="284"/>
        <w:contextualSpacing/>
        <w:rPr>
          <w:rFonts w:cs="Sylfaen"/>
          <w:lang w:val="ka-GE"/>
        </w:rPr>
      </w:pPr>
      <w:r w:rsidRPr="005D7CF7">
        <w:rPr>
          <w:rFonts w:cs="Sylfaen"/>
          <w:lang w:val="ka-GE"/>
        </w:rPr>
        <w:t xml:space="preserve">საქმეს არსებითად განიხილავს საქართველოს საკონსტიტუციო სასამართლოს </w:t>
      </w:r>
      <w:r w:rsidR="00EB2874" w:rsidRPr="005D7CF7">
        <w:rPr>
          <w:rFonts w:cs="Sylfaen"/>
          <w:lang w:val="ka-GE"/>
        </w:rPr>
        <w:t>მეორე კოლეგია.</w:t>
      </w:r>
    </w:p>
    <w:p w14:paraId="4FA7C5E3" w14:textId="77777777" w:rsidR="00D74343" w:rsidRPr="005D7CF7" w:rsidRDefault="00D74343" w:rsidP="00DC1AD2">
      <w:pPr>
        <w:numPr>
          <w:ilvl w:val="0"/>
          <w:numId w:val="9"/>
        </w:numPr>
        <w:ind w:left="0" w:firstLine="284"/>
        <w:contextualSpacing/>
        <w:rPr>
          <w:rFonts w:cs="Sylfaen"/>
          <w:lang w:val="ka-GE"/>
        </w:rPr>
      </w:pPr>
      <w:r w:rsidRPr="005D7CF7">
        <w:rPr>
          <w:rFonts w:cs="Sylfaen"/>
          <w:lang w:val="ka-GE"/>
        </w:rPr>
        <w:t>საქმის არსებითი განხილვა დაიწყება „საქართველოს საკონსტიტუციო სასამართლოს შესახებ“ საქართველოს ორგანული კანონის 22-ე მუხლის პირველი პუნქტის შესაბამისად.</w:t>
      </w:r>
    </w:p>
    <w:p w14:paraId="725F779E" w14:textId="77777777" w:rsidR="00D74343" w:rsidRPr="005D7CF7" w:rsidRDefault="00D74343" w:rsidP="00DC1AD2">
      <w:pPr>
        <w:numPr>
          <w:ilvl w:val="0"/>
          <w:numId w:val="9"/>
        </w:numPr>
        <w:ind w:left="0" w:firstLine="284"/>
        <w:contextualSpacing/>
        <w:rPr>
          <w:rFonts w:cs="Sylfaen"/>
          <w:lang w:val="ka-GE"/>
        </w:rPr>
      </w:pPr>
      <w:r w:rsidRPr="005D7CF7">
        <w:rPr>
          <w:rFonts w:cs="Sylfaen"/>
          <w:lang w:val="ka-GE"/>
        </w:rPr>
        <w:lastRenderedPageBreak/>
        <w:t>საოქმო ჩანაწერი საბოლოოა და გასაჩივრებას ან გადასინჯვას არ ექვემდებარება.</w:t>
      </w:r>
    </w:p>
    <w:p w14:paraId="537CE6A7" w14:textId="77777777" w:rsidR="00E85D37" w:rsidRPr="005D7CF7" w:rsidRDefault="00D74343" w:rsidP="00DC1AD2">
      <w:pPr>
        <w:numPr>
          <w:ilvl w:val="0"/>
          <w:numId w:val="9"/>
        </w:numPr>
        <w:ind w:left="0" w:firstLine="284"/>
        <w:contextualSpacing/>
        <w:rPr>
          <w:rFonts w:cs="Sylfaen"/>
          <w:lang w:val="ka-GE"/>
        </w:rPr>
      </w:pPr>
      <w:r w:rsidRPr="005D7CF7">
        <w:rPr>
          <w:rFonts w:cs="Sylfaen"/>
          <w:lang w:val="ka-GE"/>
        </w:rPr>
        <w:t>საოქმო ჩანაწერი გამოქვეყნდეს საქართველოს საკონსტიტუციო სასამართლოს ვებგვერდზე 15 დღის ვადაში, გაეგზავნოს მხარეებს და „საქართველოს საკანონმდებლო მაცნეს“.</w:t>
      </w:r>
    </w:p>
    <w:p w14:paraId="79A9710D" w14:textId="77777777" w:rsidR="00531358" w:rsidRPr="005D7CF7" w:rsidRDefault="00531358" w:rsidP="00DC1AD2">
      <w:pPr>
        <w:tabs>
          <w:tab w:val="left" w:pos="720"/>
          <w:tab w:val="left" w:pos="810"/>
        </w:tabs>
        <w:ind w:firstLine="284"/>
        <w:contextualSpacing/>
        <w:rPr>
          <w:rFonts w:cs="Sylfaen"/>
          <w:lang w:val="ka-GE"/>
        </w:rPr>
      </w:pPr>
    </w:p>
    <w:p w14:paraId="7462FE80" w14:textId="77777777" w:rsidR="004561E1" w:rsidRPr="005D7CF7" w:rsidRDefault="004561E1" w:rsidP="00DC1AD2">
      <w:pPr>
        <w:tabs>
          <w:tab w:val="left" w:pos="720"/>
          <w:tab w:val="left" w:pos="810"/>
        </w:tabs>
        <w:ind w:firstLine="284"/>
        <w:contextualSpacing/>
        <w:rPr>
          <w:rFonts w:cs="Sylfaen"/>
          <w:lang w:val="ka-GE"/>
        </w:rPr>
      </w:pPr>
    </w:p>
    <w:p w14:paraId="14CA5B3B" w14:textId="77777777" w:rsidR="009C5CC4" w:rsidRPr="005D7CF7" w:rsidRDefault="009C5CC4" w:rsidP="00DC1AD2">
      <w:pPr>
        <w:autoSpaceDE w:val="0"/>
        <w:autoSpaceDN w:val="0"/>
        <w:adjustRightInd w:val="0"/>
        <w:ind w:firstLine="284"/>
        <w:contextualSpacing/>
        <w:rPr>
          <w:rFonts w:cs="Sylfaen"/>
          <w:b/>
          <w:bCs/>
          <w:lang w:val="ka-GE"/>
        </w:rPr>
      </w:pPr>
      <w:r w:rsidRPr="005D7CF7">
        <w:rPr>
          <w:rFonts w:cs="Sylfaen"/>
          <w:b/>
          <w:bCs/>
          <w:lang w:val="ka-GE"/>
        </w:rPr>
        <w:t>კოლეგიის შემადგენლობა:</w:t>
      </w:r>
    </w:p>
    <w:p w14:paraId="321A9B1C" w14:textId="77777777" w:rsidR="009C5CC4" w:rsidRPr="005D7CF7" w:rsidRDefault="009C5CC4" w:rsidP="00DC1AD2">
      <w:pPr>
        <w:autoSpaceDE w:val="0"/>
        <w:autoSpaceDN w:val="0"/>
        <w:adjustRightInd w:val="0"/>
        <w:ind w:firstLine="284"/>
        <w:contextualSpacing/>
        <w:rPr>
          <w:rFonts w:cs="Sylfaen"/>
          <w:b/>
          <w:bCs/>
          <w:lang w:val="ka-GE"/>
        </w:rPr>
      </w:pPr>
    </w:p>
    <w:p w14:paraId="41BD4F3F" w14:textId="77777777" w:rsidR="009C5CC4" w:rsidRPr="005D7CF7" w:rsidRDefault="009C5CC4" w:rsidP="00DC1AD2">
      <w:pPr>
        <w:widowControl w:val="0"/>
        <w:autoSpaceDE w:val="0"/>
        <w:autoSpaceDN w:val="0"/>
        <w:adjustRightInd w:val="0"/>
        <w:ind w:firstLine="284"/>
        <w:contextualSpacing/>
        <w:rPr>
          <w:bCs/>
          <w:iCs/>
          <w:lang w:val="ka-GE"/>
        </w:rPr>
      </w:pPr>
      <w:r w:rsidRPr="005D7CF7">
        <w:rPr>
          <w:rFonts w:cs="Sylfaen"/>
          <w:bCs/>
          <w:iCs/>
          <w:lang w:val="ka-GE"/>
        </w:rPr>
        <w:t>მანანა კობახიძე</w:t>
      </w:r>
    </w:p>
    <w:p w14:paraId="16960812" w14:textId="77777777" w:rsidR="009C5CC4" w:rsidRPr="005D7CF7" w:rsidRDefault="009C5CC4" w:rsidP="00DC1AD2">
      <w:pPr>
        <w:widowControl w:val="0"/>
        <w:autoSpaceDE w:val="0"/>
        <w:autoSpaceDN w:val="0"/>
        <w:adjustRightInd w:val="0"/>
        <w:ind w:firstLine="284"/>
        <w:contextualSpacing/>
        <w:rPr>
          <w:bCs/>
          <w:iCs/>
          <w:lang w:val="ka-GE"/>
        </w:rPr>
      </w:pPr>
    </w:p>
    <w:p w14:paraId="14C04866" w14:textId="77777777" w:rsidR="009C5CC4" w:rsidRPr="005D7CF7" w:rsidRDefault="009C5CC4" w:rsidP="00DC1AD2">
      <w:pPr>
        <w:widowControl w:val="0"/>
        <w:autoSpaceDE w:val="0"/>
        <w:autoSpaceDN w:val="0"/>
        <w:adjustRightInd w:val="0"/>
        <w:ind w:firstLine="284"/>
        <w:contextualSpacing/>
        <w:rPr>
          <w:bCs/>
          <w:iCs/>
          <w:lang w:val="ka-GE"/>
        </w:rPr>
      </w:pPr>
    </w:p>
    <w:p w14:paraId="2FA62AD3" w14:textId="77777777" w:rsidR="009C5CC4" w:rsidRPr="005D7CF7" w:rsidRDefault="009C5CC4" w:rsidP="00DC1AD2">
      <w:pPr>
        <w:widowControl w:val="0"/>
        <w:autoSpaceDE w:val="0"/>
        <w:autoSpaceDN w:val="0"/>
        <w:adjustRightInd w:val="0"/>
        <w:ind w:firstLine="284"/>
        <w:contextualSpacing/>
        <w:rPr>
          <w:bCs/>
          <w:iCs/>
          <w:lang w:val="ka-GE"/>
        </w:rPr>
      </w:pPr>
      <w:r w:rsidRPr="005D7CF7">
        <w:rPr>
          <w:rFonts w:cs="Sylfaen"/>
          <w:bCs/>
          <w:iCs/>
          <w:lang w:val="ka-GE"/>
        </w:rPr>
        <w:t>ირინე იმერლიშვილი</w:t>
      </w:r>
    </w:p>
    <w:p w14:paraId="14C5BC38" w14:textId="77777777" w:rsidR="009C5CC4" w:rsidRPr="005D7CF7" w:rsidRDefault="009C5CC4" w:rsidP="00DC1AD2">
      <w:pPr>
        <w:widowControl w:val="0"/>
        <w:autoSpaceDE w:val="0"/>
        <w:autoSpaceDN w:val="0"/>
        <w:adjustRightInd w:val="0"/>
        <w:ind w:firstLine="284"/>
        <w:contextualSpacing/>
        <w:rPr>
          <w:bCs/>
          <w:iCs/>
          <w:lang w:val="ka-GE"/>
        </w:rPr>
      </w:pPr>
    </w:p>
    <w:p w14:paraId="00D2627A" w14:textId="77777777" w:rsidR="009C5CC4" w:rsidRPr="005D7CF7" w:rsidRDefault="009C5CC4" w:rsidP="00DC1AD2">
      <w:pPr>
        <w:widowControl w:val="0"/>
        <w:autoSpaceDE w:val="0"/>
        <w:autoSpaceDN w:val="0"/>
        <w:adjustRightInd w:val="0"/>
        <w:ind w:firstLine="284"/>
        <w:contextualSpacing/>
        <w:rPr>
          <w:bCs/>
          <w:iCs/>
          <w:lang w:val="ka-GE"/>
        </w:rPr>
      </w:pPr>
    </w:p>
    <w:p w14:paraId="2218834A" w14:textId="77777777" w:rsidR="009C5CC4" w:rsidRPr="005D7CF7" w:rsidRDefault="009C5CC4" w:rsidP="00DC1AD2">
      <w:pPr>
        <w:widowControl w:val="0"/>
        <w:autoSpaceDE w:val="0"/>
        <w:autoSpaceDN w:val="0"/>
        <w:adjustRightInd w:val="0"/>
        <w:ind w:firstLine="284"/>
        <w:contextualSpacing/>
        <w:rPr>
          <w:bCs/>
          <w:iCs/>
          <w:lang w:val="ka-GE"/>
        </w:rPr>
      </w:pPr>
      <w:r w:rsidRPr="005D7CF7">
        <w:rPr>
          <w:rFonts w:cs="Sylfaen"/>
          <w:bCs/>
          <w:iCs/>
          <w:lang w:val="ka-GE"/>
        </w:rPr>
        <w:t>ხვიჩა კიკილაშვილი</w:t>
      </w:r>
    </w:p>
    <w:p w14:paraId="217184BA" w14:textId="77777777" w:rsidR="009C5CC4" w:rsidRPr="005D7CF7" w:rsidRDefault="009C5CC4" w:rsidP="00DC1AD2">
      <w:pPr>
        <w:widowControl w:val="0"/>
        <w:autoSpaceDE w:val="0"/>
        <w:autoSpaceDN w:val="0"/>
        <w:adjustRightInd w:val="0"/>
        <w:ind w:firstLine="284"/>
        <w:contextualSpacing/>
        <w:rPr>
          <w:bCs/>
          <w:iCs/>
          <w:lang w:val="ka-GE"/>
        </w:rPr>
      </w:pPr>
    </w:p>
    <w:p w14:paraId="1AFDA68E" w14:textId="77777777" w:rsidR="009C5CC4" w:rsidRPr="005D7CF7" w:rsidRDefault="009C5CC4" w:rsidP="00DC1AD2">
      <w:pPr>
        <w:widowControl w:val="0"/>
        <w:autoSpaceDE w:val="0"/>
        <w:autoSpaceDN w:val="0"/>
        <w:adjustRightInd w:val="0"/>
        <w:ind w:firstLine="284"/>
        <w:contextualSpacing/>
        <w:rPr>
          <w:bCs/>
          <w:iCs/>
          <w:lang w:val="ka-GE"/>
        </w:rPr>
      </w:pPr>
    </w:p>
    <w:p w14:paraId="0FEB62A7" w14:textId="77777777" w:rsidR="009C5CC4" w:rsidRPr="005D7CF7" w:rsidRDefault="009C5CC4" w:rsidP="00DC1AD2">
      <w:pPr>
        <w:widowControl w:val="0"/>
        <w:autoSpaceDE w:val="0"/>
        <w:autoSpaceDN w:val="0"/>
        <w:adjustRightInd w:val="0"/>
        <w:ind w:firstLine="284"/>
        <w:contextualSpacing/>
        <w:rPr>
          <w:bCs/>
          <w:iCs/>
          <w:lang w:val="ka-GE"/>
        </w:rPr>
      </w:pPr>
      <w:r w:rsidRPr="005D7CF7">
        <w:rPr>
          <w:rFonts w:cs="Sylfaen"/>
          <w:bCs/>
          <w:iCs/>
          <w:lang w:val="ka-GE"/>
        </w:rPr>
        <w:t>თეიმურაზ ტუღუში</w:t>
      </w:r>
    </w:p>
    <w:p w14:paraId="54346052" w14:textId="77777777" w:rsidR="003157AD" w:rsidRPr="005D7CF7" w:rsidRDefault="003157AD" w:rsidP="00DC1AD2">
      <w:pPr>
        <w:ind w:firstLine="284"/>
        <w:rPr>
          <w:lang w:val="ka-GE"/>
        </w:rPr>
      </w:pPr>
    </w:p>
    <w:p w14:paraId="785FFC18" w14:textId="77777777" w:rsidR="003157AD" w:rsidRPr="005D7CF7" w:rsidRDefault="003157AD" w:rsidP="00DC1AD2">
      <w:pPr>
        <w:ind w:firstLine="284"/>
        <w:rPr>
          <w:lang w:val="ka-GE"/>
        </w:rPr>
      </w:pPr>
    </w:p>
    <w:p w14:paraId="15572633" w14:textId="77777777" w:rsidR="003157AD" w:rsidRPr="005D7CF7" w:rsidRDefault="003157AD" w:rsidP="00DC1AD2">
      <w:pPr>
        <w:ind w:firstLine="284"/>
        <w:rPr>
          <w:lang w:val="ka-GE"/>
        </w:rPr>
      </w:pPr>
    </w:p>
    <w:p w14:paraId="4B612135" w14:textId="77777777" w:rsidR="003157AD" w:rsidRPr="005D7CF7" w:rsidRDefault="003157AD" w:rsidP="00DC1AD2">
      <w:pPr>
        <w:ind w:firstLine="284"/>
        <w:rPr>
          <w:lang w:val="ka-GE"/>
        </w:rPr>
      </w:pPr>
    </w:p>
    <w:p w14:paraId="6843CE4F" w14:textId="77777777" w:rsidR="001F6F6E" w:rsidRPr="005D7CF7" w:rsidRDefault="001F6F6E" w:rsidP="00DC1AD2">
      <w:pPr>
        <w:ind w:firstLine="284"/>
        <w:rPr>
          <w:lang w:val="ka-GE"/>
        </w:rPr>
      </w:pPr>
    </w:p>
    <w:p w14:paraId="0C4EA7A9" w14:textId="77777777" w:rsidR="001F6F6E" w:rsidRPr="005D7CF7" w:rsidRDefault="001F6F6E" w:rsidP="00DC1AD2">
      <w:pPr>
        <w:ind w:firstLine="284"/>
        <w:rPr>
          <w:lang w:val="ka-GE"/>
        </w:rPr>
      </w:pPr>
    </w:p>
    <w:p w14:paraId="4082B4A5" w14:textId="77777777" w:rsidR="001F6F6E" w:rsidRPr="005D7CF7" w:rsidRDefault="001F6F6E" w:rsidP="00DC1AD2">
      <w:pPr>
        <w:ind w:firstLine="284"/>
        <w:rPr>
          <w:rFonts w:cs="Helvetica"/>
          <w:color w:val="333333"/>
          <w:shd w:val="clear" w:color="auto" w:fill="EAEAEA"/>
          <w:lang w:val="ka-GE"/>
        </w:rPr>
      </w:pPr>
    </w:p>
    <w:p w14:paraId="7158E4E5" w14:textId="77777777" w:rsidR="001F6F6E" w:rsidRPr="005D7CF7" w:rsidRDefault="001F6F6E" w:rsidP="00DC1AD2">
      <w:pPr>
        <w:ind w:firstLine="284"/>
        <w:rPr>
          <w:lang w:val="ka-GE"/>
        </w:rPr>
      </w:pPr>
    </w:p>
    <w:sectPr w:rsidR="001F6F6E" w:rsidRPr="005D7CF7" w:rsidSect="00DC1AD2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52BDB" w14:textId="77777777" w:rsidR="00FC0A2D" w:rsidRDefault="00FC0A2D" w:rsidP="00055224">
      <w:pPr>
        <w:spacing w:line="240" w:lineRule="auto"/>
      </w:pPr>
      <w:r>
        <w:separator/>
      </w:r>
    </w:p>
  </w:endnote>
  <w:endnote w:type="continuationSeparator" w:id="0">
    <w:p w14:paraId="2EC55A25" w14:textId="77777777" w:rsidR="00FC0A2D" w:rsidRDefault="00FC0A2D" w:rsidP="00055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CE388" w14:textId="4CE02481" w:rsidR="00693365" w:rsidRDefault="0069336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4234">
      <w:rPr>
        <w:noProof/>
      </w:rPr>
      <w:t>5</w:t>
    </w:r>
    <w:r>
      <w:rPr>
        <w:noProof/>
      </w:rPr>
      <w:fldChar w:fldCharType="end"/>
    </w:r>
  </w:p>
  <w:p w14:paraId="49519ED7" w14:textId="77777777" w:rsidR="00693365" w:rsidRDefault="00693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15EAC" w14:textId="77777777" w:rsidR="00FC0A2D" w:rsidRDefault="00FC0A2D" w:rsidP="00055224">
      <w:pPr>
        <w:spacing w:line="240" w:lineRule="auto"/>
      </w:pPr>
      <w:r>
        <w:separator/>
      </w:r>
    </w:p>
  </w:footnote>
  <w:footnote w:type="continuationSeparator" w:id="0">
    <w:p w14:paraId="1403B98B" w14:textId="77777777" w:rsidR="00FC0A2D" w:rsidRDefault="00FC0A2D" w:rsidP="000552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96629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A66A58"/>
    <w:multiLevelType w:val="hybridMultilevel"/>
    <w:tmpl w:val="B3569D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C376C"/>
    <w:multiLevelType w:val="hybridMultilevel"/>
    <w:tmpl w:val="2C9A8864"/>
    <w:lvl w:ilvl="0" w:tplc="66B6B4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633065"/>
    <w:multiLevelType w:val="hybridMultilevel"/>
    <w:tmpl w:val="32A66D9A"/>
    <w:lvl w:ilvl="0" w:tplc="30F0CB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24A3B"/>
    <w:multiLevelType w:val="hybridMultilevel"/>
    <w:tmpl w:val="6B703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A52E3"/>
    <w:multiLevelType w:val="hybridMultilevel"/>
    <w:tmpl w:val="492CA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44518"/>
    <w:multiLevelType w:val="hybridMultilevel"/>
    <w:tmpl w:val="540EEF8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D3336"/>
    <w:multiLevelType w:val="hybridMultilevel"/>
    <w:tmpl w:val="B3569D8E"/>
    <w:lvl w:ilvl="0" w:tplc="0809000F">
      <w:start w:val="1"/>
      <w:numFmt w:val="decimal"/>
      <w:lvlText w:val="%1."/>
      <w:lvlJc w:val="left"/>
      <w:pPr>
        <w:ind w:left="51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56F8C"/>
    <w:multiLevelType w:val="hybridMultilevel"/>
    <w:tmpl w:val="A342B378"/>
    <w:lvl w:ilvl="0" w:tplc="0409000F">
      <w:start w:val="1"/>
      <w:numFmt w:val="decimal"/>
      <w:lvlText w:val="%1."/>
      <w:lvlJc w:val="left"/>
      <w:pPr>
        <w:ind w:left="277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04439"/>
    <w:multiLevelType w:val="hybridMultilevel"/>
    <w:tmpl w:val="ADDE8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5565F"/>
    <w:multiLevelType w:val="hybridMultilevel"/>
    <w:tmpl w:val="81448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1516C"/>
    <w:multiLevelType w:val="hybridMultilevel"/>
    <w:tmpl w:val="492CA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0"/>
  </w:num>
  <w:num w:numId="5">
    <w:abstractNumId w:val="5"/>
  </w:num>
  <w:num w:numId="6">
    <w:abstractNumId w:val="3"/>
  </w:num>
  <w:num w:numId="7">
    <w:abstractNumId w:val="11"/>
  </w:num>
  <w:num w:numId="8">
    <w:abstractNumId w:val="1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D8"/>
    <w:rsid w:val="00000BC9"/>
    <w:rsid w:val="00007623"/>
    <w:rsid w:val="00014AD2"/>
    <w:rsid w:val="00015A34"/>
    <w:rsid w:val="000168B2"/>
    <w:rsid w:val="0002080D"/>
    <w:rsid w:val="00033EEC"/>
    <w:rsid w:val="00034B1C"/>
    <w:rsid w:val="00043F53"/>
    <w:rsid w:val="00055224"/>
    <w:rsid w:val="0005720F"/>
    <w:rsid w:val="0006339D"/>
    <w:rsid w:val="0007548D"/>
    <w:rsid w:val="00080039"/>
    <w:rsid w:val="00082E6F"/>
    <w:rsid w:val="00083557"/>
    <w:rsid w:val="00083E3F"/>
    <w:rsid w:val="00085ACB"/>
    <w:rsid w:val="00086620"/>
    <w:rsid w:val="00094190"/>
    <w:rsid w:val="00094ECC"/>
    <w:rsid w:val="00095830"/>
    <w:rsid w:val="000A43E2"/>
    <w:rsid w:val="000B01E0"/>
    <w:rsid w:val="000B1319"/>
    <w:rsid w:val="000B173A"/>
    <w:rsid w:val="000B28F8"/>
    <w:rsid w:val="000B7536"/>
    <w:rsid w:val="000C1607"/>
    <w:rsid w:val="000C164E"/>
    <w:rsid w:val="000C38B7"/>
    <w:rsid w:val="000D3670"/>
    <w:rsid w:val="000E2A93"/>
    <w:rsid w:val="000E2B55"/>
    <w:rsid w:val="000F0A66"/>
    <w:rsid w:val="00101743"/>
    <w:rsid w:val="0010543D"/>
    <w:rsid w:val="0010637C"/>
    <w:rsid w:val="00106DE5"/>
    <w:rsid w:val="00115369"/>
    <w:rsid w:val="00115D32"/>
    <w:rsid w:val="0012454B"/>
    <w:rsid w:val="001255D2"/>
    <w:rsid w:val="00125B92"/>
    <w:rsid w:val="00130A5C"/>
    <w:rsid w:val="00130E4B"/>
    <w:rsid w:val="001439B3"/>
    <w:rsid w:val="00152847"/>
    <w:rsid w:val="00155155"/>
    <w:rsid w:val="00160EE5"/>
    <w:rsid w:val="00171CA8"/>
    <w:rsid w:val="001A0500"/>
    <w:rsid w:val="001A207C"/>
    <w:rsid w:val="001B2A4C"/>
    <w:rsid w:val="001C37B9"/>
    <w:rsid w:val="001D233E"/>
    <w:rsid w:val="001D454B"/>
    <w:rsid w:val="001F609F"/>
    <w:rsid w:val="001F6F6E"/>
    <w:rsid w:val="002013F0"/>
    <w:rsid w:val="00204CBA"/>
    <w:rsid w:val="00213953"/>
    <w:rsid w:val="0022292D"/>
    <w:rsid w:val="00223717"/>
    <w:rsid w:val="00241B0E"/>
    <w:rsid w:val="00242FCB"/>
    <w:rsid w:val="00243BCA"/>
    <w:rsid w:val="00244349"/>
    <w:rsid w:val="00250386"/>
    <w:rsid w:val="00255B1F"/>
    <w:rsid w:val="0027010E"/>
    <w:rsid w:val="002741C1"/>
    <w:rsid w:val="0027653D"/>
    <w:rsid w:val="002836E3"/>
    <w:rsid w:val="00284925"/>
    <w:rsid w:val="00291CC0"/>
    <w:rsid w:val="002A1CEA"/>
    <w:rsid w:val="002A375B"/>
    <w:rsid w:val="002A4343"/>
    <w:rsid w:val="002A45F4"/>
    <w:rsid w:val="002C1758"/>
    <w:rsid w:val="002D027B"/>
    <w:rsid w:val="002E137A"/>
    <w:rsid w:val="002F1AA1"/>
    <w:rsid w:val="002F2E0B"/>
    <w:rsid w:val="002F2F00"/>
    <w:rsid w:val="0031397B"/>
    <w:rsid w:val="00313B8C"/>
    <w:rsid w:val="003157AD"/>
    <w:rsid w:val="003265E1"/>
    <w:rsid w:val="00340048"/>
    <w:rsid w:val="003441C7"/>
    <w:rsid w:val="00344D3B"/>
    <w:rsid w:val="00347B09"/>
    <w:rsid w:val="00351FB2"/>
    <w:rsid w:val="003600F9"/>
    <w:rsid w:val="00387304"/>
    <w:rsid w:val="003A04B4"/>
    <w:rsid w:val="003A625E"/>
    <w:rsid w:val="003A73D6"/>
    <w:rsid w:val="003B3D5C"/>
    <w:rsid w:val="003B67BA"/>
    <w:rsid w:val="003C2B2A"/>
    <w:rsid w:val="003D6BD8"/>
    <w:rsid w:val="003E013E"/>
    <w:rsid w:val="003E1896"/>
    <w:rsid w:val="003E6C04"/>
    <w:rsid w:val="003F0411"/>
    <w:rsid w:val="003F33E2"/>
    <w:rsid w:val="003F4E0B"/>
    <w:rsid w:val="003F4F9B"/>
    <w:rsid w:val="003F6198"/>
    <w:rsid w:val="003F760E"/>
    <w:rsid w:val="003F7710"/>
    <w:rsid w:val="004024D9"/>
    <w:rsid w:val="00416430"/>
    <w:rsid w:val="004165AA"/>
    <w:rsid w:val="004204EF"/>
    <w:rsid w:val="004313F4"/>
    <w:rsid w:val="00435481"/>
    <w:rsid w:val="0043688A"/>
    <w:rsid w:val="00443207"/>
    <w:rsid w:val="0044538A"/>
    <w:rsid w:val="00445EAA"/>
    <w:rsid w:val="00446F5D"/>
    <w:rsid w:val="0045385B"/>
    <w:rsid w:val="004561E1"/>
    <w:rsid w:val="004742A2"/>
    <w:rsid w:val="00475348"/>
    <w:rsid w:val="00493299"/>
    <w:rsid w:val="0049599A"/>
    <w:rsid w:val="00496E87"/>
    <w:rsid w:val="004A255D"/>
    <w:rsid w:val="004B572C"/>
    <w:rsid w:val="004B73A4"/>
    <w:rsid w:val="004C19C9"/>
    <w:rsid w:val="004C7AA2"/>
    <w:rsid w:val="004E3BF7"/>
    <w:rsid w:val="004E604F"/>
    <w:rsid w:val="00501C10"/>
    <w:rsid w:val="00505783"/>
    <w:rsid w:val="00506D83"/>
    <w:rsid w:val="00512CA2"/>
    <w:rsid w:val="00521D75"/>
    <w:rsid w:val="00525048"/>
    <w:rsid w:val="00525516"/>
    <w:rsid w:val="005278A6"/>
    <w:rsid w:val="00531358"/>
    <w:rsid w:val="00531F94"/>
    <w:rsid w:val="00534AF4"/>
    <w:rsid w:val="00535479"/>
    <w:rsid w:val="00537008"/>
    <w:rsid w:val="0054207E"/>
    <w:rsid w:val="005507F3"/>
    <w:rsid w:val="00554914"/>
    <w:rsid w:val="00565EA4"/>
    <w:rsid w:val="0057309A"/>
    <w:rsid w:val="0058270B"/>
    <w:rsid w:val="00582FFC"/>
    <w:rsid w:val="00583810"/>
    <w:rsid w:val="00595B12"/>
    <w:rsid w:val="00595D25"/>
    <w:rsid w:val="00595E59"/>
    <w:rsid w:val="005A58A1"/>
    <w:rsid w:val="005A5EA3"/>
    <w:rsid w:val="005C10D4"/>
    <w:rsid w:val="005C293A"/>
    <w:rsid w:val="005C65E4"/>
    <w:rsid w:val="005D03E2"/>
    <w:rsid w:val="005D1F32"/>
    <w:rsid w:val="005D2220"/>
    <w:rsid w:val="005D7CF7"/>
    <w:rsid w:val="005E0E95"/>
    <w:rsid w:val="005E3328"/>
    <w:rsid w:val="005F3B68"/>
    <w:rsid w:val="006421D8"/>
    <w:rsid w:val="006479CE"/>
    <w:rsid w:val="00657E73"/>
    <w:rsid w:val="00672A75"/>
    <w:rsid w:val="00684240"/>
    <w:rsid w:val="0068499B"/>
    <w:rsid w:val="00693365"/>
    <w:rsid w:val="00695FED"/>
    <w:rsid w:val="006C3CC7"/>
    <w:rsid w:val="006D3D67"/>
    <w:rsid w:val="006D4861"/>
    <w:rsid w:val="006D4ED6"/>
    <w:rsid w:val="006D5A9E"/>
    <w:rsid w:val="006E4514"/>
    <w:rsid w:val="006F1EF3"/>
    <w:rsid w:val="006F44E8"/>
    <w:rsid w:val="00700009"/>
    <w:rsid w:val="00712DCB"/>
    <w:rsid w:val="007153D0"/>
    <w:rsid w:val="007153FA"/>
    <w:rsid w:val="00720F5D"/>
    <w:rsid w:val="00721031"/>
    <w:rsid w:val="007255C6"/>
    <w:rsid w:val="00726582"/>
    <w:rsid w:val="007319DE"/>
    <w:rsid w:val="00735EDC"/>
    <w:rsid w:val="00737113"/>
    <w:rsid w:val="00754536"/>
    <w:rsid w:val="00757B8D"/>
    <w:rsid w:val="00767434"/>
    <w:rsid w:val="00767AFA"/>
    <w:rsid w:val="00770037"/>
    <w:rsid w:val="00784A8B"/>
    <w:rsid w:val="007915D1"/>
    <w:rsid w:val="00791E55"/>
    <w:rsid w:val="007A192A"/>
    <w:rsid w:val="007A6EB6"/>
    <w:rsid w:val="007B166C"/>
    <w:rsid w:val="007B2BE9"/>
    <w:rsid w:val="007B71E9"/>
    <w:rsid w:val="007C03CE"/>
    <w:rsid w:val="007C5420"/>
    <w:rsid w:val="007D2809"/>
    <w:rsid w:val="007E0FBB"/>
    <w:rsid w:val="007E150E"/>
    <w:rsid w:val="007E4E18"/>
    <w:rsid w:val="007E58FB"/>
    <w:rsid w:val="007E5B63"/>
    <w:rsid w:val="0080481F"/>
    <w:rsid w:val="0080723C"/>
    <w:rsid w:val="008135D5"/>
    <w:rsid w:val="0081579B"/>
    <w:rsid w:val="00816630"/>
    <w:rsid w:val="008233A5"/>
    <w:rsid w:val="00823617"/>
    <w:rsid w:val="00825B8B"/>
    <w:rsid w:val="008262ED"/>
    <w:rsid w:val="008264D1"/>
    <w:rsid w:val="0083324B"/>
    <w:rsid w:val="0083344B"/>
    <w:rsid w:val="00840BA4"/>
    <w:rsid w:val="00855799"/>
    <w:rsid w:val="0086014D"/>
    <w:rsid w:val="00862E61"/>
    <w:rsid w:val="00866E56"/>
    <w:rsid w:val="00881871"/>
    <w:rsid w:val="008845F1"/>
    <w:rsid w:val="00885AF3"/>
    <w:rsid w:val="00887598"/>
    <w:rsid w:val="00890C61"/>
    <w:rsid w:val="008A35A9"/>
    <w:rsid w:val="008B3067"/>
    <w:rsid w:val="008B4CAC"/>
    <w:rsid w:val="008C5115"/>
    <w:rsid w:val="008C6AE9"/>
    <w:rsid w:val="008D1260"/>
    <w:rsid w:val="008D37ED"/>
    <w:rsid w:val="008E03BF"/>
    <w:rsid w:val="008E07B8"/>
    <w:rsid w:val="008E33E0"/>
    <w:rsid w:val="008E497C"/>
    <w:rsid w:val="008E6F42"/>
    <w:rsid w:val="008F0443"/>
    <w:rsid w:val="008F4234"/>
    <w:rsid w:val="008F4412"/>
    <w:rsid w:val="00901D8C"/>
    <w:rsid w:val="00911FF2"/>
    <w:rsid w:val="00913252"/>
    <w:rsid w:val="00914DFC"/>
    <w:rsid w:val="00925328"/>
    <w:rsid w:val="00931BC0"/>
    <w:rsid w:val="009433D1"/>
    <w:rsid w:val="00945793"/>
    <w:rsid w:val="009527A7"/>
    <w:rsid w:val="00960448"/>
    <w:rsid w:val="00976605"/>
    <w:rsid w:val="009835BA"/>
    <w:rsid w:val="00990A78"/>
    <w:rsid w:val="009911F7"/>
    <w:rsid w:val="00991F35"/>
    <w:rsid w:val="009937FD"/>
    <w:rsid w:val="009A76A4"/>
    <w:rsid w:val="009B4CB7"/>
    <w:rsid w:val="009C0157"/>
    <w:rsid w:val="009C59FE"/>
    <w:rsid w:val="009C5CC4"/>
    <w:rsid w:val="009C7725"/>
    <w:rsid w:val="009C7B8D"/>
    <w:rsid w:val="009D1C37"/>
    <w:rsid w:val="009D343A"/>
    <w:rsid w:val="009E1096"/>
    <w:rsid w:val="009E1549"/>
    <w:rsid w:val="009E4E02"/>
    <w:rsid w:val="00A00A45"/>
    <w:rsid w:val="00A027AB"/>
    <w:rsid w:val="00A03D82"/>
    <w:rsid w:val="00A11B89"/>
    <w:rsid w:val="00A14FCB"/>
    <w:rsid w:val="00A26376"/>
    <w:rsid w:val="00A322BE"/>
    <w:rsid w:val="00A33C07"/>
    <w:rsid w:val="00A359BE"/>
    <w:rsid w:val="00A407BD"/>
    <w:rsid w:val="00A42373"/>
    <w:rsid w:val="00A459BA"/>
    <w:rsid w:val="00A463B9"/>
    <w:rsid w:val="00A46716"/>
    <w:rsid w:val="00A46BBA"/>
    <w:rsid w:val="00A5123A"/>
    <w:rsid w:val="00A5549E"/>
    <w:rsid w:val="00A6176F"/>
    <w:rsid w:val="00A7018C"/>
    <w:rsid w:val="00A76865"/>
    <w:rsid w:val="00A82AE4"/>
    <w:rsid w:val="00A90FE9"/>
    <w:rsid w:val="00A92A0E"/>
    <w:rsid w:val="00A97B34"/>
    <w:rsid w:val="00A97E89"/>
    <w:rsid w:val="00AA1816"/>
    <w:rsid w:val="00AA2D28"/>
    <w:rsid w:val="00AA412B"/>
    <w:rsid w:val="00AA482A"/>
    <w:rsid w:val="00AA6144"/>
    <w:rsid w:val="00AB265E"/>
    <w:rsid w:val="00AC72AC"/>
    <w:rsid w:val="00AC795D"/>
    <w:rsid w:val="00AD6B34"/>
    <w:rsid w:val="00AF071D"/>
    <w:rsid w:val="00AF7EDA"/>
    <w:rsid w:val="00B03083"/>
    <w:rsid w:val="00B070B7"/>
    <w:rsid w:val="00B070C1"/>
    <w:rsid w:val="00B07978"/>
    <w:rsid w:val="00B135B5"/>
    <w:rsid w:val="00B46D5D"/>
    <w:rsid w:val="00B51777"/>
    <w:rsid w:val="00B57B78"/>
    <w:rsid w:val="00B738DF"/>
    <w:rsid w:val="00B825A9"/>
    <w:rsid w:val="00B863D8"/>
    <w:rsid w:val="00B91C37"/>
    <w:rsid w:val="00BA0B80"/>
    <w:rsid w:val="00BB55BF"/>
    <w:rsid w:val="00BC2F56"/>
    <w:rsid w:val="00BC4B8A"/>
    <w:rsid w:val="00BD0F26"/>
    <w:rsid w:val="00BD7206"/>
    <w:rsid w:val="00BD755B"/>
    <w:rsid w:val="00BE309F"/>
    <w:rsid w:val="00BE3D86"/>
    <w:rsid w:val="00BE7E08"/>
    <w:rsid w:val="00BF19EE"/>
    <w:rsid w:val="00C0241F"/>
    <w:rsid w:val="00C0515B"/>
    <w:rsid w:val="00C10016"/>
    <w:rsid w:val="00C1380B"/>
    <w:rsid w:val="00C145B0"/>
    <w:rsid w:val="00C15DA0"/>
    <w:rsid w:val="00C17721"/>
    <w:rsid w:val="00C21D2A"/>
    <w:rsid w:val="00C2569F"/>
    <w:rsid w:val="00C32E86"/>
    <w:rsid w:val="00C33370"/>
    <w:rsid w:val="00C41C7D"/>
    <w:rsid w:val="00C431B8"/>
    <w:rsid w:val="00C4665A"/>
    <w:rsid w:val="00C50507"/>
    <w:rsid w:val="00C56BEC"/>
    <w:rsid w:val="00C5735D"/>
    <w:rsid w:val="00C62125"/>
    <w:rsid w:val="00C678A9"/>
    <w:rsid w:val="00C717F3"/>
    <w:rsid w:val="00C86F38"/>
    <w:rsid w:val="00C96C8A"/>
    <w:rsid w:val="00CA19A1"/>
    <w:rsid w:val="00CA4110"/>
    <w:rsid w:val="00CA62D9"/>
    <w:rsid w:val="00CB1050"/>
    <w:rsid w:val="00CC091D"/>
    <w:rsid w:val="00CC53E5"/>
    <w:rsid w:val="00CD0EAC"/>
    <w:rsid w:val="00CD3002"/>
    <w:rsid w:val="00CD4CEA"/>
    <w:rsid w:val="00CD5A84"/>
    <w:rsid w:val="00CE5007"/>
    <w:rsid w:val="00CE72C9"/>
    <w:rsid w:val="00CF19DE"/>
    <w:rsid w:val="00D02873"/>
    <w:rsid w:val="00D1634E"/>
    <w:rsid w:val="00D24595"/>
    <w:rsid w:val="00D245FC"/>
    <w:rsid w:val="00D267B5"/>
    <w:rsid w:val="00D278CC"/>
    <w:rsid w:val="00D47ACC"/>
    <w:rsid w:val="00D54B14"/>
    <w:rsid w:val="00D55612"/>
    <w:rsid w:val="00D64EC0"/>
    <w:rsid w:val="00D703CD"/>
    <w:rsid w:val="00D74343"/>
    <w:rsid w:val="00D7564A"/>
    <w:rsid w:val="00D7572D"/>
    <w:rsid w:val="00DA77A4"/>
    <w:rsid w:val="00DB259F"/>
    <w:rsid w:val="00DB6158"/>
    <w:rsid w:val="00DC1AD2"/>
    <w:rsid w:val="00DD3AFB"/>
    <w:rsid w:val="00DD6443"/>
    <w:rsid w:val="00E00464"/>
    <w:rsid w:val="00E02AE9"/>
    <w:rsid w:val="00E03E82"/>
    <w:rsid w:val="00E04084"/>
    <w:rsid w:val="00E05708"/>
    <w:rsid w:val="00E1203F"/>
    <w:rsid w:val="00E13949"/>
    <w:rsid w:val="00E17D81"/>
    <w:rsid w:val="00E24E03"/>
    <w:rsid w:val="00E3124A"/>
    <w:rsid w:val="00E3326A"/>
    <w:rsid w:val="00E40437"/>
    <w:rsid w:val="00E51B5E"/>
    <w:rsid w:val="00E55194"/>
    <w:rsid w:val="00E56686"/>
    <w:rsid w:val="00E63DA8"/>
    <w:rsid w:val="00E641A5"/>
    <w:rsid w:val="00E6694D"/>
    <w:rsid w:val="00E74313"/>
    <w:rsid w:val="00E812FB"/>
    <w:rsid w:val="00E83368"/>
    <w:rsid w:val="00E85D37"/>
    <w:rsid w:val="00E86DC7"/>
    <w:rsid w:val="00E9129C"/>
    <w:rsid w:val="00E976C7"/>
    <w:rsid w:val="00EA21DD"/>
    <w:rsid w:val="00EA3C5A"/>
    <w:rsid w:val="00EA6ED9"/>
    <w:rsid w:val="00EB2874"/>
    <w:rsid w:val="00EB4477"/>
    <w:rsid w:val="00EC4DC6"/>
    <w:rsid w:val="00EC7275"/>
    <w:rsid w:val="00ED0C17"/>
    <w:rsid w:val="00ED2196"/>
    <w:rsid w:val="00ED3521"/>
    <w:rsid w:val="00EE1DB1"/>
    <w:rsid w:val="00F05F6A"/>
    <w:rsid w:val="00F06021"/>
    <w:rsid w:val="00F204DD"/>
    <w:rsid w:val="00F222B3"/>
    <w:rsid w:val="00F27EB6"/>
    <w:rsid w:val="00F3217E"/>
    <w:rsid w:val="00F37D12"/>
    <w:rsid w:val="00F43436"/>
    <w:rsid w:val="00F46885"/>
    <w:rsid w:val="00F51FEF"/>
    <w:rsid w:val="00F54EC1"/>
    <w:rsid w:val="00F60581"/>
    <w:rsid w:val="00F630CE"/>
    <w:rsid w:val="00F6689A"/>
    <w:rsid w:val="00F66BFB"/>
    <w:rsid w:val="00F66DF0"/>
    <w:rsid w:val="00F760B2"/>
    <w:rsid w:val="00F83E2C"/>
    <w:rsid w:val="00F8514A"/>
    <w:rsid w:val="00F852B2"/>
    <w:rsid w:val="00F962D8"/>
    <w:rsid w:val="00F96B5E"/>
    <w:rsid w:val="00FA2182"/>
    <w:rsid w:val="00FA463E"/>
    <w:rsid w:val="00FA4A5F"/>
    <w:rsid w:val="00FB0139"/>
    <w:rsid w:val="00FB0C43"/>
    <w:rsid w:val="00FB0D5B"/>
    <w:rsid w:val="00FB1203"/>
    <w:rsid w:val="00FB171A"/>
    <w:rsid w:val="00FB336B"/>
    <w:rsid w:val="00FC0572"/>
    <w:rsid w:val="00FC0A2D"/>
    <w:rsid w:val="00FC5C34"/>
    <w:rsid w:val="00FC792E"/>
    <w:rsid w:val="00FD5C2E"/>
    <w:rsid w:val="00FD6D47"/>
    <w:rsid w:val="00FE785D"/>
    <w:rsid w:val="00FF2032"/>
    <w:rsid w:val="00FF304E"/>
    <w:rsid w:val="00FF4CF6"/>
    <w:rsid w:val="00FF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448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FF2"/>
    <w:pPr>
      <w:spacing w:line="276" w:lineRule="auto"/>
      <w:ind w:firstLine="360"/>
      <w:jc w:val="both"/>
    </w:pPr>
    <w:rPr>
      <w:rFonts w:ascii="Sylfaen" w:hAnsi="Sylfae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AD2"/>
    <w:pPr>
      <w:shd w:val="clear" w:color="auto" w:fill="FFFFFF"/>
      <w:ind w:firstLine="0"/>
      <w:jc w:val="center"/>
      <w:outlineLvl w:val="0"/>
    </w:pPr>
    <w:rPr>
      <w:rFonts w:eastAsia="Times New Roman"/>
      <w:b/>
      <w:bCs/>
      <w:kern w:val="36"/>
      <w:lang w:val="ka-GE" w:eastAsia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C1AD2"/>
    <w:rPr>
      <w:rFonts w:ascii="Sylfaen" w:eastAsia="Times New Roman" w:hAnsi="Sylfaen"/>
      <w:b/>
      <w:bCs/>
      <w:kern w:val="36"/>
      <w:sz w:val="24"/>
      <w:szCs w:val="24"/>
      <w:shd w:val="clear" w:color="auto" w:fill="FFFFFF"/>
      <w:lang w:val="ka-GE" w:eastAsia="ka-GE"/>
    </w:rPr>
  </w:style>
  <w:style w:type="paragraph" w:styleId="ListParagraph">
    <w:name w:val="List Paragraph"/>
    <w:basedOn w:val="Normal"/>
    <w:uiPriority w:val="34"/>
    <w:qFormat/>
    <w:rsid w:val="003441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224"/>
    <w:pPr>
      <w:tabs>
        <w:tab w:val="center" w:pos="4677"/>
        <w:tab w:val="right" w:pos="9355"/>
      </w:tabs>
      <w:spacing w:line="240" w:lineRule="auto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55224"/>
    <w:rPr>
      <w:rFonts w:ascii="Sylfaen" w:hAnsi="Sylfae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5224"/>
    <w:pPr>
      <w:tabs>
        <w:tab w:val="center" w:pos="4677"/>
        <w:tab w:val="right" w:pos="9355"/>
      </w:tabs>
      <w:spacing w:line="240" w:lineRule="auto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55224"/>
    <w:rPr>
      <w:rFonts w:ascii="Sylfaen" w:hAnsi="Sylfae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725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C7725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uiPriority w:val="99"/>
    <w:semiHidden/>
    <w:unhideWhenUsed/>
    <w:rsid w:val="000633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39D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06339D"/>
    <w:rPr>
      <w:rFonts w:ascii="Sylfaen" w:hAnsi="Sylfae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3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339D"/>
    <w:rPr>
      <w:rFonts w:ascii="Sylfaen" w:hAnsi="Sylfaen"/>
      <w:b/>
      <w:bCs/>
      <w:lang w:val="en-GB"/>
    </w:rPr>
  </w:style>
  <w:style w:type="paragraph" w:styleId="BodyText">
    <w:name w:val="Body Text"/>
    <w:basedOn w:val="Normal"/>
    <w:link w:val="BodyTextChar"/>
    <w:rsid w:val="00445EAA"/>
    <w:pPr>
      <w:spacing w:line="240" w:lineRule="auto"/>
      <w:ind w:firstLine="0"/>
      <w:jc w:val="left"/>
    </w:pPr>
    <w:rPr>
      <w:rFonts w:ascii="AcadNusx" w:eastAsia="Times New Roman" w:hAnsi="AcadNusx"/>
      <w:sz w:val="28"/>
      <w:szCs w:val="28"/>
      <w:lang w:val="en-US" w:eastAsia="zh-CN"/>
    </w:rPr>
  </w:style>
  <w:style w:type="character" w:customStyle="1" w:styleId="BodyTextChar">
    <w:name w:val="Body Text Char"/>
    <w:link w:val="BodyText"/>
    <w:rsid w:val="00445EAA"/>
    <w:rPr>
      <w:rFonts w:ascii="AcadNusx" w:eastAsia="Times New Roman" w:hAnsi="AcadNusx"/>
      <w:sz w:val="28"/>
      <w:szCs w:val="28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52551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lang w:val="en-US" w:eastAsia="en-GB"/>
    </w:rPr>
  </w:style>
  <w:style w:type="paragraph" w:styleId="Revision">
    <w:name w:val="Revision"/>
    <w:hidden/>
    <w:uiPriority w:val="99"/>
    <w:semiHidden/>
    <w:rsid w:val="00E13949"/>
    <w:rPr>
      <w:rFonts w:ascii="Sylfaen" w:hAnsi="Sylfae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16E43-84FF-4ED1-B5FF-4C8C6229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6047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2023-11-09T13:19:00Z</dcterms:created>
  <dcterms:modified xsi:type="dcterms:W3CDTF">2023-11-09T15:17:00Z</dcterms:modified>
</cp:coreProperties>
</file>