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0B" w:rsidRPr="00175329" w:rsidRDefault="00B8650B" w:rsidP="00175329">
      <w:pPr>
        <w:spacing w:after="0"/>
        <w:ind w:right="149"/>
        <w:rPr>
          <w:rFonts w:ascii="Sylfaen" w:hAnsi="Sylfaen"/>
          <w:noProof/>
          <w:sz w:val="24"/>
          <w:szCs w:val="24"/>
          <w:lang w:val="ka-GE"/>
        </w:rPr>
      </w:pPr>
      <w:bookmarkStart w:id="0" w:name="_GoBack"/>
    </w:p>
    <w:p w:rsidR="005D6D18" w:rsidRPr="00175329" w:rsidRDefault="005D6D18" w:rsidP="00175329">
      <w:pPr>
        <w:spacing w:after="0"/>
        <w:ind w:right="149"/>
        <w:rPr>
          <w:rFonts w:ascii="Sylfaen" w:hAnsi="Sylfaen"/>
          <w:noProof/>
          <w:sz w:val="24"/>
          <w:szCs w:val="24"/>
          <w:lang w:val="ka-GE"/>
        </w:rPr>
      </w:pPr>
    </w:p>
    <w:p w:rsidR="005D6D18" w:rsidRPr="00175329" w:rsidRDefault="005D6D18" w:rsidP="00175329">
      <w:pPr>
        <w:spacing w:after="0"/>
        <w:ind w:right="149"/>
        <w:rPr>
          <w:rFonts w:ascii="Sylfaen" w:hAnsi="Sylfaen"/>
          <w:noProof/>
          <w:sz w:val="24"/>
          <w:szCs w:val="24"/>
          <w:lang w:val="ka-GE"/>
        </w:rPr>
      </w:pPr>
    </w:p>
    <w:p w:rsidR="005D6D18" w:rsidRPr="00175329" w:rsidRDefault="005D6D18" w:rsidP="00175329">
      <w:pPr>
        <w:spacing w:after="0"/>
        <w:ind w:right="149"/>
        <w:rPr>
          <w:rFonts w:ascii="Sylfaen" w:hAnsi="Sylfaen"/>
          <w:noProof/>
          <w:sz w:val="24"/>
          <w:szCs w:val="24"/>
          <w:lang w:val="ka-GE"/>
        </w:rPr>
      </w:pPr>
    </w:p>
    <w:p w:rsidR="005D6D18" w:rsidRPr="00175329" w:rsidRDefault="005D6D18" w:rsidP="00175329">
      <w:pPr>
        <w:spacing w:after="0"/>
        <w:ind w:right="149"/>
        <w:rPr>
          <w:rFonts w:ascii="Sylfaen" w:hAnsi="Sylfaen"/>
          <w:noProof/>
          <w:sz w:val="24"/>
          <w:szCs w:val="24"/>
          <w:lang w:val="ka-GE"/>
        </w:rPr>
      </w:pPr>
    </w:p>
    <w:p w:rsidR="005D6D18" w:rsidRPr="00175329" w:rsidRDefault="005D6D18" w:rsidP="00175329">
      <w:pPr>
        <w:spacing w:after="0"/>
        <w:ind w:right="149"/>
        <w:jc w:val="center"/>
        <w:rPr>
          <w:rFonts w:ascii="Sylfaen" w:hAnsi="Sylfaen"/>
          <w:b/>
          <w:noProof/>
          <w:sz w:val="24"/>
          <w:szCs w:val="24"/>
          <w:lang w:val="ka-GE"/>
        </w:rPr>
      </w:pPr>
      <w:r w:rsidRPr="00175329">
        <w:rPr>
          <w:rFonts w:ascii="Sylfaen" w:hAnsi="Sylfaen"/>
          <w:b/>
          <w:noProof/>
          <w:sz w:val="24"/>
          <w:szCs w:val="24"/>
          <w:lang w:val="ka-GE"/>
        </w:rPr>
        <w:t>საქართველოს საკონსტიტუციო სასამართლოს</w:t>
      </w:r>
    </w:p>
    <w:p w:rsidR="005D6D18" w:rsidRPr="00175329" w:rsidRDefault="005D6D18" w:rsidP="00175329">
      <w:pPr>
        <w:spacing w:after="0"/>
        <w:ind w:right="149"/>
        <w:jc w:val="center"/>
        <w:rPr>
          <w:rFonts w:ascii="Sylfaen" w:hAnsi="Sylfaen"/>
          <w:b/>
          <w:noProof/>
          <w:sz w:val="24"/>
          <w:szCs w:val="24"/>
          <w:lang w:val="ka-GE"/>
        </w:rPr>
      </w:pPr>
    </w:p>
    <w:p w:rsidR="005D6D18" w:rsidRPr="00175329" w:rsidRDefault="005D6D18" w:rsidP="00175329">
      <w:pPr>
        <w:spacing w:after="0"/>
        <w:ind w:right="149"/>
        <w:jc w:val="center"/>
        <w:rPr>
          <w:rFonts w:ascii="Sylfaen" w:hAnsi="Sylfaen"/>
          <w:b/>
          <w:noProof/>
          <w:sz w:val="24"/>
          <w:szCs w:val="24"/>
          <w:lang w:val="ka-GE"/>
        </w:rPr>
      </w:pPr>
      <w:r w:rsidRPr="00175329">
        <w:rPr>
          <w:rFonts w:ascii="Sylfaen" w:hAnsi="Sylfaen"/>
          <w:b/>
          <w:noProof/>
          <w:sz w:val="24"/>
          <w:szCs w:val="24"/>
          <w:lang w:val="ka-GE"/>
        </w:rPr>
        <w:t>,,სასამართლოს მეგობრის”</w:t>
      </w:r>
    </w:p>
    <w:p w:rsidR="005D6D18" w:rsidRPr="00175329" w:rsidRDefault="005D6D18" w:rsidP="00175329">
      <w:pPr>
        <w:spacing w:after="0"/>
        <w:ind w:right="149"/>
        <w:jc w:val="center"/>
        <w:rPr>
          <w:rFonts w:ascii="Sylfaen" w:hAnsi="Sylfaen"/>
          <w:b/>
          <w:noProof/>
          <w:sz w:val="24"/>
          <w:szCs w:val="24"/>
          <w:lang w:val="ka-GE"/>
        </w:rPr>
      </w:pPr>
    </w:p>
    <w:p w:rsidR="005D6D18" w:rsidRPr="00175329" w:rsidRDefault="005D6D18" w:rsidP="00175329">
      <w:pPr>
        <w:spacing w:after="0"/>
        <w:ind w:right="149"/>
        <w:jc w:val="center"/>
        <w:rPr>
          <w:rFonts w:ascii="Sylfaen" w:hAnsi="Sylfaen"/>
          <w:b/>
          <w:noProof/>
          <w:sz w:val="24"/>
          <w:szCs w:val="24"/>
          <w:lang w:val="ka-GE"/>
        </w:rPr>
      </w:pPr>
      <w:r w:rsidRPr="00175329">
        <w:rPr>
          <w:rFonts w:ascii="Sylfaen" w:hAnsi="Sylfaen"/>
          <w:b/>
          <w:noProof/>
          <w:sz w:val="24"/>
          <w:szCs w:val="24"/>
          <w:lang w:val="ka-GE"/>
        </w:rPr>
        <w:t>საქართველოს ახალგაზრდა იურისტთა ასოციაციის</w:t>
      </w:r>
    </w:p>
    <w:p w:rsidR="005D6D18" w:rsidRPr="00175329" w:rsidRDefault="005D6D18" w:rsidP="00175329">
      <w:pPr>
        <w:spacing w:after="0"/>
        <w:ind w:right="149"/>
        <w:jc w:val="center"/>
        <w:rPr>
          <w:rFonts w:ascii="Sylfaen" w:hAnsi="Sylfaen"/>
          <w:b/>
          <w:noProof/>
          <w:sz w:val="24"/>
          <w:szCs w:val="24"/>
          <w:lang w:val="ka-GE"/>
        </w:rPr>
      </w:pPr>
    </w:p>
    <w:p w:rsidR="005D6D18" w:rsidRPr="00175329" w:rsidRDefault="005D6D18" w:rsidP="00175329">
      <w:pPr>
        <w:spacing w:after="0"/>
        <w:ind w:right="149"/>
        <w:jc w:val="center"/>
        <w:rPr>
          <w:rFonts w:ascii="Sylfaen" w:hAnsi="Sylfaen"/>
          <w:b/>
          <w:noProof/>
          <w:sz w:val="24"/>
          <w:szCs w:val="24"/>
          <w:lang w:val="ka-GE"/>
        </w:rPr>
      </w:pPr>
      <w:r w:rsidRPr="00175329">
        <w:rPr>
          <w:rFonts w:ascii="Sylfaen" w:hAnsi="Sylfaen"/>
          <w:b/>
          <w:noProof/>
          <w:sz w:val="24"/>
          <w:szCs w:val="24"/>
          <w:lang w:val="ka-GE"/>
        </w:rPr>
        <w:t>წერილობითი მოსაზრება</w:t>
      </w:r>
    </w:p>
    <w:p w:rsidR="00175329" w:rsidRPr="00175329" w:rsidRDefault="00175329" w:rsidP="00175329">
      <w:pPr>
        <w:spacing w:after="0"/>
        <w:ind w:right="149"/>
        <w:jc w:val="center"/>
        <w:rPr>
          <w:rFonts w:ascii="Sylfaen" w:hAnsi="Sylfaen"/>
          <w:b/>
          <w:noProof/>
          <w:sz w:val="24"/>
          <w:szCs w:val="24"/>
          <w:lang w:val="ka-GE"/>
        </w:rPr>
      </w:pPr>
    </w:p>
    <w:p w:rsidR="005D6D18" w:rsidRPr="00175329" w:rsidRDefault="0069724C" w:rsidP="00175329">
      <w:pPr>
        <w:spacing w:after="0"/>
        <w:ind w:right="149"/>
        <w:jc w:val="center"/>
        <w:rPr>
          <w:rFonts w:ascii="Sylfaen" w:hAnsi="Sylfaen"/>
          <w:noProof/>
          <w:sz w:val="24"/>
          <w:szCs w:val="24"/>
          <w:lang w:val="ka-GE"/>
        </w:rPr>
      </w:pPr>
      <w:r w:rsidRPr="00175329">
        <w:rPr>
          <w:rFonts w:ascii="Sylfaen" w:hAnsi="Sylfaen"/>
          <w:noProof/>
          <w:sz w:val="24"/>
          <w:szCs w:val="24"/>
          <w:lang w:val="ka-GE"/>
        </w:rPr>
        <w:t>#</w:t>
      </w:r>
      <w:r w:rsidR="005D6D18" w:rsidRPr="00175329">
        <w:rPr>
          <w:rFonts w:ascii="Sylfaen" w:hAnsi="Sylfaen"/>
          <w:noProof/>
          <w:sz w:val="24"/>
          <w:szCs w:val="24"/>
          <w:lang w:val="ka-GE"/>
        </w:rPr>
        <w:t>468- კონსტიტუციურ სარჩელთან დაკავშირებით</w:t>
      </w:r>
    </w:p>
    <w:p w:rsidR="005D6D18" w:rsidRPr="00175329" w:rsidRDefault="005D6D18" w:rsidP="00175329">
      <w:pPr>
        <w:spacing w:after="0"/>
        <w:ind w:right="149"/>
        <w:jc w:val="center"/>
        <w:rPr>
          <w:rFonts w:ascii="Sylfaen" w:hAnsi="Sylfaen"/>
          <w:noProof/>
          <w:sz w:val="24"/>
          <w:szCs w:val="24"/>
          <w:lang w:val="ka-GE"/>
        </w:rPr>
      </w:pPr>
    </w:p>
    <w:p w:rsidR="005D6D18" w:rsidRPr="00175329" w:rsidRDefault="005D6D18" w:rsidP="00175329">
      <w:pPr>
        <w:spacing w:after="0"/>
        <w:ind w:right="149"/>
        <w:jc w:val="right"/>
        <w:rPr>
          <w:rFonts w:ascii="Sylfaen" w:hAnsi="Sylfaen"/>
          <w:noProof/>
          <w:sz w:val="24"/>
          <w:szCs w:val="24"/>
          <w:lang w:val="ka-GE"/>
        </w:rPr>
      </w:pPr>
      <w:r w:rsidRPr="00175329">
        <w:rPr>
          <w:rFonts w:ascii="Sylfaen" w:hAnsi="Sylfaen"/>
          <w:noProof/>
          <w:sz w:val="24"/>
          <w:szCs w:val="24"/>
          <w:lang w:val="ka-GE"/>
        </w:rPr>
        <w:t xml:space="preserve">მოსარჩელე: საქართველოს სახალხო დამცველი </w:t>
      </w:r>
    </w:p>
    <w:p w:rsidR="005D6D18" w:rsidRPr="00175329" w:rsidRDefault="005D6D18" w:rsidP="00175329">
      <w:pPr>
        <w:spacing w:after="0"/>
        <w:ind w:right="149"/>
        <w:jc w:val="right"/>
        <w:rPr>
          <w:rFonts w:ascii="Sylfaen" w:hAnsi="Sylfaen"/>
          <w:noProof/>
          <w:sz w:val="24"/>
          <w:szCs w:val="24"/>
          <w:lang w:val="ka-GE"/>
        </w:rPr>
      </w:pPr>
    </w:p>
    <w:p w:rsidR="005D6D18" w:rsidRPr="00175329" w:rsidRDefault="005D6D18" w:rsidP="00175329">
      <w:pPr>
        <w:spacing w:after="0"/>
        <w:ind w:right="149"/>
        <w:jc w:val="right"/>
        <w:rPr>
          <w:rFonts w:ascii="Sylfaen" w:hAnsi="Sylfaen"/>
          <w:noProof/>
          <w:sz w:val="24"/>
          <w:szCs w:val="24"/>
          <w:lang w:val="ka-GE"/>
        </w:rPr>
      </w:pPr>
      <w:r w:rsidRPr="00175329">
        <w:rPr>
          <w:rFonts w:ascii="Sylfaen" w:hAnsi="Sylfaen"/>
          <w:noProof/>
          <w:sz w:val="24"/>
          <w:szCs w:val="24"/>
          <w:lang w:val="ka-GE"/>
        </w:rPr>
        <w:t>მოპასუხე: საქართველოს პარლამენტი</w:t>
      </w:r>
    </w:p>
    <w:p w:rsidR="00175329" w:rsidRPr="00175329" w:rsidRDefault="00175329" w:rsidP="00175329">
      <w:pPr>
        <w:spacing w:after="0"/>
        <w:ind w:right="149"/>
        <w:jc w:val="both"/>
        <w:rPr>
          <w:rFonts w:ascii="Sylfaen" w:hAnsi="Sylfaen"/>
          <w:noProof/>
          <w:sz w:val="24"/>
          <w:szCs w:val="24"/>
          <w:lang w:val="ka-GE"/>
        </w:rPr>
      </w:pPr>
    </w:p>
    <w:p w:rsidR="005D6D18" w:rsidRPr="00175329" w:rsidRDefault="005D6D18"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,,საკონსტიტუციო სამართალწარმოების შესახებ” საქართველოს კანონის მე-14</w:t>
      </w:r>
      <w:r w:rsidRPr="00175329">
        <w:rPr>
          <w:rFonts w:ascii="Sylfaen" w:hAnsi="Sylfaen"/>
          <w:noProof/>
          <w:sz w:val="24"/>
          <w:szCs w:val="24"/>
          <w:vertAlign w:val="superscript"/>
          <w:lang w:val="ka-GE"/>
        </w:rPr>
        <w:t xml:space="preserve">1 </w:t>
      </w:r>
      <w:r w:rsidRPr="00175329">
        <w:rPr>
          <w:rFonts w:ascii="Sylfaen" w:hAnsi="Sylfaen"/>
          <w:noProof/>
          <w:sz w:val="24"/>
          <w:szCs w:val="24"/>
          <w:lang w:val="ka-GE"/>
        </w:rPr>
        <w:t xml:space="preserve">მუხლის შესაბამისად, წარმოგიდგენთ </w:t>
      </w:r>
      <w:r w:rsidRPr="00175329">
        <w:rPr>
          <w:rFonts w:ascii="Sylfaen" w:hAnsi="Sylfaen"/>
          <w:b/>
          <w:noProof/>
          <w:sz w:val="24"/>
          <w:szCs w:val="24"/>
          <w:lang w:val="ka-GE"/>
        </w:rPr>
        <w:t>საქართველოს ახალგაზრდა იურისტთა ასოციაციის, როგორც ,,სასამართლოს მეგობრის” წერილობით მოსაზრებას.</w:t>
      </w:r>
    </w:p>
    <w:p w:rsidR="00414576" w:rsidRPr="00175329" w:rsidRDefault="00935211" w:rsidP="00175329">
      <w:pPr>
        <w:spacing w:after="0"/>
        <w:ind w:right="149"/>
        <w:jc w:val="both"/>
        <w:rPr>
          <w:rFonts w:ascii="Sylfaen" w:hAnsi="Sylfaen"/>
          <w:bCs/>
          <w:noProof/>
          <w:sz w:val="24"/>
          <w:szCs w:val="24"/>
          <w:lang w:val="ka-GE"/>
        </w:rPr>
      </w:pPr>
      <w:r w:rsidRPr="00175329">
        <w:rPr>
          <w:rFonts w:ascii="Sylfaen" w:hAnsi="Sylfaen"/>
          <w:noProof/>
          <w:sz w:val="24"/>
          <w:szCs w:val="24"/>
          <w:lang w:val="ka-GE"/>
        </w:rPr>
        <w:t xml:space="preserve">სადავო ნორმა: </w:t>
      </w:r>
      <w:r w:rsidR="00414576" w:rsidRPr="00175329">
        <w:rPr>
          <w:rFonts w:ascii="Sylfaen" w:hAnsi="Sylfaen"/>
          <w:bCs/>
          <w:noProof/>
          <w:sz w:val="24"/>
          <w:szCs w:val="24"/>
          <w:lang w:val="ka-GE"/>
        </w:rPr>
        <w:t>“</w:t>
      </w:r>
      <w:r w:rsidR="00414576" w:rsidRPr="00175329">
        <w:rPr>
          <w:rFonts w:ascii="Sylfaen" w:hAnsi="Sylfaen" w:cs="Sylfaen"/>
          <w:bCs/>
          <w:noProof/>
          <w:sz w:val="24"/>
          <w:szCs w:val="24"/>
          <w:lang w:val="ka-GE"/>
        </w:rPr>
        <w:t>მაუწყებლობის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შესახებ</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საქართველოს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კანონის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მე</w:t>
      </w:r>
      <w:r w:rsidR="00414576" w:rsidRPr="00175329">
        <w:rPr>
          <w:rFonts w:ascii="Sylfaen" w:hAnsi="Sylfaen"/>
          <w:bCs/>
          <w:noProof/>
          <w:sz w:val="24"/>
          <w:szCs w:val="24"/>
          <w:lang w:val="ka-GE"/>
        </w:rPr>
        <w:t xml:space="preserve">-2 </w:t>
      </w:r>
      <w:r w:rsidR="00414576" w:rsidRPr="00175329">
        <w:rPr>
          <w:rFonts w:ascii="Sylfaen" w:hAnsi="Sylfaen" w:cs="Sylfaen"/>
          <w:bCs/>
          <w:noProof/>
          <w:sz w:val="24"/>
          <w:szCs w:val="24"/>
          <w:lang w:val="ka-GE"/>
        </w:rPr>
        <w:t>მუხლის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ტ</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ქვეპუნქტის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სიტყვების</w:t>
      </w:r>
      <w:r w:rsidR="00414576" w:rsidRPr="00175329">
        <w:rPr>
          <w:rFonts w:ascii="Sylfaen" w:hAnsi="Sylfaen"/>
          <w:bCs/>
          <w:noProof/>
          <w:sz w:val="24"/>
          <w:szCs w:val="24"/>
          <w:lang w:val="ka-GE"/>
        </w:rPr>
        <w:t xml:space="preserve"> </w:t>
      </w:r>
      <w:r w:rsidR="00414576" w:rsidRPr="00175329">
        <w:rPr>
          <w:rFonts w:ascii="Sylfaen" w:hAnsi="Sylfaen"/>
          <w:b/>
          <w:bCs/>
          <w:i/>
          <w:noProof/>
          <w:sz w:val="24"/>
          <w:szCs w:val="24"/>
          <w:lang w:val="ka-GE"/>
        </w:rPr>
        <w:t>“</w:t>
      </w:r>
      <w:r w:rsidR="00414576" w:rsidRPr="00175329">
        <w:rPr>
          <w:rFonts w:ascii="Sylfaen" w:hAnsi="Sylfaen" w:cs="Sylfaen"/>
          <w:b/>
          <w:bCs/>
          <w:i/>
          <w:noProof/>
          <w:sz w:val="24"/>
          <w:szCs w:val="24"/>
          <w:lang w:val="ka-GE"/>
        </w:rPr>
        <w:t>ლიცენზიის</w:t>
      </w:r>
      <w:r w:rsidR="00414576" w:rsidRPr="00175329">
        <w:rPr>
          <w:rFonts w:ascii="Sylfaen" w:hAnsi="Sylfaen"/>
          <w:b/>
          <w:bCs/>
          <w:i/>
          <w:noProof/>
          <w:sz w:val="24"/>
          <w:szCs w:val="24"/>
          <w:lang w:val="ka-GE"/>
        </w:rPr>
        <w:t xml:space="preserve"> </w:t>
      </w:r>
      <w:r w:rsidR="00414576" w:rsidRPr="00175329">
        <w:rPr>
          <w:rFonts w:ascii="Sylfaen" w:hAnsi="Sylfaen" w:cs="Sylfaen"/>
          <w:b/>
          <w:bCs/>
          <w:i/>
          <w:noProof/>
          <w:sz w:val="24"/>
          <w:szCs w:val="24"/>
          <w:lang w:val="ka-GE"/>
        </w:rPr>
        <w:t>მფლობელი</w:t>
      </w:r>
      <w:r w:rsidR="00414576" w:rsidRPr="00175329">
        <w:rPr>
          <w:rFonts w:ascii="Sylfaen" w:hAnsi="Sylfaen"/>
          <w:b/>
          <w:bCs/>
          <w:i/>
          <w:noProof/>
          <w:sz w:val="24"/>
          <w:szCs w:val="24"/>
          <w:lang w:val="ka-GE"/>
        </w:rPr>
        <w:t>”,</w:t>
      </w:r>
      <w:r w:rsidR="00414576" w:rsidRPr="00175329">
        <w:rPr>
          <w:rFonts w:ascii="Sylfaen" w:hAnsi="Sylfaen"/>
          <w:bCs/>
          <w:noProof/>
          <w:sz w:val="24"/>
          <w:szCs w:val="24"/>
          <w:lang w:val="ka-GE"/>
        </w:rPr>
        <w:t xml:space="preserve"> 38-</w:t>
      </w:r>
      <w:r w:rsidR="00414576" w:rsidRPr="00175329">
        <w:rPr>
          <w:rFonts w:ascii="Sylfaen" w:hAnsi="Sylfaen" w:cs="Sylfaen"/>
          <w:bCs/>
          <w:noProof/>
          <w:sz w:val="24"/>
          <w:szCs w:val="24"/>
          <w:lang w:val="ka-GE"/>
        </w:rPr>
        <w:t>ე</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მუხლის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მე</w:t>
      </w:r>
      <w:r w:rsidR="00414576" w:rsidRPr="00175329">
        <w:rPr>
          <w:rFonts w:ascii="Sylfaen" w:hAnsi="Sylfaen"/>
          <w:bCs/>
          <w:noProof/>
          <w:sz w:val="24"/>
          <w:szCs w:val="24"/>
          <w:lang w:val="ka-GE"/>
        </w:rPr>
        <w:t xml:space="preserve">-3 </w:t>
      </w:r>
      <w:r w:rsidR="00414576" w:rsidRPr="00175329">
        <w:rPr>
          <w:rFonts w:ascii="Sylfaen" w:hAnsi="Sylfaen" w:cs="Sylfaen"/>
          <w:bCs/>
          <w:noProof/>
          <w:sz w:val="24"/>
          <w:szCs w:val="24"/>
          <w:lang w:val="ka-GE"/>
        </w:rPr>
        <w:t>პუნქტის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სიტყვების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თანამგზავრული</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სისტემების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მიწისზედა</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და</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ორბიტალური</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სადგურების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საკაბელო</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ქსელის</w:t>
      </w:r>
      <w:r w:rsidR="00414576" w:rsidRPr="00175329">
        <w:rPr>
          <w:rFonts w:ascii="Sylfaen" w:hAnsi="Sylfaen"/>
          <w:bCs/>
          <w:noProof/>
          <w:sz w:val="24"/>
          <w:szCs w:val="24"/>
          <w:lang w:val="ka-GE"/>
        </w:rPr>
        <w:t>”, 38-</w:t>
      </w:r>
      <w:r w:rsidR="00414576" w:rsidRPr="00175329">
        <w:rPr>
          <w:rFonts w:ascii="Sylfaen" w:hAnsi="Sylfaen" w:cs="Sylfaen"/>
          <w:bCs/>
          <w:noProof/>
          <w:sz w:val="24"/>
          <w:szCs w:val="24"/>
          <w:lang w:val="ka-GE"/>
        </w:rPr>
        <w:t>ე</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მუხლის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მე</w:t>
      </w:r>
      <w:r w:rsidR="00414576" w:rsidRPr="00175329">
        <w:rPr>
          <w:rFonts w:ascii="Sylfaen" w:hAnsi="Sylfaen"/>
          <w:bCs/>
          <w:noProof/>
          <w:sz w:val="24"/>
          <w:szCs w:val="24"/>
          <w:lang w:val="ka-GE"/>
        </w:rPr>
        <w:t xml:space="preserve">-4 </w:t>
      </w:r>
      <w:r w:rsidR="00414576" w:rsidRPr="00175329">
        <w:rPr>
          <w:rFonts w:ascii="Sylfaen" w:hAnsi="Sylfaen" w:cs="Sylfaen"/>
          <w:bCs/>
          <w:noProof/>
          <w:sz w:val="24"/>
          <w:szCs w:val="24"/>
          <w:lang w:val="ka-GE"/>
        </w:rPr>
        <w:t>პუნქტის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სიტყვების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აგრეთვე</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ტელე</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ან</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რადიოსამაუწყებლო</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თანამგზავრული</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სისტემების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მიწისზედა</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სადგურების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ან</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საკაბელო</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ქსელის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გამოყენებით</w:t>
      </w:r>
      <w:r w:rsidR="00414576" w:rsidRPr="00175329">
        <w:rPr>
          <w:rFonts w:ascii="Sylfaen" w:hAnsi="Sylfaen"/>
          <w:bCs/>
          <w:noProof/>
          <w:sz w:val="24"/>
          <w:szCs w:val="24"/>
          <w:lang w:val="ka-GE"/>
        </w:rPr>
        <w:t>”,  38-</w:t>
      </w:r>
      <w:r w:rsidR="00414576" w:rsidRPr="00175329">
        <w:rPr>
          <w:rFonts w:ascii="Sylfaen" w:hAnsi="Sylfaen" w:cs="Sylfaen"/>
          <w:bCs/>
          <w:noProof/>
          <w:sz w:val="24"/>
          <w:szCs w:val="24"/>
          <w:lang w:val="ka-GE"/>
        </w:rPr>
        <w:t>ე</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მუხლის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მე</w:t>
      </w:r>
      <w:r w:rsidR="00414576" w:rsidRPr="00175329">
        <w:rPr>
          <w:rFonts w:ascii="Sylfaen" w:hAnsi="Sylfaen"/>
          <w:bCs/>
          <w:noProof/>
          <w:sz w:val="24"/>
          <w:szCs w:val="24"/>
          <w:lang w:val="ka-GE"/>
        </w:rPr>
        <w:t xml:space="preserve">-5 </w:t>
      </w:r>
      <w:r w:rsidR="00414576" w:rsidRPr="00175329">
        <w:rPr>
          <w:rFonts w:ascii="Sylfaen" w:hAnsi="Sylfaen" w:cs="Sylfaen"/>
          <w:bCs/>
          <w:noProof/>
          <w:sz w:val="24"/>
          <w:szCs w:val="24"/>
          <w:lang w:val="ka-GE"/>
        </w:rPr>
        <w:t>პუნქტის</w:t>
      </w:r>
      <w:r w:rsidR="00414576" w:rsidRPr="00175329">
        <w:rPr>
          <w:rFonts w:ascii="Sylfaen" w:hAnsi="Sylfaen"/>
          <w:bCs/>
          <w:noProof/>
          <w:sz w:val="24"/>
          <w:szCs w:val="24"/>
          <w:lang w:val="ka-GE"/>
        </w:rPr>
        <w:t>, 41-</w:t>
      </w:r>
      <w:r w:rsidR="00414576" w:rsidRPr="00175329">
        <w:rPr>
          <w:rFonts w:ascii="Sylfaen" w:hAnsi="Sylfaen" w:cs="Sylfaen"/>
          <w:bCs/>
          <w:noProof/>
          <w:sz w:val="24"/>
          <w:szCs w:val="24"/>
          <w:lang w:val="ka-GE"/>
        </w:rPr>
        <w:t>ე</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მუხლის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პირველი</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პუნქტის</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პირველი</w:t>
      </w:r>
      <w:r w:rsidR="00414576" w:rsidRPr="00175329">
        <w:rPr>
          <w:rFonts w:ascii="Sylfaen" w:hAnsi="Sylfaen"/>
          <w:bCs/>
          <w:noProof/>
          <w:sz w:val="24"/>
          <w:szCs w:val="24"/>
          <w:lang w:val="ka-GE"/>
        </w:rPr>
        <w:t xml:space="preserve"> </w:t>
      </w:r>
      <w:r w:rsidR="00414576" w:rsidRPr="00175329">
        <w:rPr>
          <w:rFonts w:ascii="Sylfaen" w:hAnsi="Sylfaen" w:cs="Sylfaen"/>
          <w:bCs/>
          <w:noProof/>
          <w:sz w:val="24"/>
          <w:szCs w:val="24"/>
          <w:lang w:val="ka-GE"/>
        </w:rPr>
        <w:t>წინადადება</w:t>
      </w:r>
      <w:r w:rsidR="00414576" w:rsidRPr="00175329">
        <w:rPr>
          <w:rFonts w:ascii="Sylfaen" w:hAnsi="Sylfaen"/>
          <w:bCs/>
          <w:noProof/>
          <w:sz w:val="24"/>
          <w:szCs w:val="24"/>
          <w:lang w:val="ka-GE"/>
        </w:rPr>
        <w:t>.</w:t>
      </w:r>
    </w:p>
    <w:p w:rsidR="00935211" w:rsidRPr="00175329" w:rsidRDefault="002160DA"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კონსტიტუციის დებულება, </w:t>
      </w:r>
      <w:r w:rsidR="00935211" w:rsidRPr="00175329">
        <w:rPr>
          <w:rFonts w:ascii="Sylfaen" w:hAnsi="Sylfaen"/>
          <w:noProof/>
          <w:sz w:val="24"/>
          <w:szCs w:val="24"/>
          <w:lang w:val="ka-GE"/>
        </w:rPr>
        <w:t>რასაც სავარ</w:t>
      </w:r>
      <w:r w:rsidR="0069724C" w:rsidRPr="00175329">
        <w:rPr>
          <w:rFonts w:ascii="Sylfaen" w:hAnsi="Sylfaen"/>
          <w:noProof/>
          <w:sz w:val="24"/>
          <w:szCs w:val="24"/>
          <w:lang w:val="ka-GE"/>
        </w:rPr>
        <w:t>ა</w:t>
      </w:r>
      <w:r w:rsidR="00935211" w:rsidRPr="00175329">
        <w:rPr>
          <w:rFonts w:ascii="Sylfaen" w:hAnsi="Sylfaen"/>
          <w:noProof/>
          <w:sz w:val="24"/>
          <w:szCs w:val="24"/>
          <w:lang w:val="ka-GE"/>
        </w:rPr>
        <w:t>უდოდ არ შეესაბამება სადავო ნორმა:</w:t>
      </w:r>
    </w:p>
    <w:p w:rsidR="002160DA" w:rsidRPr="00175329" w:rsidRDefault="002160DA"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საქართველოს კონსტიტუციის 24-ე მუხლის პირველი და მეოთხე პუნქტი</w:t>
      </w:r>
      <w:r w:rsidR="00414576" w:rsidRPr="00175329">
        <w:rPr>
          <w:rFonts w:ascii="Sylfaen" w:hAnsi="Sylfaen"/>
          <w:noProof/>
          <w:sz w:val="24"/>
          <w:szCs w:val="24"/>
          <w:lang w:val="ka-GE"/>
        </w:rPr>
        <w:t>:</w:t>
      </w:r>
    </w:p>
    <w:p w:rsidR="00414576" w:rsidRPr="00175329" w:rsidRDefault="00414576" w:rsidP="001753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49"/>
        <w:jc w:val="both"/>
        <w:rPr>
          <w:rFonts w:ascii="Sylfaen" w:hAnsi="Sylfaen" w:cs="Sylfaen"/>
          <w:noProof/>
          <w:lang w:val="ka-GE"/>
        </w:rPr>
      </w:pPr>
      <w:r w:rsidRPr="00175329">
        <w:rPr>
          <w:rFonts w:ascii="Sylfaen" w:hAnsi="Sylfaen" w:cs="Sylfaen"/>
          <w:noProof/>
          <w:lang w:val="ka-GE"/>
        </w:rPr>
        <w:t xml:space="preserve">1.ყოველ ადამიანს აქვს უფლება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 </w:t>
      </w:r>
    </w:p>
    <w:p w:rsidR="00414576" w:rsidRPr="00175329" w:rsidRDefault="00414576" w:rsidP="001753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49"/>
        <w:jc w:val="both"/>
        <w:rPr>
          <w:rFonts w:ascii="Sylfaen" w:hAnsi="Sylfaen" w:cs="Sylfaen"/>
          <w:noProof/>
          <w:lang w:val="ka-GE"/>
        </w:rPr>
      </w:pPr>
      <w:r w:rsidRPr="00175329">
        <w:rPr>
          <w:rFonts w:ascii="Sylfaen" w:hAnsi="Sylfaen" w:cs="Sylfaen"/>
          <w:noProof/>
          <w:lang w:val="ka-GE"/>
        </w:rPr>
        <w:t xml:space="preserve">4. ამ მუხლის პირველ და მეორე პუნქტებში ჩამოთვლილ უფლებათა განხორციელება შესაძლებელია კანონით შეიზღუდოს ისეთი პირობებით, რომლებიც აუცილებელია დემოკრატიულ საზოგადოებაში სახელმწიფო უშიშროების, ტერიტორიალური მთლიანობის ან საზოგადოებრივი უსაფრთხოების უზრუნველსაყოფად, დანაშაულის თავიდან ასაცილებლად, </w:t>
      </w:r>
      <w:r w:rsidRPr="00175329">
        <w:rPr>
          <w:rFonts w:ascii="Sylfaen" w:hAnsi="Sylfaen" w:cs="Sylfaen"/>
          <w:noProof/>
          <w:lang w:val="ka-GE"/>
        </w:rPr>
        <w:lastRenderedPageBreak/>
        <w:t>სხვათა უფლებებისა და ღირსების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rsidR="00414576" w:rsidRPr="00175329" w:rsidRDefault="00414576" w:rsidP="001753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360" w:right="149"/>
        <w:jc w:val="both"/>
        <w:rPr>
          <w:rFonts w:ascii="Sylfaen" w:hAnsi="Sylfaen" w:cs="Sylfaen"/>
          <w:noProof/>
          <w:lang w:val="ka-GE"/>
        </w:rPr>
      </w:pPr>
    </w:p>
    <w:p w:rsidR="00414576" w:rsidRPr="00175329" w:rsidRDefault="00414576" w:rsidP="00175329">
      <w:pPr>
        <w:spacing w:after="0"/>
        <w:ind w:right="149"/>
        <w:jc w:val="both"/>
        <w:rPr>
          <w:rFonts w:ascii="Sylfaen" w:hAnsi="Sylfaen"/>
          <w:noProof/>
          <w:sz w:val="24"/>
          <w:szCs w:val="24"/>
          <w:lang w:val="ka-GE"/>
        </w:rPr>
      </w:pPr>
    </w:p>
    <w:p w:rsidR="00117BAC" w:rsidRPr="00175329" w:rsidRDefault="00117BAC" w:rsidP="00175329">
      <w:pPr>
        <w:spacing w:after="0"/>
        <w:ind w:right="149"/>
        <w:rPr>
          <w:rFonts w:ascii="Sylfaen" w:hAnsi="Sylfaen"/>
          <w:b/>
          <w:noProof/>
          <w:sz w:val="24"/>
          <w:szCs w:val="24"/>
          <w:lang w:val="ka-GE"/>
        </w:rPr>
      </w:pPr>
      <w:r w:rsidRPr="00175329">
        <w:rPr>
          <w:rFonts w:ascii="Sylfaen" w:hAnsi="Sylfaen"/>
          <w:b/>
          <w:noProof/>
          <w:sz w:val="24"/>
          <w:szCs w:val="24"/>
          <w:lang w:val="ka-GE"/>
        </w:rPr>
        <w:t>,,სასამართლოს მეგობარი”  არასამეწარმეო (არაკომერციული) იურიდიული პირის თაობაზე</w:t>
      </w:r>
    </w:p>
    <w:p w:rsidR="00117BAC" w:rsidRPr="00175329" w:rsidRDefault="00117BAC"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საქართველოს ახალგაზრდა იურისტთა ასოციაცია (შემდგომში - ასოციაცია) არის არასამეწარმეო (არაკომერციული) იურიდიული პირი. ასოციაცია დაფუძნდა 1994 წლის 9 სექტემბერს.  ასოციაციის მიზანს წარმოადგენს ადამიანის ღირსების, უფლებებისა და თავისუფლებების დაცვა. ასოციაციის საქმიანობის ფორმას წარმოადგენს იურიდიული მომსახურების ცენტრების შექმნა და სასამართლოსა და სხვა ორგანოებში წარმომადგენლობის უზრუნველყოფა, სამართლებრივი დაცვის ეფექტური ინფრასტრუქტურის შექმნა, საქართველოს კანონმდებლობის ადამიანის უფლებების საერთაშორისო სტანდარტებთან ჰარმონიზაცია.</w:t>
      </w:r>
    </w:p>
    <w:p w:rsidR="00117BAC" w:rsidRPr="00175329" w:rsidRDefault="00117BAC"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ასოციაციამ თავისი არსებობის მანძილზე უამრავი კონსტიტუციური სარჩელი წარადგინა, როგორც საკუთარი ასევე ფიზიკური პირების სახელითაც. </w:t>
      </w:r>
    </w:p>
    <w:p w:rsidR="00117BAC" w:rsidRPr="00175329" w:rsidRDefault="00117BAC"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საკონსტიტუციო სამართალწარმოებასთან დაკავშირებით ასოციაციის გამოცდილების გათვალისწინებით და დასახული მიზნების რეალიზაციის მიზნით საკონსტიტუციო სასამართლოსა და  მხარეებს წარვუდგენთ დასკვნას სადავო ნორმის კონსტიტუციურობასთან დაკავშირებით.</w:t>
      </w:r>
    </w:p>
    <w:p w:rsidR="00414576" w:rsidRPr="00175329" w:rsidRDefault="00414576" w:rsidP="00175329">
      <w:pPr>
        <w:spacing w:after="0"/>
        <w:ind w:right="149"/>
        <w:jc w:val="both"/>
        <w:rPr>
          <w:rFonts w:ascii="Sylfaen" w:hAnsi="Sylfaen"/>
          <w:b/>
          <w:noProof/>
          <w:sz w:val="24"/>
          <w:szCs w:val="24"/>
          <w:lang w:val="ka-GE"/>
        </w:rPr>
      </w:pPr>
    </w:p>
    <w:p w:rsidR="00810EDF" w:rsidRPr="00175329" w:rsidRDefault="00810EDF" w:rsidP="00175329">
      <w:pPr>
        <w:spacing w:after="0"/>
        <w:ind w:right="149"/>
        <w:jc w:val="both"/>
        <w:rPr>
          <w:rFonts w:ascii="Sylfaen" w:hAnsi="Sylfaen"/>
          <w:b/>
          <w:noProof/>
          <w:sz w:val="24"/>
          <w:szCs w:val="24"/>
          <w:lang w:val="ka-GE"/>
        </w:rPr>
      </w:pPr>
      <w:r w:rsidRPr="00175329">
        <w:rPr>
          <w:rFonts w:ascii="Sylfaen" w:hAnsi="Sylfaen"/>
          <w:b/>
          <w:noProof/>
          <w:sz w:val="24"/>
          <w:szCs w:val="24"/>
          <w:lang w:val="ka-GE"/>
        </w:rPr>
        <w:t>ევროპის საბჭოს მიდგომა ახალი ტიპის აუდიოვიზუალურ საშუალებებზე სახელმწიფო კონტროლთან დაკავშირებით</w:t>
      </w:r>
    </w:p>
    <w:p w:rsidR="00D0516B" w:rsidRPr="00175329" w:rsidRDefault="00D0516B"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ადამიანის უფლებათა ევროპულმა სასამართლომ საქმეზე </w:t>
      </w:r>
      <w:r w:rsidRPr="00175329">
        <w:rPr>
          <w:rStyle w:val="apple-style-span"/>
          <w:rFonts w:ascii="Sylfaen" w:hAnsi="Sylfaen"/>
          <w:bCs/>
          <w:noProof/>
          <w:color w:val="000000"/>
          <w:sz w:val="24"/>
          <w:szCs w:val="24"/>
          <w:lang w:val="ka-GE"/>
        </w:rPr>
        <w:t xml:space="preserve">Informationsverein Lentia ავსტრიის წინააღმდეგ განაცხადა, </w:t>
      </w:r>
      <w:r w:rsidR="000475CF" w:rsidRPr="00175329">
        <w:rPr>
          <w:rStyle w:val="apple-style-span"/>
          <w:rFonts w:ascii="Sylfaen" w:hAnsi="Sylfaen"/>
          <w:bCs/>
          <w:noProof/>
          <w:color w:val="000000"/>
          <w:sz w:val="24"/>
          <w:szCs w:val="24"/>
          <w:lang w:val="ka-GE"/>
        </w:rPr>
        <w:t xml:space="preserve">რომ ერთის მხრივ, </w:t>
      </w:r>
      <w:r w:rsidRPr="00175329">
        <w:rPr>
          <w:rStyle w:val="apple-style-span"/>
          <w:rFonts w:ascii="Sylfaen" w:hAnsi="Sylfaen"/>
          <w:bCs/>
          <w:noProof/>
          <w:color w:val="000000"/>
          <w:sz w:val="24"/>
          <w:szCs w:val="24"/>
          <w:lang w:val="ka-GE"/>
        </w:rPr>
        <w:t xml:space="preserve">ტექნიკურმა პროგრესი, რაც განხორციელდა უკანასკნელი ათწლეულების განმავლობაში, დღეისათვის უკვე აღარ ამართლებს </w:t>
      </w:r>
      <w:r w:rsidR="00E719CD" w:rsidRPr="00175329">
        <w:rPr>
          <w:rStyle w:val="apple-style-span"/>
          <w:rFonts w:ascii="Sylfaen" w:hAnsi="Sylfaen"/>
          <w:bCs/>
          <w:noProof/>
          <w:color w:val="000000"/>
          <w:sz w:val="24"/>
          <w:szCs w:val="24"/>
          <w:lang w:val="ka-GE"/>
        </w:rPr>
        <w:t xml:space="preserve">კაბელური მაუწყებლისათვის დაწესებულ </w:t>
      </w:r>
      <w:r w:rsidRPr="00175329">
        <w:rPr>
          <w:rStyle w:val="apple-style-span"/>
          <w:rFonts w:ascii="Sylfaen" w:hAnsi="Sylfaen"/>
          <w:bCs/>
          <w:noProof/>
          <w:color w:val="000000"/>
          <w:sz w:val="24"/>
          <w:szCs w:val="24"/>
          <w:lang w:val="ka-GE"/>
        </w:rPr>
        <w:t>შეზღუდვებს</w:t>
      </w:r>
      <w:r w:rsidR="00C30AE7" w:rsidRPr="00175329">
        <w:rPr>
          <w:rStyle w:val="apple-style-span"/>
          <w:rFonts w:ascii="Sylfaen" w:hAnsi="Sylfaen"/>
          <w:bCs/>
          <w:noProof/>
          <w:color w:val="000000"/>
          <w:sz w:val="24"/>
          <w:szCs w:val="24"/>
          <w:lang w:val="ka-GE"/>
        </w:rPr>
        <w:t xml:space="preserve">, ვინაიდან უამრავი სიხშირე და არხია ხელმისაწვდომი. მეორე მხრივ, აღნიშნულმა აკრძალვებმა დაკარგეს აზრი, ვინაიდან არსებობს აუდიტორიაზე გამიზნული მრავალი უცხოური პროგრამა, რომელთა </w:t>
      </w:r>
      <w:r w:rsidR="00E719CD" w:rsidRPr="00175329">
        <w:rPr>
          <w:rStyle w:val="apple-style-span"/>
          <w:rFonts w:ascii="Sylfaen" w:hAnsi="Sylfaen"/>
          <w:b/>
          <w:bCs/>
          <w:i/>
          <w:noProof/>
          <w:color w:val="000000"/>
          <w:sz w:val="24"/>
          <w:szCs w:val="24"/>
          <w:lang w:val="ka-GE"/>
        </w:rPr>
        <w:t xml:space="preserve">ლიცენზირების გარეშე </w:t>
      </w:r>
      <w:r w:rsidR="00C30AE7" w:rsidRPr="00175329">
        <w:rPr>
          <w:rStyle w:val="apple-style-span"/>
          <w:rFonts w:ascii="Sylfaen" w:hAnsi="Sylfaen"/>
          <w:bCs/>
          <w:noProof/>
          <w:color w:val="000000"/>
          <w:sz w:val="24"/>
          <w:szCs w:val="24"/>
          <w:lang w:val="ka-GE"/>
        </w:rPr>
        <w:t>კაბელის მეშვეობით</w:t>
      </w:r>
      <w:r w:rsidR="00C30AE7" w:rsidRPr="00175329">
        <w:rPr>
          <w:rStyle w:val="apple-style-span"/>
          <w:rFonts w:ascii="Sylfaen" w:hAnsi="Sylfaen"/>
          <w:b/>
          <w:bCs/>
          <w:i/>
          <w:noProof/>
          <w:color w:val="000000"/>
          <w:sz w:val="24"/>
          <w:szCs w:val="24"/>
          <w:lang w:val="ka-GE"/>
        </w:rPr>
        <w:t xml:space="preserve"> </w:t>
      </w:r>
      <w:r w:rsidR="00C30AE7" w:rsidRPr="00175329">
        <w:rPr>
          <w:rStyle w:val="apple-style-span"/>
          <w:rFonts w:ascii="Sylfaen" w:hAnsi="Sylfaen"/>
          <w:bCs/>
          <w:noProof/>
          <w:color w:val="000000"/>
          <w:sz w:val="24"/>
          <w:szCs w:val="24"/>
          <w:lang w:val="ka-GE"/>
        </w:rPr>
        <w:t>გადაცემა</w:t>
      </w:r>
      <w:r w:rsidR="00E719CD" w:rsidRPr="00175329">
        <w:rPr>
          <w:rStyle w:val="apple-style-span"/>
          <w:rFonts w:ascii="Sylfaen" w:hAnsi="Sylfaen"/>
          <w:bCs/>
          <w:noProof/>
          <w:color w:val="000000"/>
          <w:sz w:val="24"/>
          <w:szCs w:val="24"/>
          <w:lang w:val="ka-GE"/>
        </w:rPr>
        <w:t xml:space="preserve"> კანონიერია</w:t>
      </w:r>
      <w:r w:rsidR="00C30AE7" w:rsidRPr="00175329">
        <w:rPr>
          <w:rStyle w:val="apple-style-span"/>
          <w:rFonts w:ascii="Sylfaen" w:hAnsi="Sylfaen"/>
          <w:bCs/>
          <w:noProof/>
          <w:color w:val="000000"/>
          <w:sz w:val="24"/>
          <w:szCs w:val="24"/>
          <w:lang w:val="ka-GE"/>
        </w:rPr>
        <w:t>.</w:t>
      </w:r>
      <w:r w:rsidR="00E719CD" w:rsidRPr="00175329">
        <w:rPr>
          <w:rStyle w:val="FootnoteReference"/>
          <w:rFonts w:ascii="Sylfaen" w:hAnsi="Sylfaen"/>
          <w:bCs/>
          <w:noProof/>
          <w:color w:val="000000"/>
          <w:sz w:val="24"/>
          <w:szCs w:val="24"/>
          <w:lang w:val="ka-GE"/>
        </w:rPr>
        <w:footnoteReference w:id="1"/>
      </w:r>
      <w:r w:rsidR="00C30AE7" w:rsidRPr="00175329">
        <w:rPr>
          <w:rStyle w:val="apple-style-span"/>
          <w:rFonts w:ascii="Sylfaen" w:hAnsi="Sylfaen"/>
          <w:bCs/>
          <w:noProof/>
          <w:color w:val="000000"/>
          <w:sz w:val="24"/>
          <w:szCs w:val="24"/>
          <w:lang w:val="ka-GE"/>
        </w:rPr>
        <w:t xml:space="preserve"> </w:t>
      </w:r>
      <w:r w:rsidRPr="00175329">
        <w:rPr>
          <w:rStyle w:val="apple-style-span"/>
          <w:rFonts w:ascii="Sylfaen" w:hAnsi="Sylfaen"/>
          <w:bCs/>
          <w:noProof/>
          <w:color w:val="000000"/>
          <w:sz w:val="24"/>
          <w:szCs w:val="24"/>
          <w:lang w:val="ka-GE"/>
        </w:rPr>
        <w:t xml:space="preserve">   </w:t>
      </w:r>
    </w:p>
    <w:p w:rsidR="000475CF" w:rsidRPr="00175329" w:rsidRDefault="008774AF"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ადამიანის უფლებათა ევროპულმა სასამართლომ საქმეზე გროპერა ეი-ჯი და სხვები </w:t>
      </w:r>
      <w:r w:rsidR="0004172A" w:rsidRPr="00175329">
        <w:rPr>
          <w:rFonts w:ascii="Sylfaen" w:hAnsi="Sylfaen"/>
          <w:noProof/>
          <w:sz w:val="24"/>
          <w:szCs w:val="24"/>
          <w:lang w:val="ka-GE"/>
        </w:rPr>
        <w:t>შვეიცარიის</w:t>
      </w:r>
      <w:r w:rsidRPr="00175329">
        <w:rPr>
          <w:rFonts w:ascii="Sylfaen" w:hAnsi="Sylfaen"/>
          <w:noProof/>
          <w:sz w:val="24"/>
          <w:szCs w:val="24"/>
          <w:lang w:val="ka-GE"/>
        </w:rPr>
        <w:t xml:space="preserve"> წინააღმდეგ განაცხადა</w:t>
      </w:r>
      <w:r w:rsidR="000475CF" w:rsidRPr="00175329">
        <w:rPr>
          <w:rFonts w:ascii="Sylfaen" w:hAnsi="Sylfaen"/>
          <w:noProof/>
          <w:sz w:val="24"/>
          <w:szCs w:val="24"/>
          <w:lang w:val="ka-GE"/>
        </w:rPr>
        <w:t xml:space="preserve">: </w:t>
      </w:r>
    </w:p>
    <w:p w:rsidR="00D0516B" w:rsidRPr="00175329" w:rsidRDefault="000475CF" w:rsidP="00175329">
      <w:pPr>
        <w:spacing w:after="0"/>
        <w:ind w:right="149"/>
        <w:jc w:val="both"/>
        <w:rPr>
          <w:rFonts w:ascii="Sylfaen" w:hAnsi="Sylfaen"/>
          <w:b/>
          <w:noProof/>
          <w:sz w:val="24"/>
          <w:szCs w:val="24"/>
          <w:lang w:val="ka-GE"/>
        </w:rPr>
      </w:pPr>
      <w:r w:rsidRPr="00175329">
        <w:rPr>
          <w:rFonts w:ascii="Sylfaen" w:hAnsi="Sylfaen"/>
          <w:noProof/>
          <w:sz w:val="24"/>
          <w:szCs w:val="24"/>
          <w:lang w:val="ka-GE"/>
        </w:rPr>
        <w:lastRenderedPageBreak/>
        <w:t>,,</w:t>
      </w:r>
      <w:r w:rsidR="008774AF" w:rsidRPr="00175329">
        <w:rPr>
          <w:rFonts w:ascii="Sylfaen" w:hAnsi="Sylfaen"/>
          <w:noProof/>
          <w:sz w:val="24"/>
          <w:szCs w:val="24"/>
          <w:lang w:val="ka-GE"/>
        </w:rPr>
        <w:t xml:space="preserve">ადამიანის უფლებათა ევროპული კონვენციის მე-10 მუხლის პირველ </w:t>
      </w:r>
      <w:r w:rsidR="00810EDF" w:rsidRPr="00175329">
        <w:rPr>
          <w:rFonts w:ascii="Sylfaen" w:hAnsi="Sylfaen"/>
          <w:noProof/>
          <w:sz w:val="24"/>
          <w:szCs w:val="24"/>
          <w:lang w:val="ka-GE"/>
        </w:rPr>
        <w:t>პუნქტში</w:t>
      </w:r>
      <w:r w:rsidR="008774AF" w:rsidRPr="00175329">
        <w:rPr>
          <w:rFonts w:ascii="Sylfaen" w:hAnsi="Sylfaen"/>
          <w:noProof/>
          <w:sz w:val="24"/>
          <w:szCs w:val="24"/>
          <w:lang w:val="ka-GE"/>
        </w:rPr>
        <w:t xml:space="preserve"> </w:t>
      </w:r>
      <w:r w:rsidR="00502CC6" w:rsidRPr="00175329">
        <w:rPr>
          <w:rFonts w:ascii="Sylfaen" w:hAnsi="Sylfaen"/>
          <w:noProof/>
          <w:sz w:val="24"/>
          <w:szCs w:val="24"/>
          <w:lang w:val="ka-GE"/>
        </w:rPr>
        <w:t xml:space="preserve">სახელმწიფოს მიერ </w:t>
      </w:r>
      <w:r w:rsidR="00810EDF" w:rsidRPr="00175329">
        <w:rPr>
          <w:rFonts w:ascii="Sylfaen" w:hAnsi="Sylfaen"/>
          <w:noProof/>
          <w:sz w:val="24"/>
          <w:szCs w:val="24"/>
          <w:lang w:val="ka-GE"/>
        </w:rPr>
        <w:t>ტე</w:t>
      </w:r>
      <w:r w:rsidR="00502CC6" w:rsidRPr="00175329">
        <w:rPr>
          <w:rFonts w:ascii="Sylfaen" w:hAnsi="Sylfaen"/>
          <w:noProof/>
          <w:sz w:val="24"/>
          <w:szCs w:val="24"/>
          <w:lang w:val="ka-GE"/>
        </w:rPr>
        <w:t>ლემაუწყებლის ლიცენზირებასთან დაკავშირებით</w:t>
      </w:r>
      <w:r w:rsidR="00810EDF" w:rsidRPr="00175329">
        <w:rPr>
          <w:rFonts w:ascii="Sylfaen" w:hAnsi="Sylfaen"/>
          <w:noProof/>
          <w:sz w:val="24"/>
          <w:szCs w:val="24"/>
          <w:lang w:val="ka-GE"/>
        </w:rPr>
        <w:t xml:space="preserve"> ჩანაწერის გაკეთება</w:t>
      </w:r>
      <w:r w:rsidR="00502CC6" w:rsidRPr="00175329">
        <w:rPr>
          <w:rFonts w:ascii="Sylfaen" w:hAnsi="Sylfaen"/>
          <w:noProof/>
          <w:sz w:val="24"/>
          <w:szCs w:val="24"/>
          <w:lang w:val="ka-GE"/>
        </w:rPr>
        <w:t xml:space="preserve">, კონვენციის მოსამზადებელი სამუშაოს საწყის ეტაპზე, განპირობებული იყო აშკარად ტექნიკური და პრაქტიკული მოსაზრებებით, რაც დაკავშირებული იყო </w:t>
      </w:r>
      <w:r w:rsidR="00502CC6" w:rsidRPr="00175329">
        <w:rPr>
          <w:rFonts w:ascii="Sylfaen" w:hAnsi="Sylfaen"/>
          <w:b/>
          <w:i/>
          <w:noProof/>
          <w:sz w:val="24"/>
          <w:szCs w:val="24"/>
          <w:lang w:val="ka-GE"/>
        </w:rPr>
        <w:t>ხელმისაწვდომი სიხშირეების შეზღუდულ</w:t>
      </w:r>
      <w:r w:rsidR="00502CC6" w:rsidRPr="00175329">
        <w:rPr>
          <w:rFonts w:ascii="Sylfaen" w:hAnsi="Sylfaen"/>
          <w:noProof/>
          <w:sz w:val="24"/>
          <w:szCs w:val="24"/>
          <w:lang w:val="ka-GE"/>
        </w:rPr>
        <w:t xml:space="preserve"> რაოდენობასთან და სამაუწყებლო გადამცემების დამონტაჟებისათვის საჭირო დიდ კაპიტალდაბანდებასთან. კონვენციის მე-10 მუხლის პირველ პუნქტში ჩადებული წინადადება ასახავდა რამდენიმე მონაწილე სახელმწიფოს პოლიტიკურ </w:t>
      </w:r>
      <w:r w:rsidR="00C305FB" w:rsidRPr="00175329">
        <w:rPr>
          <w:rFonts w:ascii="Sylfaen" w:hAnsi="Sylfaen"/>
          <w:noProof/>
          <w:sz w:val="24"/>
          <w:szCs w:val="24"/>
          <w:lang w:val="ka-GE"/>
        </w:rPr>
        <w:t>ინტერესებს</w:t>
      </w:r>
      <w:r w:rsidR="00502CC6" w:rsidRPr="00175329">
        <w:rPr>
          <w:rFonts w:ascii="Sylfaen" w:hAnsi="Sylfaen"/>
          <w:noProof/>
          <w:sz w:val="24"/>
          <w:szCs w:val="24"/>
          <w:lang w:val="ka-GE"/>
        </w:rPr>
        <w:t>, კერძოდ</w:t>
      </w:r>
      <w:r w:rsidR="00BB6362" w:rsidRPr="00175329">
        <w:rPr>
          <w:rFonts w:ascii="Sylfaen" w:hAnsi="Sylfaen"/>
          <w:noProof/>
          <w:sz w:val="24"/>
          <w:szCs w:val="24"/>
          <w:lang w:val="ka-GE"/>
        </w:rPr>
        <w:t xml:space="preserve"> იმას</w:t>
      </w:r>
      <w:r w:rsidR="00C305FB" w:rsidRPr="00175329">
        <w:rPr>
          <w:rFonts w:ascii="Sylfaen" w:hAnsi="Sylfaen"/>
          <w:noProof/>
          <w:sz w:val="24"/>
          <w:szCs w:val="24"/>
          <w:lang w:val="ka-GE"/>
        </w:rPr>
        <w:t xml:space="preserve">, </w:t>
      </w:r>
      <w:r w:rsidR="00BB6362" w:rsidRPr="00175329">
        <w:rPr>
          <w:rFonts w:ascii="Sylfaen" w:hAnsi="Sylfaen"/>
          <w:noProof/>
          <w:sz w:val="24"/>
          <w:szCs w:val="24"/>
          <w:lang w:val="ka-GE"/>
        </w:rPr>
        <w:t xml:space="preserve">რომ </w:t>
      </w:r>
      <w:r w:rsidR="00C305FB" w:rsidRPr="00175329">
        <w:rPr>
          <w:rFonts w:ascii="Sylfaen" w:hAnsi="Sylfaen"/>
          <w:noProof/>
          <w:sz w:val="24"/>
          <w:szCs w:val="24"/>
          <w:lang w:val="ka-GE"/>
        </w:rPr>
        <w:t xml:space="preserve">მაუწყებლობა </w:t>
      </w:r>
      <w:r w:rsidR="00792053" w:rsidRPr="00175329">
        <w:rPr>
          <w:rFonts w:ascii="Sylfaen" w:hAnsi="Sylfaen"/>
          <w:noProof/>
          <w:sz w:val="24"/>
          <w:szCs w:val="24"/>
          <w:lang w:val="ka-GE"/>
        </w:rPr>
        <w:t xml:space="preserve">სახელმწიფოს მიერ ყოფილიყო </w:t>
      </w:r>
      <w:r w:rsidR="00C305FB" w:rsidRPr="00175329">
        <w:rPr>
          <w:rFonts w:ascii="Sylfaen" w:hAnsi="Sylfaen"/>
          <w:noProof/>
          <w:sz w:val="24"/>
          <w:szCs w:val="24"/>
          <w:lang w:val="ka-GE"/>
        </w:rPr>
        <w:t xml:space="preserve">დაცული. კონვენციის შექმნიდან შეიცვალა მოსაზრებები </w:t>
      </w:r>
      <w:r w:rsidR="00C305FB" w:rsidRPr="00175329">
        <w:rPr>
          <w:rFonts w:ascii="Sylfaen" w:hAnsi="Sylfaen"/>
          <w:b/>
          <w:noProof/>
          <w:sz w:val="24"/>
          <w:szCs w:val="24"/>
          <w:lang w:val="ka-GE"/>
        </w:rPr>
        <w:t>და ტექნიკურმა პროგრესმა, განსაკუთრებით კი კაბელური გადამცემების გამოჩენამ</w:t>
      </w:r>
      <w:r w:rsidR="00BB6362" w:rsidRPr="00175329">
        <w:rPr>
          <w:rFonts w:ascii="Sylfaen" w:hAnsi="Sylfaen"/>
          <w:b/>
          <w:noProof/>
          <w:sz w:val="24"/>
          <w:szCs w:val="24"/>
          <w:lang w:val="ka-GE"/>
        </w:rPr>
        <w:t>,</w:t>
      </w:r>
      <w:r w:rsidR="00C305FB" w:rsidRPr="00175329">
        <w:rPr>
          <w:rFonts w:ascii="Sylfaen" w:hAnsi="Sylfaen"/>
          <w:b/>
          <w:noProof/>
          <w:sz w:val="24"/>
          <w:szCs w:val="24"/>
          <w:lang w:val="ka-GE"/>
        </w:rPr>
        <w:t xml:space="preserve"> </w:t>
      </w:r>
      <w:r w:rsidR="00BB6362" w:rsidRPr="00175329">
        <w:rPr>
          <w:rFonts w:ascii="Sylfaen" w:hAnsi="Sylfaen"/>
          <w:b/>
          <w:noProof/>
          <w:sz w:val="24"/>
          <w:szCs w:val="24"/>
          <w:lang w:val="ka-GE"/>
        </w:rPr>
        <w:t xml:space="preserve">ბევრ ევროპულ ქვეყანაში </w:t>
      </w:r>
      <w:r w:rsidR="00C305FB" w:rsidRPr="00175329">
        <w:rPr>
          <w:rFonts w:ascii="Sylfaen" w:hAnsi="Sylfaen"/>
          <w:b/>
          <w:noProof/>
          <w:sz w:val="24"/>
          <w:szCs w:val="24"/>
          <w:lang w:val="ka-GE"/>
        </w:rPr>
        <w:t>გამოიწვია სახელმწიფო მონოპოლიების გაუქმება</w:t>
      </w:r>
      <w:r w:rsidR="00BB6362" w:rsidRPr="00175329">
        <w:rPr>
          <w:rFonts w:ascii="Sylfaen" w:hAnsi="Sylfaen"/>
          <w:b/>
          <w:noProof/>
          <w:sz w:val="24"/>
          <w:szCs w:val="24"/>
          <w:lang w:val="ka-GE"/>
        </w:rPr>
        <w:t xml:space="preserve"> და </w:t>
      </w:r>
      <w:r w:rsidR="00810EDF" w:rsidRPr="00175329">
        <w:rPr>
          <w:rFonts w:ascii="Sylfaen" w:hAnsi="Sylfaen"/>
          <w:b/>
          <w:noProof/>
          <w:sz w:val="24"/>
          <w:szCs w:val="24"/>
          <w:lang w:val="ka-GE"/>
        </w:rPr>
        <w:t xml:space="preserve">საზოგადოებრივი მომსახურების მიზნით </w:t>
      </w:r>
      <w:r w:rsidR="00BB6362" w:rsidRPr="00175329">
        <w:rPr>
          <w:rFonts w:ascii="Sylfaen" w:hAnsi="Sylfaen"/>
          <w:b/>
          <w:noProof/>
          <w:sz w:val="24"/>
          <w:szCs w:val="24"/>
          <w:lang w:val="ka-GE"/>
        </w:rPr>
        <w:t>უმეტესად ადგილობრივი კერძო რადიოსადგურების შექმნა</w:t>
      </w:r>
      <w:r w:rsidR="00810EDF" w:rsidRPr="00175329">
        <w:rPr>
          <w:rFonts w:ascii="Sylfaen" w:hAnsi="Sylfaen"/>
          <w:b/>
          <w:noProof/>
          <w:sz w:val="24"/>
          <w:szCs w:val="24"/>
          <w:lang w:val="ka-GE"/>
        </w:rPr>
        <w:t>.</w:t>
      </w:r>
      <w:r w:rsidR="00BB6362" w:rsidRPr="00175329">
        <w:rPr>
          <w:rFonts w:ascii="Sylfaen" w:hAnsi="Sylfaen"/>
          <w:b/>
          <w:noProof/>
          <w:sz w:val="24"/>
          <w:szCs w:val="24"/>
          <w:lang w:val="ka-GE"/>
        </w:rPr>
        <w:t xml:space="preserve"> </w:t>
      </w:r>
    </w:p>
    <w:p w:rsidR="00E512A7" w:rsidRPr="00175329" w:rsidRDefault="000475CF"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ევროპული კონვენციის </w:t>
      </w:r>
      <w:r w:rsidR="004166C6" w:rsidRPr="00175329">
        <w:rPr>
          <w:rFonts w:ascii="Sylfaen" w:hAnsi="Sylfaen"/>
          <w:noProof/>
          <w:sz w:val="24"/>
          <w:szCs w:val="24"/>
          <w:lang w:val="ka-GE"/>
        </w:rPr>
        <w:t xml:space="preserve">მე-10 მუხლის პირველი პუნქტის მე-3 წინადადების საგანი, მიზანი და მოქმედების სფერო შეფასებული უნდა იქნეს მთელი მუხლის კონტექსტში, განსაკუთრებით კი მე-10 მუხლის მე-2 </w:t>
      </w:r>
      <w:r w:rsidR="00810EDF" w:rsidRPr="00175329">
        <w:rPr>
          <w:rFonts w:ascii="Sylfaen" w:hAnsi="Sylfaen"/>
          <w:noProof/>
          <w:sz w:val="24"/>
          <w:szCs w:val="24"/>
          <w:lang w:val="ka-GE"/>
        </w:rPr>
        <w:t>პუნქტ</w:t>
      </w:r>
      <w:r w:rsidR="004166C6" w:rsidRPr="00175329">
        <w:rPr>
          <w:rFonts w:ascii="Sylfaen" w:hAnsi="Sylfaen"/>
          <w:noProof/>
          <w:sz w:val="24"/>
          <w:szCs w:val="24"/>
          <w:lang w:val="ka-GE"/>
        </w:rPr>
        <w:t xml:space="preserve">თან მიმართებაში. </w:t>
      </w:r>
      <w:r w:rsidR="009B44B6" w:rsidRPr="00175329">
        <w:rPr>
          <w:rFonts w:ascii="Sylfaen" w:hAnsi="Sylfaen"/>
          <w:noProof/>
          <w:sz w:val="24"/>
          <w:szCs w:val="24"/>
          <w:lang w:val="ka-GE"/>
        </w:rPr>
        <w:t>მიუხედვად იმისა, ზოგადად სტრუქტურა ძალიან მსგავსია</w:t>
      </w:r>
      <w:r w:rsidR="00C6173A" w:rsidRPr="00175329">
        <w:rPr>
          <w:rFonts w:ascii="Sylfaen" w:hAnsi="Sylfaen"/>
          <w:noProof/>
          <w:sz w:val="24"/>
          <w:szCs w:val="24"/>
          <w:lang w:val="ka-GE"/>
        </w:rPr>
        <w:t>,</w:t>
      </w:r>
      <w:r w:rsidR="009B44B6" w:rsidRPr="00175329">
        <w:rPr>
          <w:rFonts w:ascii="Sylfaen" w:hAnsi="Sylfaen"/>
          <w:noProof/>
          <w:sz w:val="24"/>
          <w:szCs w:val="24"/>
          <w:lang w:val="ka-GE"/>
        </w:rPr>
        <w:t xml:space="preserve"> მე-10 მუხლის ეკვივალენტური წინადადება არ გვხვდება კონვენციის მე-8, მე-9 და მე-11 მუხლებში. ამ კუთხით მე-10 და მე-11 მუხლის სტრუქტურა განსხვავებულია</w:t>
      </w:r>
      <w:r w:rsidR="00C6173A" w:rsidRPr="00175329">
        <w:rPr>
          <w:rFonts w:ascii="Sylfaen" w:hAnsi="Sylfaen"/>
          <w:noProof/>
          <w:sz w:val="24"/>
          <w:szCs w:val="24"/>
          <w:lang w:val="ka-GE"/>
        </w:rPr>
        <w:t xml:space="preserve"> ზემოხსენებული მუხლებისაგან</w:t>
      </w:r>
      <w:r w:rsidR="009B44B6" w:rsidRPr="00175329">
        <w:rPr>
          <w:rFonts w:ascii="Sylfaen" w:hAnsi="Sylfaen"/>
          <w:noProof/>
          <w:sz w:val="24"/>
          <w:szCs w:val="24"/>
          <w:lang w:val="ka-GE"/>
        </w:rPr>
        <w:t xml:space="preserve">. მე-10 მუხლის პირველი პუნქტი ადგენს დასაშვებ შეზღუდვას პირველივე პუნქტში. მე-11 მუხლი თავის მხრივ მხოლოდ მეორე პუნქტით უზრუნველყოფს სპეციალურ შეზღუდვას გაერთიანების უფლების განხორციელებაზე შეიარაღებული ძალების, პოლიციის და სახელმწიფო ადმინისტრაციის წარმომადგენლებისათვის. </w:t>
      </w:r>
      <w:r w:rsidR="00E512A7" w:rsidRPr="00175329">
        <w:rPr>
          <w:rFonts w:ascii="Sylfaen" w:hAnsi="Sylfaen"/>
          <w:noProof/>
          <w:sz w:val="24"/>
          <w:szCs w:val="24"/>
          <w:lang w:val="ka-GE"/>
        </w:rPr>
        <w:t xml:space="preserve">აქედან </w:t>
      </w:r>
      <w:r w:rsidR="00C6173A" w:rsidRPr="00175329">
        <w:rPr>
          <w:rFonts w:ascii="Sylfaen" w:hAnsi="Sylfaen"/>
          <w:noProof/>
          <w:sz w:val="24"/>
          <w:szCs w:val="24"/>
          <w:lang w:val="ka-GE"/>
        </w:rPr>
        <w:t xml:space="preserve">თითქოს ისეთი დასკვნა </w:t>
      </w:r>
      <w:r w:rsidR="00E512A7" w:rsidRPr="00175329">
        <w:rPr>
          <w:rFonts w:ascii="Sylfaen" w:hAnsi="Sylfaen"/>
          <w:noProof/>
          <w:sz w:val="24"/>
          <w:szCs w:val="24"/>
          <w:lang w:val="ka-GE"/>
        </w:rPr>
        <w:t xml:space="preserve">უნდა გამოვიტანოთ, რომ აღნიშნულ </w:t>
      </w:r>
      <w:r w:rsidR="00C6173A" w:rsidRPr="00175329">
        <w:rPr>
          <w:rFonts w:ascii="Sylfaen" w:hAnsi="Sylfaen"/>
          <w:noProof/>
          <w:sz w:val="24"/>
          <w:szCs w:val="24"/>
          <w:lang w:val="ka-GE"/>
        </w:rPr>
        <w:t>ურთიერთობასთან</w:t>
      </w:r>
      <w:r w:rsidR="00E512A7" w:rsidRPr="00175329">
        <w:rPr>
          <w:rFonts w:ascii="Sylfaen" w:hAnsi="Sylfaen"/>
          <w:noProof/>
          <w:sz w:val="24"/>
          <w:szCs w:val="24"/>
          <w:lang w:val="ka-GE"/>
        </w:rPr>
        <w:t xml:space="preserve"> </w:t>
      </w:r>
      <w:r w:rsidR="00C6173A" w:rsidRPr="00175329">
        <w:rPr>
          <w:rFonts w:ascii="Sylfaen" w:hAnsi="Sylfaen"/>
          <w:noProof/>
          <w:sz w:val="24"/>
          <w:szCs w:val="24"/>
          <w:lang w:val="ka-GE"/>
        </w:rPr>
        <w:t xml:space="preserve">დაკავშირებით </w:t>
      </w:r>
      <w:r w:rsidR="00E512A7" w:rsidRPr="00175329">
        <w:rPr>
          <w:rFonts w:ascii="Sylfaen" w:hAnsi="Sylfaen"/>
          <w:noProof/>
          <w:sz w:val="24"/>
          <w:szCs w:val="24"/>
          <w:lang w:val="ka-GE"/>
        </w:rPr>
        <w:t xml:space="preserve">არ ვრცელდება მე-10 მუხლის მე-2 </w:t>
      </w:r>
      <w:r w:rsidR="00C6173A" w:rsidRPr="00175329">
        <w:rPr>
          <w:rFonts w:ascii="Sylfaen" w:hAnsi="Sylfaen"/>
          <w:noProof/>
          <w:sz w:val="24"/>
          <w:szCs w:val="24"/>
          <w:lang w:val="ka-GE"/>
        </w:rPr>
        <w:t>პუნქტი</w:t>
      </w:r>
      <w:r w:rsidR="00E512A7" w:rsidRPr="00175329">
        <w:rPr>
          <w:rFonts w:ascii="Sylfaen" w:hAnsi="Sylfaen"/>
          <w:noProof/>
          <w:sz w:val="24"/>
          <w:szCs w:val="24"/>
          <w:lang w:val="ka-GE"/>
        </w:rPr>
        <w:t xml:space="preserve"> (ლეგიტიმური მიზანი და პროპორციულობის პრინციპი) გარდა კანონიერების (,,შეზღუდვა კანონით გათვალისწინებული”)</w:t>
      </w:r>
      <w:r w:rsidR="00C6173A" w:rsidRPr="00175329">
        <w:rPr>
          <w:rFonts w:ascii="Sylfaen" w:hAnsi="Sylfaen"/>
          <w:noProof/>
          <w:sz w:val="24"/>
          <w:szCs w:val="24"/>
          <w:lang w:val="ka-GE"/>
        </w:rPr>
        <w:t xml:space="preserve"> პრინციპისა</w:t>
      </w:r>
      <w:r w:rsidR="00E512A7" w:rsidRPr="00175329">
        <w:rPr>
          <w:rFonts w:ascii="Sylfaen" w:hAnsi="Sylfaen"/>
          <w:noProof/>
          <w:sz w:val="24"/>
          <w:szCs w:val="24"/>
          <w:lang w:val="ka-GE"/>
        </w:rPr>
        <w:t>.</w:t>
      </w:r>
    </w:p>
    <w:p w:rsidR="001E055D" w:rsidRPr="00175329" w:rsidRDefault="00E512A7"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სასამართლო ასევე მიუთითებს სამოქალაქო და პოლიტიკური უფლებების შესახებ გაეროს 1966 წლის </w:t>
      </w:r>
      <w:r w:rsidR="00652B00" w:rsidRPr="00175329">
        <w:rPr>
          <w:rFonts w:ascii="Sylfaen" w:hAnsi="Sylfaen"/>
          <w:noProof/>
          <w:sz w:val="24"/>
          <w:szCs w:val="24"/>
          <w:lang w:val="ka-GE"/>
        </w:rPr>
        <w:t xml:space="preserve">პაქტის </w:t>
      </w:r>
      <w:r w:rsidR="00465D5F" w:rsidRPr="00175329">
        <w:rPr>
          <w:rFonts w:ascii="Sylfaen" w:hAnsi="Sylfaen"/>
          <w:noProof/>
          <w:sz w:val="24"/>
          <w:szCs w:val="24"/>
          <w:lang w:val="ka-GE"/>
        </w:rPr>
        <w:t>მე-19 მუხლის პირველ პუნქ</w:t>
      </w:r>
      <w:r w:rsidR="00C6173A" w:rsidRPr="00175329">
        <w:rPr>
          <w:rFonts w:ascii="Sylfaen" w:hAnsi="Sylfaen"/>
          <w:noProof/>
          <w:sz w:val="24"/>
          <w:szCs w:val="24"/>
          <w:lang w:val="ka-GE"/>
        </w:rPr>
        <w:t>ტ</w:t>
      </w:r>
      <w:r w:rsidR="00465D5F" w:rsidRPr="00175329">
        <w:rPr>
          <w:rFonts w:ascii="Sylfaen" w:hAnsi="Sylfaen"/>
          <w:noProof/>
          <w:sz w:val="24"/>
          <w:szCs w:val="24"/>
          <w:lang w:val="ka-GE"/>
        </w:rPr>
        <w:t xml:space="preserve">ზე, რაც არ შეიცავს </w:t>
      </w:r>
      <w:r w:rsidR="00652B00" w:rsidRPr="00175329">
        <w:rPr>
          <w:rFonts w:ascii="Sylfaen" w:hAnsi="Sylfaen"/>
          <w:noProof/>
          <w:sz w:val="24"/>
          <w:szCs w:val="24"/>
          <w:lang w:val="ka-GE"/>
        </w:rPr>
        <w:t xml:space="preserve">მე-10 მუხლის პირველი პუნქტის მესამე </w:t>
      </w:r>
      <w:r w:rsidR="00465D5F" w:rsidRPr="00175329">
        <w:rPr>
          <w:rFonts w:ascii="Sylfaen" w:hAnsi="Sylfaen"/>
          <w:noProof/>
          <w:sz w:val="24"/>
          <w:szCs w:val="24"/>
          <w:lang w:val="ka-GE"/>
        </w:rPr>
        <w:t xml:space="preserve">წინადადების მსგავს </w:t>
      </w:r>
      <w:r w:rsidR="00C6173A" w:rsidRPr="00175329">
        <w:rPr>
          <w:rFonts w:ascii="Sylfaen" w:hAnsi="Sylfaen"/>
          <w:noProof/>
          <w:sz w:val="24"/>
          <w:szCs w:val="24"/>
          <w:lang w:val="ka-GE"/>
        </w:rPr>
        <w:t>ჩანაწერს მაუწყებლის ლიცენზირებასთან დაკავშირებით</w:t>
      </w:r>
      <w:r w:rsidR="00465D5F" w:rsidRPr="00175329">
        <w:rPr>
          <w:rFonts w:ascii="Sylfaen" w:hAnsi="Sylfaen"/>
          <w:noProof/>
          <w:sz w:val="24"/>
          <w:szCs w:val="24"/>
          <w:lang w:val="ka-GE"/>
        </w:rPr>
        <w:t>. მე-19 მუხლთან დაკავშირებით მოლაპარაკებების ისტორია გვიჩვენებს, რომ ლიცენზირებასთან დაკავშირებული დებულების შეტანის წინადადება</w:t>
      </w:r>
      <w:r w:rsidR="00FB79B9" w:rsidRPr="00175329">
        <w:rPr>
          <w:rFonts w:ascii="Sylfaen" w:hAnsi="Sylfaen"/>
          <w:noProof/>
          <w:sz w:val="24"/>
          <w:szCs w:val="24"/>
          <w:lang w:val="ka-GE"/>
        </w:rPr>
        <w:t xml:space="preserve"> იქნა </w:t>
      </w:r>
      <w:r w:rsidR="00465D5F" w:rsidRPr="00175329">
        <w:rPr>
          <w:rFonts w:ascii="Sylfaen" w:hAnsi="Sylfaen"/>
          <w:noProof/>
          <w:sz w:val="24"/>
          <w:szCs w:val="24"/>
          <w:lang w:val="ka-GE"/>
        </w:rPr>
        <w:t xml:space="preserve">წამოყენებული. უნდა მომხდარიყო არა გავრცელებული ინფორმაციის, არამედ სამაუწყებლო საშუალებების ლიცენზირება, რითაც სიხშირეების </w:t>
      </w:r>
      <w:r w:rsidR="00FB79B9" w:rsidRPr="00175329">
        <w:rPr>
          <w:rFonts w:ascii="Sylfaen" w:hAnsi="Sylfaen"/>
          <w:noProof/>
          <w:sz w:val="24"/>
          <w:szCs w:val="24"/>
          <w:lang w:val="ka-GE"/>
        </w:rPr>
        <w:t xml:space="preserve">გამოყენებისას </w:t>
      </w:r>
      <w:r w:rsidR="00465D5F" w:rsidRPr="00175329">
        <w:rPr>
          <w:rFonts w:ascii="Sylfaen" w:hAnsi="Sylfaen"/>
          <w:noProof/>
          <w:sz w:val="24"/>
          <w:szCs w:val="24"/>
          <w:lang w:val="ka-GE"/>
        </w:rPr>
        <w:t>ქაოსის თავიდან აცილება</w:t>
      </w:r>
      <w:r w:rsidR="0004172A" w:rsidRPr="00175329">
        <w:rPr>
          <w:rFonts w:ascii="Sylfaen" w:hAnsi="Sylfaen"/>
          <w:noProof/>
          <w:sz w:val="24"/>
          <w:szCs w:val="24"/>
          <w:lang w:val="ka-GE"/>
        </w:rPr>
        <w:t xml:space="preserve"> იქნებოდა შესაძლებელი</w:t>
      </w:r>
      <w:r w:rsidR="00465D5F" w:rsidRPr="00175329">
        <w:rPr>
          <w:rFonts w:ascii="Sylfaen" w:hAnsi="Sylfaen"/>
          <w:noProof/>
          <w:sz w:val="24"/>
          <w:szCs w:val="24"/>
          <w:lang w:val="ka-GE"/>
        </w:rPr>
        <w:t xml:space="preserve">. მიუხედავად ამისა, მუხლში </w:t>
      </w:r>
      <w:r w:rsidR="00465D5F" w:rsidRPr="00175329">
        <w:rPr>
          <w:rFonts w:ascii="Sylfaen" w:hAnsi="Sylfaen"/>
          <w:noProof/>
          <w:sz w:val="24"/>
          <w:szCs w:val="24"/>
          <w:lang w:val="ka-GE"/>
        </w:rPr>
        <w:lastRenderedPageBreak/>
        <w:t xml:space="preserve">აღნიშნული დებულების გაჩენას წინააღმდეგობა გაუწიეს იმ საფუძვლით, რომ ლიცენზირება გამოყენებული იქნებოდა თავისუფალი გამოხატვის </w:t>
      </w:r>
      <w:r w:rsidR="0004172A" w:rsidRPr="00175329">
        <w:rPr>
          <w:rFonts w:ascii="Sylfaen" w:hAnsi="Sylfaen"/>
          <w:noProof/>
          <w:sz w:val="24"/>
          <w:szCs w:val="24"/>
          <w:lang w:val="ka-GE"/>
        </w:rPr>
        <w:t xml:space="preserve">უფლების </w:t>
      </w:r>
      <w:r w:rsidR="00465D5F" w:rsidRPr="00175329">
        <w:rPr>
          <w:rFonts w:ascii="Sylfaen" w:hAnsi="Sylfaen"/>
          <w:noProof/>
          <w:sz w:val="24"/>
          <w:szCs w:val="24"/>
          <w:lang w:val="ka-GE"/>
        </w:rPr>
        <w:t>საზიანოდ.</w:t>
      </w:r>
      <w:r w:rsidR="001E055D" w:rsidRPr="00175329">
        <w:rPr>
          <w:rFonts w:ascii="Sylfaen" w:hAnsi="Sylfaen"/>
          <w:noProof/>
          <w:sz w:val="24"/>
          <w:szCs w:val="24"/>
          <w:lang w:val="ka-GE"/>
        </w:rPr>
        <w:t xml:space="preserve"> გადაწყდა, რომ ამგვარი დებულება არ იყო აუცილებელი </w:t>
      </w:r>
      <w:r w:rsidR="0004172A" w:rsidRPr="00175329">
        <w:rPr>
          <w:rFonts w:ascii="Sylfaen" w:hAnsi="Sylfaen"/>
          <w:noProof/>
          <w:sz w:val="24"/>
          <w:szCs w:val="24"/>
          <w:lang w:val="ka-GE"/>
        </w:rPr>
        <w:t xml:space="preserve">ვინაიდან, </w:t>
      </w:r>
      <w:r w:rsidR="001E055D" w:rsidRPr="00175329">
        <w:rPr>
          <w:rFonts w:ascii="Sylfaen" w:hAnsi="Sylfaen"/>
          <w:noProof/>
          <w:sz w:val="24"/>
          <w:szCs w:val="24"/>
          <w:lang w:val="ka-GE"/>
        </w:rPr>
        <w:t xml:space="preserve">მიჩნეული იქნა, </w:t>
      </w:r>
      <w:r w:rsidR="0004172A" w:rsidRPr="00175329">
        <w:rPr>
          <w:rFonts w:ascii="Sylfaen" w:hAnsi="Sylfaen"/>
          <w:noProof/>
          <w:sz w:val="24"/>
          <w:szCs w:val="24"/>
          <w:lang w:val="ka-GE"/>
        </w:rPr>
        <w:t>აღნიშნული</w:t>
      </w:r>
      <w:r w:rsidR="001E055D" w:rsidRPr="00175329">
        <w:rPr>
          <w:rFonts w:ascii="Sylfaen" w:hAnsi="Sylfaen"/>
          <w:noProof/>
          <w:sz w:val="24"/>
          <w:szCs w:val="24"/>
          <w:lang w:val="ka-GE"/>
        </w:rPr>
        <w:t xml:space="preserve"> </w:t>
      </w:r>
      <w:r w:rsidR="0004172A" w:rsidRPr="00175329">
        <w:rPr>
          <w:rFonts w:ascii="Sylfaen" w:hAnsi="Sylfaen"/>
          <w:noProof/>
          <w:sz w:val="24"/>
          <w:szCs w:val="24"/>
          <w:lang w:val="ka-GE"/>
        </w:rPr>
        <w:t xml:space="preserve">მიზნებისათვის </w:t>
      </w:r>
      <w:r w:rsidR="001E055D" w:rsidRPr="00175329">
        <w:rPr>
          <w:rFonts w:ascii="Sylfaen" w:hAnsi="Sylfaen"/>
          <w:noProof/>
          <w:sz w:val="24"/>
          <w:szCs w:val="24"/>
          <w:lang w:val="ka-GE"/>
        </w:rPr>
        <w:t>ლიცენზირება მოცული იყო მე-19 მუხლის მე-3 პუნქტით გათვალისწინებული ,,საჯარო წესრიგის” ცნებით (1961 წლის 5 დეკემბრის გაერთიანებული ერების ორგანიზაციის გენერალური ასამბლეის მე-16 A/5000 დოკუმენტის 23 პუნქტი)</w:t>
      </w:r>
    </w:p>
    <w:p w:rsidR="00A41B86" w:rsidRPr="00175329" w:rsidRDefault="0054280F"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ამგვარ</w:t>
      </w:r>
      <w:r w:rsidR="001E055D" w:rsidRPr="00175329">
        <w:rPr>
          <w:rFonts w:ascii="Sylfaen" w:hAnsi="Sylfaen"/>
          <w:noProof/>
          <w:sz w:val="24"/>
          <w:szCs w:val="24"/>
          <w:lang w:val="ka-GE"/>
        </w:rPr>
        <w:t xml:space="preserve"> მოსაზრება</w:t>
      </w:r>
      <w:r w:rsidRPr="00175329">
        <w:rPr>
          <w:rFonts w:ascii="Sylfaen" w:hAnsi="Sylfaen"/>
          <w:noProof/>
          <w:sz w:val="24"/>
          <w:szCs w:val="24"/>
          <w:lang w:val="ka-GE"/>
        </w:rPr>
        <w:t>ს</w:t>
      </w:r>
      <w:r w:rsidR="001E055D" w:rsidRPr="00175329">
        <w:rPr>
          <w:rFonts w:ascii="Sylfaen" w:hAnsi="Sylfaen"/>
          <w:noProof/>
          <w:sz w:val="24"/>
          <w:szCs w:val="24"/>
          <w:lang w:val="ka-GE"/>
        </w:rPr>
        <w:t xml:space="preserve"> მხარს უჭერს </w:t>
      </w:r>
      <w:r w:rsidRPr="00175329">
        <w:rPr>
          <w:rFonts w:ascii="Sylfaen" w:hAnsi="Sylfaen"/>
          <w:noProof/>
          <w:sz w:val="24"/>
          <w:szCs w:val="24"/>
          <w:lang w:val="ka-GE"/>
        </w:rPr>
        <w:t>დასკვნა იმის შესახებ</w:t>
      </w:r>
      <w:r w:rsidR="00227A24" w:rsidRPr="00175329">
        <w:rPr>
          <w:rFonts w:ascii="Sylfaen" w:hAnsi="Sylfaen"/>
          <w:noProof/>
          <w:sz w:val="24"/>
          <w:szCs w:val="24"/>
          <w:lang w:val="ka-GE"/>
        </w:rPr>
        <w:t>, რომ</w:t>
      </w:r>
      <w:r w:rsidRPr="00175329">
        <w:rPr>
          <w:rFonts w:ascii="Sylfaen" w:hAnsi="Sylfaen"/>
          <w:noProof/>
          <w:sz w:val="24"/>
          <w:szCs w:val="24"/>
          <w:lang w:val="ka-GE"/>
        </w:rPr>
        <w:t xml:space="preserve"> მე-10 მუხლის პირველი პუნქტის მესამე წინადადების მიზანია, ნათელი გახადოს სახელმწიფოსათვის მინიჭებული უფლებამოსილება - ლიცენზირების სისტემის მეშვეობით დაარეგულიროს საკუთარ ტერიტორიაზე მაუწყებლობის ორგანიზება, განსაკუთრებით მისი ტექნიკური მხარეები. ეს არ ნიშნავს იმას, რომ ლიცენზირების </w:t>
      </w:r>
      <w:r w:rsidR="0004172A" w:rsidRPr="00175329">
        <w:rPr>
          <w:rFonts w:ascii="Sylfaen" w:hAnsi="Sylfaen"/>
          <w:noProof/>
          <w:sz w:val="24"/>
          <w:szCs w:val="24"/>
          <w:lang w:val="ka-GE"/>
        </w:rPr>
        <w:t>ღონისძიებებზე</w:t>
      </w:r>
      <w:r w:rsidRPr="00175329">
        <w:rPr>
          <w:rFonts w:ascii="Sylfaen" w:hAnsi="Sylfaen"/>
          <w:noProof/>
          <w:sz w:val="24"/>
          <w:szCs w:val="24"/>
          <w:lang w:val="ka-GE"/>
        </w:rPr>
        <w:t xml:space="preserve"> სხვაგვარად ვერ გავრცელდება მე-10 მუხლის მე-2 პუნქტის მოთხოვნები. </w:t>
      </w:r>
      <w:r w:rsidR="0004172A" w:rsidRPr="00175329">
        <w:rPr>
          <w:rFonts w:ascii="Sylfaen" w:hAnsi="Sylfaen"/>
          <w:b/>
          <w:i/>
          <w:noProof/>
          <w:sz w:val="24"/>
          <w:szCs w:val="24"/>
          <w:lang w:val="ka-GE"/>
        </w:rPr>
        <w:t>თუკი სახელმწიფოს მხრიდან მაუწყებლობის ლიცენზირება არ გაივლიდა უფლებაში ჩარევის სამსაფეხუროვან ტესტს, მაშინ აღნიშნული ღონისძიება წინააღმდეგობაში მოვიდოდა მთლიანად მე-10 მუხლის მიზნებთან.</w:t>
      </w:r>
      <w:r w:rsidR="00227A24" w:rsidRPr="00175329">
        <w:rPr>
          <w:rStyle w:val="FootnoteReference"/>
          <w:rFonts w:ascii="Sylfaen" w:hAnsi="Sylfaen"/>
          <w:noProof/>
          <w:sz w:val="24"/>
          <w:szCs w:val="24"/>
          <w:lang w:val="ka-GE"/>
        </w:rPr>
        <w:t>”</w:t>
      </w:r>
      <w:r w:rsidR="0004172A" w:rsidRPr="00175329">
        <w:rPr>
          <w:rStyle w:val="FootnoteReference"/>
          <w:rFonts w:ascii="Sylfaen" w:hAnsi="Sylfaen"/>
          <w:noProof/>
          <w:sz w:val="24"/>
          <w:szCs w:val="24"/>
          <w:lang w:val="ka-GE"/>
        </w:rPr>
        <w:footnoteReference w:id="2"/>
      </w:r>
    </w:p>
    <w:p w:rsidR="00054840" w:rsidRPr="00175329" w:rsidRDefault="00054840"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lastRenderedPageBreak/>
        <w:t>კულტურის, მეცნიერებისა და განთლების კომიტეტის მომხსენებლის ენდრიუ მექინთოშის 2008 წლის 18 დეკემბრის ევროპის საბჭოს საპარლამენტო ასამბლეის #11775 დოკუმენტში</w:t>
      </w:r>
      <w:r w:rsidR="00227A24" w:rsidRPr="00175329">
        <w:rPr>
          <w:rStyle w:val="FootnoteReference"/>
          <w:rFonts w:ascii="Sylfaen" w:hAnsi="Sylfaen"/>
          <w:noProof/>
          <w:sz w:val="24"/>
          <w:szCs w:val="24"/>
          <w:lang w:val="ka-GE"/>
        </w:rPr>
        <w:footnoteReference w:id="3"/>
      </w:r>
      <w:r w:rsidRPr="00175329">
        <w:rPr>
          <w:rFonts w:ascii="Sylfaen" w:hAnsi="Sylfaen"/>
          <w:noProof/>
          <w:sz w:val="24"/>
          <w:szCs w:val="24"/>
          <w:lang w:val="ka-GE"/>
        </w:rPr>
        <w:t xml:space="preserve"> აღნიშნულია:</w:t>
      </w:r>
    </w:p>
    <w:p w:rsidR="005E7A5F" w:rsidRPr="00175329" w:rsidRDefault="00054840"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w:t>
      </w:r>
      <w:r w:rsidR="005E7A5F" w:rsidRPr="00175329">
        <w:rPr>
          <w:rFonts w:ascii="Sylfaen" w:hAnsi="Sylfaen"/>
          <w:noProof/>
          <w:sz w:val="24"/>
          <w:szCs w:val="24"/>
          <w:lang w:val="ka-GE"/>
        </w:rPr>
        <w:t xml:space="preserve">3. </w:t>
      </w:r>
      <w:r w:rsidRPr="00175329">
        <w:rPr>
          <w:rFonts w:ascii="Sylfaen" w:hAnsi="Sylfaen"/>
          <w:noProof/>
          <w:sz w:val="24"/>
          <w:szCs w:val="24"/>
          <w:lang w:val="ka-GE"/>
        </w:rPr>
        <w:t xml:space="preserve">ტრადიციული აუდიოვიზუალური და ბეჭვდითი მედია თანდათან იცვლება ელექტრონული მედიის ახალი ფორმებით, რომლის გამოსახულების, ხმის და ტექსტის მიღება შესაძლებელი ხდება </w:t>
      </w:r>
      <w:r w:rsidR="005E7A5F" w:rsidRPr="00175329">
        <w:rPr>
          <w:rFonts w:ascii="Sylfaen" w:hAnsi="Sylfaen"/>
          <w:noProof/>
          <w:sz w:val="24"/>
          <w:szCs w:val="24"/>
          <w:lang w:val="ka-GE"/>
        </w:rPr>
        <w:t xml:space="preserve">სხვადასხვა უძრავი თუ მოძრავი სადგურების მეშვეობით, რომლთა გამოყენებაც ხდება </w:t>
      </w:r>
      <w:r w:rsidR="00AA3727" w:rsidRPr="00175329">
        <w:rPr>
          <w:rFonts w:ascii="Sylfaen" w:hAnsi="Sylfaen"/>
          <w:noProof/>
          <w:sz w:val="24"/>
          <w:szCs w:val="24"/>
          <w:lang w:val="ka-GE"/>
        </w:rPr>
        <w:t>ტალღების</w:t>
      </w:r>
      <w:r w:rsidR="005E7A5F" w:rsidRPr="00175329">
        <w:rPr>
          <w:rFonts w:ascii="Sylfaen" w:hAnsi="Sylfaen"/>
          <w:noProof/>
          <w:sz w:val="24"/>
          <w:szCs w:val="24"/>
          <w:lang w:val="ka-GE"/>
        </w:rPr>
        <w:t xml:space="preserve"> ან ციფრული მიწისზედა გადამცემებით, თანამგზავრებით ან კაბელით. ის</w:t>
      </w:r>
      <w:r w:rsidR="00227A24" w:rsidRPr="00175329">
        <w:rPr>
          <w:rFonts w:ascii="Sylfaen" w:hAnsi="Sylfaen"/>
          <w:noProof/>
          <w:sz w:val="24"/>
          <w:szCs w:val="24"/>
          <w:lang w:val="ka-GE"/>
        </w:rPr>
        <w:t>,</w:t>
      </w:r>
      <w:r w:rsidR="005E7A5F" w:rsidRPr="00175329">
        <w:rPr>
          <w:rFonts w:ascii="Sylfaen" w:hAnsi="Sylfaen"/>
          <w:noProof/>
          <w:sz w:val="24"/>
          <w:szCs w:val="24"/>
          <w:lang w:val="ka-GE"/>
        </w:rPr>
        <w:t xml:space="preserve"> რაც დღეს მიჩნეულია მაუწყებლობად, მომავალში შესაძლოა განხორციელდეს ინტერნეტის მეშვეობით, სადაც მომხმარებელს ხელი მიუწვდება უამრავი შინაარსის წყაროსთან, რასაც არ გააჩნია არავითარი გეოგრაფიული საზღვრები</w:t>
      </w:r>
      <w:r w:rsidR="00227A24" w:rsidRPr="00175329">
        <w:rPr>
          <w:rFonts w:ascii="Sylfaen" w:hAnsi="Sylfaen"/>
          <w:noProof/>
          <w:sz w:val="24"/>
          <w:szCs w:val="24"/>
          <w:lang w:val="ka-GE"/>
        </w:rPr>
        <w:t>.</w:t>
      </w:r>
    </w:p>
    <w:p w:rsidR="00FA3FB8" w:rsidRPr="00175329" w:rsidRDefault="005E7A5F"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,,4. ადამიანის უფლებათა ევროპული კონვენციის მე-10 მუხლის პირველი პუნქტი უფლებას აძლევს სახელმწიფოებს</w:t>
      </w:r>
      <w:r w:rsidR="00A62673" w:rsidRPr="00175329">
        <w:rPr>
          <w:rFonts w:ascii="Sylfaen" w:hAnsi="Sylfaen"/>
          <w:noProof/>
          <w:sz w:val="24"/>
          <w:szCs w:val="24"/>
          <w:lang w:val="ka-GE"/>
        </w:rPr>
        <w:t>,</w:t>
      </w:r>
      <w:r w:rsidRPr="00175329">
        <w:rPr>
          <w:rFonts w:ascii="Sylfaen" w:hAnsi="Sylfaen"/>
          <w:noProof/>
          <w:sz w:val="24"/>
          <w:szCs w:val="24"/>
          <w:lang w:val="ka-GE"/>
        </w:rPr>
        <w:t xml:space="preserve"> მოახდინონ სამაუწყებლო და კინოწარმოების ლიცენზირება. საპარლამენტო </w:t>
      </w:r>
      <w:r w:rsidR="00A62673" w:rsidRPr="00175329">
        <w:rPr>
          <w:rFonts w:ascii="Sylfaen" w:hAnsi="Sylfaen"/>
          <w:noProof/>
          <w:sz w:val="24"/>
          <w:szCs w:val="24"/>
          <w:lang w:val="ka-GE"/>
        </w:rPr>
        <w:t>ასამბლე</w:t>
      </w:r>
      <w:r w:rsidRPr="00175329">
        <w:rPr>
          <w:rFonts w:ascii="Sylfaen" w:hAnsi="Sylfaen"/>
          <w:noProof/>
          <w:sz w:val="24"/>
          <w:szCs w:val="24"/>
          <w:lang w:val="ka-GE"/>
        </w:rPr>
        <w:t>ას სჯერა</w:t>
      </w:r>
      <w:r w:rsidR="00227A24" w:rsidRPr="00175329">
        <w:rPr>
          <w:rFonts w:ascii="Sylfaen" w:hAnsi="Sylfaen"/>
          <w:noProof/>
          <w:sz w:val="24"/>
          <w:szCs w:val="24"/>
          <w:lang w:val="ka-GE"/>
        </w:rPr>
        <w:t>,</w:t>
      </w:r>
      <w:r w:rsidRPr="00175329">
        <w:rPr>
          <w:rFonts w:ascii="Sylfaen" w:hAnsi="Sylfaen"/>
          <w:noProof/>
          <w:sz w:val="24"/>
          <w:szCs w:val="24"/>
          <w:lang w:val="ka-GE"/>
        </w:rPr>
        <w:t xml:space="preserve"> </w:t>
      </w:r>
      <w:r w:rsidR="00FA3FB8" w:rsidRPr="00175329">
        <w:rPr>
          <w:rFonts w:ascii="Sylfaen" w:hAnsi="Sylfaen"/>
          <w:noProof/>
          <w:sz w:val="24"/>
          <w:szCs w:val="24"/>
          <w:lang w:val="ka-GE"/>
        </w:rPr>
        <w:t>ამ გაგებით ტელე და სხვაგვარი მაუწყებლობა არ მოიცავს ინტერნეტ რადიოსა და ტელევიზიას, რაც არ მოითხოვს სახელმწიფოს მხრიდან ნებართვის მიცემას. ინტერნეტ რადიო</w:t>
      </w:r>
      <w:r w:rsidR="00A62673" w:rsidRPr="00175329">
        <w:rPr>
          <w:rFonts w:ascii="Sylfaen" w:hAnsi="Sylfaen"/>
          <w:noProof/>
          <w:sz w:val="24"/>
          <w:szCs w:val="24"/>
          <w:lang w:val="ka-GE"/>
        </w:rPr>
        <w:t>ს</w:t>
      </w:r>
      <w:r w:rsidR="00FA3FB8" w:rsidRPr="00175329">
        <w:rPr>
          <w:rFonts w:ascii="Sylfaen" w:hAnsi="Sylfaen"/>
          <w:noProof/>
          <w:sz w:val="24"/>
          <w:szCs w:val="24"/>
          <w:lang w:val="ka-GE"/>
        </w:rPr>
        <w:t xml:space="preserve"> და ტელევიზიის მიმართ სახელმწიფოს დამოკიდებულება უნდა გაუთანაბრდეს ტექსტის, გამოსახულებისა და ხმის მქონე ინტერნეტ-გაზეთსა და ვებ-გვერდს</w:t>
      </w:r>
      <w:r w:rsidR="00227A24" w:rsidRPr="00175329">
        <w:rPr>
          <w:rFonts w:ascii="Sylfaen" w:hAnsi="Sylfaen"/>
          <w:noProof/>
          <w:sz w:val="24"/>
          <w:szCs w:val="24"/>
          <w:lang w:val="ka-GE"/>
        </w:rPr>
        <w:t>.</w:t>
      </w:r>
    </w:p>
    <w:p w:rsidR="004649E3" w:rsidRPr="00175329" w:rsidRDefault="00FA3FB8"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5. </w:t>
      </w:r>
      <w:r w:rsidR="00A62673" w:rsidRPr="00175329">
        <w:rPr>
          <w:rFonts w:ascii="Sylfaen" w:hAnsi="Sylfaen"/>
          <w:noProof/>
          <w:sz w:val="24"/>
          <w:szCs w:val="24"/>
          <w:lang w:val="ka-GE"/>
        </w:rPr>
        <w:t>ტექნოლო</w:t>
      </w:r>
      <w:r w:rsidRPr="00175329">
        <w:rPr>
          <w:rFonts w:ascii="Sylfaen" w:hAnsi="Sylfaen"/>
          <w:noProof/>
          <w:sz w:val="24"/>
          <w:szCs w:val="24"/>
          <w:lang w:val="ka-GE"/>
        </w:rPr>
        <w:t xml:space="preserve">გიურმა პროგრესმა გაზარდა იმგვარი არხების, პროგრამებისა და მომსახურებების რაოდენობა, რაც ხელმისაწვდომია აუდიოვიზუალური მედიის მეშვეობით. აღნიშნული მაყურებელსა და მსმენელს უზრუნველყოფს ფართო </w:t>
      </w:r>
      <w:r w:rsidRPr="00175329">
        <w:rPr>
          <w:rFonts w:ascii="Sylfaen" w:hAnsi="Sylfaen"/>
          <w:noProof/>
          <w:sz w:val="24"/>
          <w:szCs w:val="24"/>
          <w:lang w:val="ka-GE"/>
        </w:rPr>
        <w:lastRenderedPageBreak/>
        <w:t xml:space="preserve">არჩევანით, </w:t>
      </w:r>
      <w:r w:rsidR="00EE13BE" w:rsidRPr="00175329">
        <w:rPr>
          <w:rFonts w:ascii="Sylfaen" w:hAnsi="Sylfaen"/>
          <w:noProof/>
          <w:sz w:val="24"/>
          <w:szCs w:val="24"/>
          <w:lang w:val="ka-GE"/>
        </w:rPr>
        <w:t xml:space="preserve">პირდაპირ მომცველი </w:t>
      </w:r>
      <w:r w:rsidRPr="00175329">
        <w:rPr>
          <w:rFonts w:ascii="Sylfaen" w:hAnsi="Sylfaen"/>
          <w:noProof/>
          <w:sz w:val="24"/>
          <w:szCs w:val="24"/>
          <w:lang w:val="ka-GE"/>
        </w:rPr>
        <w:t>და მოთხოვნადი მომსახურებით.</w:t>
      </w:r>
      <w:r w:rsidR="00EE13BE" w:rsidRPr="00175329">
        <w:rPr>
          <w:rFonts w:ascii="Sylfaen" w:hAnsi="Sylfaen"/>
          <w:noProof/>
          <w:sz w:val="24"/>
          <w:szCs w:val="24"/>
          <w:lang w:val="ka-GE"/>
        </w:rPr>
        <w:t xml:space="preserve"> მიუხედავად ამისა, მეტი აუდიოვიზუალური </w:t>
      </w:r>
      <w:r w:rsidR="002F2027" w:rsidRPr="00175329">
        <w:rPr>
          <w:rFonts w:ascii="Sylfaen" w:hAnsi="Sylfaen"/>
          <w:noProof/>
          <w:sz w:val="24"/>
          <w:szCs w:val="24"/>
          <w:lang w:val="ka-GE"/>
        </w:rPr>
        <w:t>პროდუქტი</w:t>
      </w:r>
      <w:r w:rsidR="004649E3" w:rsidRPr="00175329">
        <w:rPr>
          <w:rFonts w:ascii="Sylfaen" w:hAnsi="Sylfaen"/>
          <w:noProof/>
          <w:sz w:val="24"/>
          <w:szCs w:val="24"/>
          <w:lang w:val="ka-GE"/>
        </w:rPr>
        <w:t xml:space="preserve"> აუცილებლად არ გულისხმობს მეტ პლურალიზმს, მრავალფეროვნებას და ხარისხს. ეს მოთხოვნები კი აუდიოვიზუალური პოლიტიკის პრიორიტეტად რჩება.</w:t>
      </w:r>
    </w:p>
    <w:p w:rsidR="00402801" w:rsidRPr="00175329" w:rsidRDefault="004649E3"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6. ახალი აუდიოვიზუალური მედიის მაყურებელი, მსმენელი და მკითხველი დიდი პასუხისმგებლობის მატარებელი ხდება იმ </w:t>
      </w:r>
      <w:r w:rsidR="002F2027" w:rsidRPr="00175329">
        <w:rPr>
          <w:rFonts w:ascii="Sylfaen" w:hAnsi="Sylfaen"/>
          <w:noProof/>
          <w:sz w:val="24"/>
          <w:szCs w:val="24"/>
          <w:lang w:val="ka-GE"/>
        </w:rPr>
        <w:t>შინაარსთან</w:t>
      </w:r>
      <w:r w:rsidRPr="00175329">
        <w:rPr>
          <w:rFonts w:ascii="Sylfaen" w:hAnsi="Sylfaen"/>
          <w:noProof/>
          <w:sz w:val="24"/>
          <w:szCs w:val="24"/>
          <w:lang w:val="ka-GE"/>
        </w:rPr>
        <w:t xml:space="preserve"> მიმართებაში, რასაც ის ირჩევს ან რაშიც მას შეუძლია წვლილის შეტანა, იმავდროულად სახელმწიფო მარეგულირებელი ხელისუფლების </w:t>
      </w:r>
      <w:r w:rsidR="007A64B0" w:rsidRPr="00175329">
        <w:rPr>
          <w:rFonts w:ascii="Sylfaen" w:hAnsi="Sylfaen"/>
          <w:noProof/>
          <w:sz w:val="24"/>
          <w:szCs w:val="24"/>
          <w:lang w:val="ka-GE"/>
        </w:rPr>
        <w:t>ზემოქმედება</w:t>
      </w:r>
      <w:r w:rsidRPr="00175329">
        <w:rPr>
          <w:rFonts w:ascii="Sylfaen" w:hAnsi="Sylfaen"/>
          <w:noProof/>
          <w:sz w:val="24"/>
          <w:szCs w:val="24"/>
          <w:lang w:val="ka-GE"/>
        </w:rPr>
        <w:t xml:space="preserve"> შინაარსთან მიმართებაში ნაკლებად </w:t>
      </w:r>
      <w:r w:rsidR="007A64B0" w:rsidRPr="00175329">
        <w:rPr>
          <w:rFonts w:ascii="Sylfaen" w:hAnsi="Sylfaen"/>
          <w:noProof/>
          <w:sz w:val="24"/>
          <w:szCs w:val="24"/>
          <w:lang w:val="ka-GE"/>
        </w:rPr>
        <w:t>ეფექტური ხდება. ქვეყნის შიგნით კანონმდებლები მოწოდებული არიან, გადახედონ არსებულ რეგულაციებს და</w:t>
      </w:r>
      <w:r w:rsidR="00402801" w:rsidRPr="00175329">
        <w:rPr>
          <w:rFonts w:ascii="Sylfaen" w:hAnsi="Sylfaen"/>
          <w:noProof/>
          <w:sz w:val="24"/>
          <w:szCs w:val="24"/>
          <w:lang w:val="ka-GE"/>
        </w:rPr>
        <w:t xml:space="preserve"> </w:t>
      </w:r>
      <w:r w:rsidR="007A64B0" w:rsidRPr="00175329">
        <w:rPr>
          <w:rFonts w:ascii="Sylfaen" w:hAnsi="Sylfaen"/>
          <w:noProof/>
          <w:sz w:val="24"/>
          <w:szCs w:val="24"/>
          <w:lang w:val="ka-GE"/>
        </w:rPr>
        <w:t>მიზნის მისაღწევად დაადგინონ ახალი საშუალებები</w:t>
      </w:r>
      <w:r w:rsidR="00402801" w:rsidRPr="00175329">
        <w:rPr>
          <w:rFonts w:ascii="Sylfaen" w:hAnsi="Sylfaen"/>
          <w:noProof/>
          <w:sz w:val="24"/>
          <w:szCs w:val="24"/>
          <w:lang w:val="ka-GE"/>
        </w:rPr>
        <w:t xml:space="preserve"> აუდიოვიზუალური მედიის პოლიტიკის მხედველობაში მიღებით, მაშინ როდესაც ზემოხსენებული მიზნები კვლავაც აქტუალურია ახალი მედია გარემოს პირობებში.</w:t>
      </w:r>
      <w:r w:rsidR="00B737F0" w:rsidRPr="00175329">
        <w:rPr>
          <w:rFonts w:ascii="Sylfaen" w:hAnsi="Sylfaen"/>
          <w:noProof/>
          <w:sz w:val="24"/>
          <w:szCs w:val="24"/>
          <w:lang w:val="ka-GE"/>
        </w:rPr>
        <w:t>”</w:t>
      </w:r>
      <w:r w:rsidR="00227A24" w:rsidRPr="00175329">
        <w:rPr>
          <w:rStyle w:val="FootnoteReference"/>
          <w:rFonts w:ascii="Sylfaen" w:hAnsi="Sylfaen"/>
          <w:noProof/>
          <w:sz w:val="24"/>
          <w:szCs w:val="24"/>
          <w:lang w:val="ka-GE"/>
        </w:rPr>
        <w:footnoteReference w:id="4"/>
      </w:r>
    </w:p>
    <w:p w:rsidR="002F2027" w:rsidRPr="00175329" w:rsidRDefault="002F2027" w:rsidP="00175329">
      <w:pPr>
        <w:spacing w:after="0"/>
        <w:ind w:right="149"/>
        <w:jc w:val="both"/>
        <w:rPr>
          <w:rFonts w:ascii="Sylfaen" w:hAnsi="Sylfaen"/>
          <w:b/>
          <w:noProof/>
          <w:sz w:val="24"/>
          <w:szCs w:val="24"/>
          <w:lang w:val="ka-GE"/>
        </w:rPr>
      </w:pPr>
      <w:r w:rsidRPr="00175329">
        <w:rPr>
          <w:rFonts w:ascii="Sylfaen" w:hAnsi="Sylfaen"/>
          <w:b/>
          <w:noProof/>
          <w:sz w:val="24"/>
          <w:szCs w:val="24"/>
          <w:lang w:val="ka-GE"/>
        </w:rPr>
        <w:t>აღნიშნული პრინციპების მიმართება სა</w:t>
      </w:r>
      <w:r w:rsidR="004A6F42" w:rsidRPr="00175329">
        <w:rPr>
          <w:rFonts w:ascii="Sylfaen" w:hAnsi="Sylfaen"/>
          <w:b/>
          <w:noProof/>
          <w:sz w:val="24"/>
          <w:szCs w:val="24"/>
          <w:lang w:val="ka-GE"/>
        </w:rPr>
        <w:t>დავო ნორმასთან</w:t>
      </w:r>
    </w:p>
    <w:p w:rsidR="004A6F42" w:rsidRPr="00175329" w:rsidRDefault="004A6F42"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,,მაუწყებლობის შესახებ” საქართველოს კანონი ითვალისწინებს საკაბელო ქსელით და მიწისზედა თანამგზავრის საშუალებით მაუწყებლობის დაწყებისათვის სახელმწიფოს მხრიდან ლიცენზირებას. ამგვარად, სახელმწიფოს მარეგულირებელი ზემოქმედების ფარგლები საკაბელო და თანამგზავრული მაუწყებლობასთან დაკავშირებით სიხშირული სპექტრით მაუწყებლობის რეგულირების ფარგლების იდნეტურია.</w:t>
      </w:r>
    </w:p>
    <w:p w:rsidR="00E761CD" w:rsidRPr="00175329" w:rsidRDefault="004A6F42"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lastRenderedPageBreak/>
        <w:t xml:space="preserve">როგორც აღვნიშნეთ, სახელმწიფოს სალიცენზიო უფლებამოსილება დაკავშირებულია ე.წ. ,,ტრადიციულ” აუდიოვიზუალურ მედიასთან. </w:t>
      </w:r>
      <w:r w:rsidR="003320F3" w:rsidRPr="00175329">
        <w:rPr>
          <w:rFonts w:ascii="Sylfaen" w:hAnsi="Sylfaen"/>
          <w:noProof/>
          <w:sz w:val="24"/>
          <w:szCs w:val="24"/>
          <w:lang w:val="ka-GE"/>
        </w:rPr>
        <w:t xml:space="preserve">სახელმწიფოს წინაშე მდგარი მწვავე სოციალური აუცილებლობა, ლიცენზირების სისტემის მეშვეობით დაერეგულირებენა აუდიოვიზუალური (ტელერადიომაუწყებლობის) მაუწყებლობა, მდგომარეობდა იმ </w:t>
      </w:r>
      <w:r w:rsidR="00E761CD" w:rsidRPr="00175329">
        <w:rPr>
          <w:rFonts w:ascii="Sylfaen" w:hAnsi="Sylfaen"/>
          <w:noProof/>
          <w:sz w:val="24"/>
          <w:szCs w:val="24"/>
          <w:lang w:val="ka-GE"/>
        </w:rPr>
        <w:t>რესუ</w:t>
      </w:r>
      <w:r w:rsidR="003320F3" w:rsidRPr="00175329">
        <w:rPr>
          <w:rFonts w:ascii="Sylfaen" w:hAnsi="Sylfaen"/>
          <w:noProof/>
          <w:sz w:val="24"/>
          <w:szCs w:val="24"/>
          <w:lang w:val="ka-GE"/>
        </w:rPr>
        <w:t xml:space="preserve">რსის, სამაუწყებლო სიხშირის ბუნებრივ სიმწირეში, რომლითაც ხორციელდებოდა მაუწყებლობა. უკანასკნელ ტექნიკურ პროგრესამდე სიხშირული სპექტრი იყო აუდიოვიზუალური ეფექტის მოხდენის ერთადერთი </w:t>
      </w:r>
      <w:r w:rsidR="00EA78E7" w:rsidRPr="00175329">
        <w:rPr>
          <w:rFonts w:ascii="Sylfaen" w:hAnsi="Sylfaen"/>
          <w:noProof/>
          <w:sz w:val="24"/>
          <w:szCs w:val="24"/>
          <w:lang w:val="ka-GE"/>
        </w:rPr>
        <w:t>საშუალება</w:t>
      </w:r>
      <w:r w:rsidR="003320F3" w:rsidRPr="00175329">
        <w:rPr>
          <w:rFonts w:ascii="Sylfaen" w:hAnsi="Sylfaen"/>
          <w:noProof/>
          <w:sz w:val="24"/>
          <w:szCs w:val="24"/>
          <w:lang w:val="ka-GE"/>
        </w:rPr>
        <w:t>. თავის მხრივ</w:t>
      </w:r>
      <w:r w:rsidR="00EA78E7" w:rsidRPr="00175329">
        <w:rPr>
          <w:rFonts w:ascii="Sylfaen" w:hAnsi="Sylfaen"/>
          <w:noProof/>
          <w:sz w:val="24"/>
          <w:szCs w:val="24"/>
          <w:lang w:val="ka-GE"/>
        </w:rPr>
        <w:t>,</w:t>
      </w:r>
      <w:r w:rsidR="003320F3" w:rsidRPr="00175329">
        <w:rPr>
          <w:rFonts w:ascii="Sylfaen" w:hAnsi="Sylfaen"/>
          <w:noProof/>
          <w:sz w:val="24"/>
          <w:szCs w:val="24"/>
          <w:lang w:val="ka-GE"/>
        </w:rPr>
        <w:t xml:space="preserve"> სიხშირული სპექტრი ბუნებრივად ამოწურვადია და ხშირად ვერ უპასუხებს ყველა კერძო პირის მხრიდან მათი ექსპლოატაციის სურვილებს. რამდენიმე პირის მიერ ერთი სიხშირის გამოყენება იწვევს ურთიერთშეუთავსებლობას. </w:t>
      </w:r>
      <w:r w:rsidR="00EA78E7" w:rsidRPr="00175329">
        <w:rPr>
          <w:rFonts w:ascii="Sylfaen" w:hAnsi="Sylfaen"/>
          <w:noProof/>
          <w:sz w:val="24"/>
          <w:szCs w:val="24"/>
          <w:lang w:val="ka-GE"/>
        </w:rPr>
        <w:t>ერთ</w:t>
      </w:r>
      <w:r w:rsidR="003320F3" w:rsidRPr="00175329">
        <w:rPr>
          <w:rFonts w:ascii="Sylfaen" w:hAnsi="Sylfaen"/>
          <w:noProof/>
          <w:sz w:val="24"/>
          <w:szCs w:val="24"/>
          <w:lang w:val="ka-GE"/>
        </w:rPr>
        <w:t xml:space="preserve"> სამაუწყებლო სიხშირეზე განხორციელებული რამდენიმე სიგნალის აღქმა შეუძლებელი ხდება მსმენილისა თუ მაყურებლისათვის</w:t>
      </w:r>
      <w:r w:rsidR="00E761CD" w:rsidRPr="00175329">
        <w:rPr>
          <w:rFonts w:ascii="Sylfaen" w:hAnsi="Sylfaen"/>
          <w:noProof/>
          <w:sz w:val="24"/>
          <w:szCs w:val="24"/>
          <w:lang w:val="ka-GE"/>
        </w:rPr>
        <w:t xml:space="preserve">. </w:t>
      </w:r>
      <w:r w:rsidR="003320F3" w:rsidRPr="00175329">
        <w:rPr>
          <w:rFonts w:ascii="Sylfaen" w:hAnsi="Sylfaen"/>
          <w:noProof/>
          <w:sz w:val="24"/>
          <w:szCs w:val="24"/>
          <w:lang w:val="ka-GE"/>
        </w:rPr>
        <w:t>არათუ ერთ სიხშირეზე, არამედ ერთმანეთის მომიჯნავე სხვადასხვა სიხშირეზეც კი წარმოიქმნება ურთიერთშეუთავსებლობის პრობლემა, თუკი ერთ</w:t>
      </w:r>
      <w:r w:rsidR="00E761CD" w:rsidRPr="00175329">
        <w:rPr>
          <w:rFonts w:ascii="Sylfaen" w:hAnsi="Sylfaen"/>
          <w:noProof/>
          <w:sz w:val="24"/>
          <w:szCs w:val="24"/>
          <w:lang w:val="ka-GE"/>
        </w:rPr>
        <w:t>-</w:t>
      </w:r>
      <w:r w:rsidR="003320F3" w:rsidRPr="00175329">
        <w:rPr>
          <w:rFonts w:ascii="Sylfaen" w:hAnsi="Sylfaen"/>
          <w:noProof/>
          <w:sz w:val="24"/>
          <w:szCs w:val="24"/>
          <w:lang w:val="ka-GE"/>
        </w:rPr>
        <w:t>ერთი მაუწყებლის გადამცემის სიმძლავრის დასაშვები პარამეტრები მნიშვნელოვნად აღემატება მეზობელ სიხშირეზე მაუწყებლის გადამცემის სიმძლავრის პარამეტრებს</w:t>
      </w:r>
      <w:r w:rsidR="00E761CD" w:rsidRPr="00175329">
        <w:rPr>
          <w:rFonts w:ascii="Sylfaen" w:hAnsi="Sylfaen"/>
          <w:noProof/>
          <w:sz w:val="24"/>
          <w:szCs w:val="24"/>
          <w:lang w:val="ka-GE"/>
        </w:rPr>
        <w:t>. სწორედ, ეს იყო ის მდგომარეობა, რაც სამოქალაქო და პოლიტიკური უფლებების პაქტის მე-19 მუხლის ტექსტის შემუშავებისას, ,,სიხშირეთა გამოყენების ქაოსად” იქნა შეფასებული</w:t>
      </w:r>
      <w:r w:rsidR="00EA78E7" w:rsidRPr="00175329">
        <w:rPr>
          <w:rFonts w:ascii="Sylfaen" w:hAnsi="Sylfaen"/>
          <w:noProof/>
          <w:sz w:val="24"/>
          <w:szCs w:val="24"/>
          <w:lang w:val="ka-GE"/>
        </w:rPr>
        <w:t xml:space="preserve"> (იხილეთ ზემოთ)</w:t>
      </w:r>
      <w:r w:rsidR="00E761CD" w:rsidRPr="00175329">
        <w:rPr>
          <w:rFonts w:ascii="Sylfaen" w:hAnsi="Sylfaen"/>
          <w:noProof/>
          <w:sz w:val="24"/>
          <w:szCs w:val="24"/>
          <w:lang w:val="ka-GE"/>
        </w:rPr>
        <w:t>.</w:t>
      </w:r>
    </w:p>
    <w:p w:rsidR="000B7A64" w:rsidRPr="00175329" w:rsidRDefault="00E761CD"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აქედან გამომდინარე, სახელმწიფო აღმოჩნდა ერთადერთი სუბიექტი, რომელმაც სრულიად კანონიერად იტვირთა სიხშირეების მართვის ფუნქცია. ეს უპირველესად, გამოწვეული იყო მომხმარებლის ინტერესებით, მიეღო ხარისხიანი ტელე-რადიო პროგრამები ხმისა და გამოსახულების ხარვეზის გარეშე. </w:t>
      </w:r>
      <w:r w:rsidRPr="00175329">
        <w:rPr>
          <w:rFonts w:ascii="Sylfaen" w:hAnsi="Sylfaen"/>
          <w:b/>
          <w:i/>
          <w:noProof/>
          <w:sz w:val="24"/>
          <w:szCs w:val="24"/>
          <w:lang w:val="ka-GE"/>
        </w:rPr>
        <w:t>სახელმწიფოს მხრიდან სიხშირეთა მარეგულირებლის ფუ</w:t>
      </w:r>
      <w:r w:rsidR="00EA78E7" w:rsidRPr="00175329">
        <w:rPr>
          <w:rFonts w:ascii="Sylfaen" w:hAnsi="Sylfaen"/>
          <w:b/>
          <w:i/>
          <w:noProof/>
          <w:sz w:val="24"/>
          <w:szCs w:val="24"/>
          <w:lang w:val="ka-GE"/>
        </w:rPr>
        <w:t>ნ</w:t>
      </w:r>
      <w:r w:rsidR="00B737F0" w:rsidRPr="00175329">
        <w:rPr>
          <w:rFonts w:ascii="Sylfaen" w:hAnsi="Sylfaen"/>
          <w:b/>
          <w:i/>
          <w:noProof/>
          <w:sz w:val="24"/>
          <w:szCs w:val="24"/>
          <w:lang w:val="ka-GE"/>
        </w:rPr>
        <w:t>ქ</w:t>
      </w:r>
      <w:r w:rsidRPr="00175329">
        <w:rPr>
          <w:rFonts w:ascii="Sylfaen" w:hAnsi="Sylfaen"/>
          <w:b/>
          <w:i/>
          <w:noProof/>
          <w:sz w:val="24"/>
          <w:szCs w:val="24"/>
          <w:lang w:val="ka-GE"/>
        </w:rPr>
        <w:t>ცია გულისხმობს შეზღუდული რესურსის ეფექტიანად გამოყენებას და აუდიტორიის მრავალფეროვანი მოთხოვნებისადმი პასუხს.</w:t>
      </w:r>
      <w:r w:rsidR="00B61CB8" w:rsidRPr="00175329">
        <w:rPr>
          <w:rFonts w:ascii="Sylfaen" w:hAnsi="Sylfaen"/>
          <w:noProof/>
          <w:sz w:val="24"/>
          <w:szCs w:val="24"/>
          <w:lang w:val="ka-GE"/>
        </w:rPr>
        <w:t xml:space="preserve"> საზოგადოებაში არსებული განსხვავებულობის</w:t>
      </w:r>
      <w:r w:rsidRPr="00175329">
        <w:rPr>
          <w:rFonts w:ascii="Sylfaen" w:hAnsi="Sylfaen"/>
          <w:noProof/>
          <w:sz w:val="24"/>
          <w:szCs w:val="24"/>
          <w:lang w:val="ka-GE"/>
        </w:rPr>
        <w:t xml:space="preserve"> </w:t>
      </w:r>
      <w:r w:rsidR="00B61CB8" w:rsidRPr="00175329">
        <w:rPr>
          <w:rFonts w:ascii="Sylfaen" w:hAnsi="Sylfaen"/>
          <w:noProof/>
          <w:sz w:val="24"/>
          <w:szCs w:val="24"/>
          <w:lang w:val="ka-GE"/>
        </w:rPr>
        <w:t xml:space="preserve">სათანადო წარმოჩენა დიდი ხნის განმავლობაში აიძულებდა ისეთ ევროპულ სახელმწიფოებს, როგორიცაა შვეიცარია და ავსტრია, საზოგადოებრივი მაუწყებლების მონოპოლია დაეწესებინათ სიხშირულ სპექტრზე. ეს მონოპოლია ემსახურებოდა იმას, რომ თავიდან ყოფილიყო აცილებული </w:t>
      </w:r>
      <w:r w:rsidR="00EA78E7" w:rsidRPr="00175329">
        <w:rPr>
          <w:rFonts w:ascii="Sylfaen" w:hAnsi="Sylfaen"/>
          <w:noProof/>
          <w:sz w:val="24"/>
          <w:szCs w:val="24"/>
          <w:lang w:val="ka-GE"/>
        </w:rPr>
        <w:t xml:space="preserve">იმ </w:t>
      </w:r>
      <w:r w:rsidR="00B61CB8" w:rsidRPr="00175329">
        <w:rPr>
          <w:rFonts w:ascii="Sylfaen" w:hAnsi="Sylfaen"/>
          <w:noProof/>
          <w:sz w:val="24"/>
          <w:szCs w:val="24"/>
          <w:lang w:val="ka-GE"/>
        </w:rPr>
        <w:t xml:space="preserve">ცალკეული პირების ხელში სიხშირეთა </w:t>
      </w:r>
      <w:r w:rsidR="00EA78E7" w:rsidRPr="00175329">
        <w:rPr>
          <w:rFonts w:ascii="Sylfaen" w:hAnsi="Sylfaen"/>
          <w:noProof/>
          <w:sz w:val="24"/>
          <w:szCs w:val="24"/>
          <w:lang w:val="ka-GE"/>
        </w:rPr>
        <w:t>მოხვედრა</w:t>
      </w:r>
      <w:r w:rsidR="00B61CB8" w:rsidRPr="00175329">
        <w:rPr>
          <w:rFonts w:ascii="Sylfaen" w:hAnsi="Sylfaen"/>
          <w:noProof/>
          <w:sz w:val="24"/>
          <w:szCs w:val="24"/>
          <w:lang w:val="ka-GE"/>
        </w:rPr>
        <w:t xml:space="preserve">, რომლებიც ბუნებრივად ამოწურვად რესურსს </w:t>
      </w:r>
      <w:r w:rsidR="00B737F0" w:rsidRPr="00175329">
        <w:rPr>
          <w:rFonts w:ascii="Sylfaen" w:hAnsi="Sylfaen"/>
          <w:noProof/>
          <w:sz w:val="24"/>
          <w:szCs w:val="24"/>
          <w:lang w:val="ka-GE"/>
        </w:rPr>
        <w:t>გამოიყენებდნენ</w:t>
      </w:r>
      <w:r w:rsidR="00B61CB8" w:rsidRPr="00175329">
        <w:rPr>
          <w:rFonts w:ascii="Sylfaen" w:hAnsi="Sylfaen"/>
          <w:noProof/>
          <w:sz w:val="24"/>
          <w:szCs w:val="24"/>
          <w:lang w:val="ka-GE"/>
        </w:rPr>
        <w:t xml:space="preserve"> პირადი ინტერესებისათვის და არ </w:t>
      </w:r>
      <w:r w:rsidR="00EA78E7" w:rsidRPr="00175329">
        <w:rPr>
          <w:rFonts w:ascii="Sylfaen" w:hAnsi="Sylfaen"/>
          <w:noProof/>
          <w:sz w:val="24"/>
          <w:szCs w:val="24"/>
          <w:lang w:val="ka-GE"/>
        </w:rPr>
        <w:t>ასახავდნენ</w:t>
      </w:r>
      <w:r w:rsidR="00B61CB8" w:rsidRPr="00175329">
        <w:rPr>
          <w:rFonts w:ascii="Sylfaen" w:hAnsi="Sylfaen"/>
          <w:noProof/>
          <w:sz w:val="24"/>
          <w:szCs w:val="24"/>
          <w:lang w:val="ka-GE"/>
        </w:rPr>
        <w:t xml:space="preserve"> საზოგადოების მრავალფეროვან ინტერესებს. მოგვიანებით, </w:t>
      </w:r>
      <w:r w:rsidRPr="00175329">
        <w:rPr>
          <w:rFonts w:ascii="Sylfaen" w:hAnsi="Sylfaen"/>
          <w:noProof/>
          <w:sz w:val="24"/>
          <w:szCs w:val="24"/>
          <w:lang w:val="ka-GE"/>
        </w:rPr>
        <w:t>სახელმწიფოს შესაბამისი მარეგულირებელი ორგანო</w:t>
      </w:r>
      <w:r w:rsidR="00B61CB8" w:rsidRPr="00175329">
        <w:rPr>
          <w:rFonts w:ascii="Sylfaen" w:hAnsi="Sylfaen"/>
          <w:noProof/>
          <w:sz w:val="24"/>
          <w:szCs w:val="24"/>
          <w:lang w:val="ka-GE"/>
        </w:rPr>
        <w:t>ს</w:t>
      </w:r>
      <w:r w:rsidRPr="00175329">
        <w:rPr>
          <w:rFonts w:ascii="Sylfaen" w:hAnsi="Sylfaen"/>
          <w:noProof/>
          <w:sz w:val="24"/>
          <w:szCs w:val="24"/>
          <w:lang w:val="ka-GE"/>
        </w:rPr>
        <w:t xml:space="preserve"> სიხშირეთა </w:t>
      </w:r>
      <w:r w:rsidR="00B61CB8" w:rsidRPr="00175329">
        <w:rPr>
          <w:rFonts w:ascii="Sylfaen" w:hAnsi="Sylfaen"/>
          <w:noProof/>
          <w:sz w:val="24"/>
          <w:szCs w:val="24"/>
          <w:lang w:val="ka-GE"/>
        </w:rPr>
        <w:t>კონტროლის ფუნქცია</w:t>
      </w:r>
      <w:r w:rsidR="00B737F0" w:rsidRPr="00175329">
        <w:rPr>
          <w:rFonts w:ascii="Sylfaen" w:hAnsi="Sylfaen"/>
          <w:noProof/>
          <w:sz w:val="24"/>
          <w:szCs w:val="24"/>
          <w:lang w:val="ka-GE"/>
        </w:rPr>
        <w:t xml:space="preserve"> უნდა განიმარტოს როგორც </w:t>
      </w:r>
      <w:r w:rsidR="00B61CB8" w:rsidRPr="00175329">
        <w:rPr>
          <w:rFonts w:ascii="Sylfaen" w:hAnsi="Sylfaen"/>
          <w:noProof/>
          <w:sz w:val="24"/>
          <w:szCs w:val="24"/>
          <w:lang w:val="ka-GE"/>
        </w:rPr>
        <w:t xml:space="preserve">სიხშირეთა </w:t>
      </w:r>
      <w:r w:rsidRPr="00175329">
        <w:rPr>
          <w:rFonts w:ascii="Sylfaen" w:hAnsi="Sylfaen"/>
          <w:noProof/>
          <w:sz w:val="24"/>
          <w:szCs w:val="24"/>
          <w:lang w:val="ka-GE"/>
        </w:rPr>
        <w:t xml:space="preserve">განაწილებისას </w:t>
      </w:r>
      <w:r w:rsidR="00B61CB8" w:rsidRPr="00175329">
        <w:rPr>
          <w:rFonts w:ascii="Sylfaen" w:hAnsi="Sylfaen"/>
          <w:noProof/>
          <w:sz w:val="24"/>
          <w:szCs w:val="24"/>
          <w:lang w:val="ka-GE"/>
        </w:rPr>
        <w:t xml:space="preserve">პრიორიტეტების </w:t>
      </w:r>
      <w:r w:rsidR="00B737F0" w:rsidRPr="00175329">
        <w:rPr>
          <w:rFonts w:ascii="Sylfaen" w:hAnsi="Sylfaen"/>
          <w:noProof/>
          <w:sz w:val="24"/>
          <w:szCs w:val="24"/>
          <w:lang w:val="ka-GE"/>
        </w:rPr>
        <w:t>განსაზღვრის უფლებამოსილებით</w:t>
      </w:r>
      <w:r w:rsidR="00B61CB8" w:rsidRPr="00175329">
        <w:rPr>
          <w:rFonts w:ascii="Sylfaen" w:hAnsi="Sylfaen"/>
          <w:noProof/>
          <w:sz w:val="24"/>
          <w:szCs w:val="24"/>
          <w:lang w:val="ka-GE"/>
        </w:rPr>
        <w:t xml:space="preserve">. </w:t>
      </w:r>
      <w:r w:rsidR="00EA78E7" w:rsidRPr="00175329">
        <w:rPr>
          <w:rFonts w:ascii="Sylfaen" w:hAnsi="Sylfaen"/>
          <w:noProof/>
          <w:sz w:val="24"/>
          <w:szCs w:val="24"/>
          <w:lang w:val="ka-GE"/>
        </w:rPr>
        <w:t xml:space="preserve">კერძო პირებზე </w:t>
      </w:r>
      <w:r w:rsidR="00B61CB8" w:rsidRPr="00175329">
        <w:rPr>
          <w:rFonts w:ascii="Sylfaen" w:hAnsi="Sylfaen"/>
          <w:noProof/>
          <w:sz w:val="24"/>
          <w:szCs w:val="24"/>
          <w:lang w:val="ka-GE"/>
        </w:rPr>
        <w:t xml:space="preserve">ლიცენზიის გაცემისას, მარეგულირებელი ორგანო </w:t>
      </w:r>
      <w:r w:rsidR="00B61CB8" w:rsidRPr="00175329">
        <w:rPr>
          <w:rFonts w:ascii="Sylfaen" w:hAnsi="Sylfaen"/>
          <w:noProof/>
          <w:sz w:val="24"/>
          <w:szCs w:val="24"/>
          <w:lang w:val="ka-GE"/>
        </w:rPr>
        <w:lastRenderedPageBreak/>
        <w:t xml:space="preserve">უზრუნველყოს იმას, რომ შეძლებისდაგვარად თანაბრად იქნას დაკმაყოფილებული საზოგადოების მრავალფეროვანი ინტერესები და გემოვნება. შეზღუდულმა სიხშირეებმა შეძლებისდაგვარად თანაბრად უნდა დააკმაყოფილოს პოლიტიკით, სპორტით, კულტურით და სხვა სფეროთი დაინტერესებული ადამიანები. </w:t>
      </w:r>
      <w:r w:rsidR="000B7A64" w:rsidRPr="00175329">
        <w:rPr>
          <w:rFonts w:ascii="Sylfaen" w:hAnsi="Sylfaen"/>
          <w:noProof/>
          <w:sz w:val="24"/>
          <w:szCs w:val="24"/>
          <w:lang w:val="ka-GE"/>
        </w:rPr>
        <w:t>სამაუწყებლო კონცეფცია არის ერთ-ერთი კრიტერიუმი, რომლითაც შეირჩევა პრეტენდენტები. ლიცენზიის გაცემის შემდეგ, მარეგულირებელი ორგანო ვალდებული ხდება</w:t>
      </w:r>
      <w:r w:rsidR="00EA78E7" w:rsidRPr="00175329">
        <w:rPr>
          <w:rFonts w:ascii="Sylfaen" w:hAnsi="Sylfaen"/>
          <w:noProof/>
          <w:sz w:val="24"/>
          <w:szCs w:val="24"/>
          <w:lang w:val="ka-GE"/>
        </w:rPr>
        <w:t>,</w:t>
      </w:r>
      <w:r w:rsidR="000B7A64" w:rsidRPr="00175329">
        <w:rPr>
          <w:rFonts w:ascii="Sylfaen" w:hAnsi="Sylfaen"/>
          <w:noProof/>
          <w:sz w:val="24"/>
          <w:szCs w:val="24"/>
          <w:lang w:val="ka-GE"/>
        </w:rPr>
        <w:t xml:space="preserve"> აუდიტორიის ინტერესებიდან გამომდინარე</w:t>
      </w:r>
      <w:r w:rsidR="00EA78E7" w:rsidRPr="00175329">
        <w:rPr>
          <w:rFonts w:ascii="Sylfaen" w:hAnsi="Sylfaen"/>
          <w:noProof/>
          <w:sz w:val="24"/>
          <w:szCs w:val="24"/>
          <w:lang w:val="ka-GE"/>
        </w:rPr>
        <w:t>,</w:t>
      </w:r>
      <w:r w:rsidR="000B7A64" w:rsidRPr="00175329">
        <w:rPr>
          <w:rFonts w:ascii="Sylfaen" w:hAnsi="Sylfaen"/>
          <w:noProof/>
          <w:sz w:val="24"/>
          <w:szCs w:val="24"/>
          <w:lang w:val="ka-GE"/>
        </w:rPr>
        <w:t xml:space="preserve"> აკონტროლოს ტექნიკური თვალსაზრისით, რამდენად ხარისხიანად ხორციელდება მაუწყებლობა. ხომ არა აქვს ადგილი ლიცენზიის გარეშე სიხშირეთა გამოყენებას, ან დასაშვები პარამეტრების დარღვევით მეზობელი სიხშირიდან </w:t>
      </w:r>
      <w:r w:rsidR="00EA78E7" w:rsidRPr="00175329">
        <w:rPr>
          <w:rFonts w:ascii="Sylfaen" w:hAnsi="Sylfaen"/>
          <w:noProof/>
          <w:sz w:val="24"/>
          <w:szCs w:val="24"/>
          <w:lang w:val="ka-GE"/>
        </w:rPr>
        <w:t xml:space="preserve">ხომ არ ხდება </w:t>
      </w:r>
      <w:r w:rsidR="000B7A64" w:rsidRPr="00175329">
        <w:rPr>
          <w:rFonts w:ascii="Sylfaen" w:hAnsi="Sylfaen"/>
          <w:noProof/>
          <w:sz w:val="24"/>
          <w:szCs w:val="24"/>
          <w:lang w:val="ka-GE"/>
        </w:rPr>
        <w:t>გადამცემის სიმძლავრის დაუშვებელ</w:t>
      </w:r>
      <w:r w:rsidR="00EA78E7" w:rsidRPr="00175329">
        <w:rPr>
          <w:rFonts w:ascii="Sylfaen" w:hAnsi="Sylfaen"/>
          <w:noProof/>
          <w:sz w:val="24"/>
          <w:szCs w:val="24"/>
          <w:lang w:val="ka-GE"/>
        </w:rPr>
        <w:t>ი</w:t>
      </w:r>
      <w:r w:rsidR="000B7A64" w:rsidRPr="00175329">
        <w:rPr>
          <w:rFonts w:ascii="Sylfaen" w:hAnsi="Sylfaen"/>
          <w:noProof/>
          <w:sz w:val="24"/>
          <w:szCs w:val="24"/>
          <w:lang w:val="ka-GE"/>
        </w:rPr>
        <w:t xml:space="preserve"> </w:t>
      </w:r>
      <w:r w:rsidR="00EA78E7" w:rsidRPr="00175329">
        <w:rPr>
          <w:rFonts w:ascii="Sylfaen" w:hAnsi="Sylfaen"/>
          <w:noProof/>
          <w:sz w:val="24"/>
          <w:szCs w:val="24"/>
          <w:lang w:val="ka-GE"/>
        </w:rPr>
        <w:t>ზემოქმედება</w:t>
      </w:r>
      <w:r w:rsidR="000B7A64" w:rsidRPr="00175329">
        <w:rPr>
          <w:rFonts w:ascii="Sylfaen" w:hAnsi="Sylfaen"/>
          <w:noProof/>
          <w:sz w:val="24"/>
          <w:szCs w:val="24"/>
          <w:lang w:val="ka-GE"/>
        </w:rPr>
        <w:t>. ამგვარი ხელყოფის არსებობის შემთხვევაში მარეგულირებელი უზრუნველყოფს სანქციების გატარებით წესრიგის აღდგენას.</w:t>
      </w:r>
    </w:p>
    <w:p w:rsidR="006D2F2F" w:rsidRPr="00175329" w:rsidRDefault="000B7A64"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ტექნიკურმა პროგრესმა ძირეულად შეცვალა აუდივიზუალური მედია. გაჩნდა მაუწყებლები, რომლებიც არ იყენებენ სიხშირულ სპექტრს</w:t>
      </w:r>
      <w:r w:rsidR="00EA78E7" w:rsidRPr="00175329">
        <w:rPr>
          <w:rFonts w:ascii="Sylfaen" w:hAnsi="Sylfaen"/>
          <w:noProof/>
          <w:sz w:val="24"/>
          <w:szCs w:val="24"/>
          <w:lang w:val="ka-GE"/>
        </w:rPr>
        <w:t xml:space="preserve">, </w:t>
      </w:r>
      <w:r w:rsidRPr="00175329">
        <w:rPr>
          <w:rFonts w:ascii="Sylfaen" w:hAnsi="Sylfaen"/>
          <w:noProof/>
          <w:sz w:val="24"/>
          <w:szCs w:val="24"/>
          <w:lang w:val="ka-GE"/>
        </w:rPr>
        <w:t xml:space="preserve">აუდივიზუალურ ეფექტს  ახდენენ საკაბელო ქსელით და თანამგზავრული სადგურების მეშვეობით. ეს უკანასკნელი საშუალებები სიხშირული სპექტრისაგან განსხვავებით არ წარმოადგენენ ბუნებრივად ამოწურვად რესურსს. დღის წესრიგიდან იხსნება </w:t>
      </w:r>
      <w:r w:rsidR="00EA78E7" w:rsidRPr="00175329">
        <w:rPr>
          <w:rFonts w:ascii="Sylfaen" w:hAnsi="Sylfaen"/>
          <w:noProof/>
          <w:sz w:val="24"/>
          <w:szCs w:val="24"/>
          <w:lang w:val="ka-GE"/>
        </w:rPr>
        <w:t xml:space="preserve">პრიორიტეტიზაციის </w:t>
      </w:r>
      <w:r w:rsidRPr="00175329">
        <w:rPr>
          <w:rFonts w:ascii="Sylfaen" w:hAnsi="Sylfaen"/>
          <w:noProof/>
          <w:sz w:val="24"/>
          <w:szCs w:val="24"/>
          <w:lang w:val="ka-GE"/>
        </w:rPr>
        <w:t xml:space="preserve">საკითხი, ვინაიდან საკაბელო ქსელით და თანამგზავრით მაუწყებლობის განხორციელების შესაძლებლობა აქვთ ასობით ერთნაირი და განსხვავებული სამაუწყებლო კონცეფციის მქონე პროგრამებს. ახალი მედია უკეთ პასუხობს </w:t>
      </w:r>
      <w:r w:rsidR="006D2F2F" w:rsidRPr="00175329">
        <w:rPr>
          <w:rFonts w:ascii="Sylfaen" w:hAnsi="Sylfaen"/>
          <w:noProof/>
          <w:sz w:val="24"/>
          <w:szCs w:val="24"/>
          <w:lang w:val="ka-GE"/>
        </w:rPr>
        <w:t>საზოგადოების მზარდ და აბსოლიტურად ერთმანეთისაგან განსხვავებულ მოთხოვნებს. სწორედ, საკაბელო ქსელია ის სივრცე, სადაც გაჩნდა უამრავი სპეციალიზირებული სამაუწყებლო პროგრამები (უამრავი სპორტული, მუსიკალური, გასართობი თემატური სატელევიზიო და რადიო სადგურები).</w:t>
      </w:r>
    </w:p>
    <w:p w:rsidR="006D2F2F" w:rsidRPr="00175329" w:rsidRDefault="006D2F2F"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ტექნიკურმა პროგრესმა ახალი გამოწვევის წინაშე დააყენა სახელმწიფოს მარეგულირებელი ფუნქცია. გარდა იმისა, რომ კაბელური ქსელისა და თანამგზავრის გამოყენების პრიორიტეტიზაცია გახდა ყოველგვარ აზრს მოკლებული, დღის წესრიგიდან მოიხსნა ურთიერთთავსებადობის პრობლემაც. როგორც ინტერნეტ რესურსი არ არის შეზღუდული ყველა იმ პირისათვის, ვისაც ვებ-გვერდის გახსნა სურს, ასევე არ არის შეზღუდული კაბელური ქსელითა და თანამგზავრით მაუწყებლობა</w:t>
      </w:r>
      <w:r w:rsidR="00DD49CF" w:rsidRPr="00175329">
        <w:rPr>
          <w:rFonts w:ascii="Sylfaen" w:hAnsi="Sylfaen"/>
          <w:noProof/>
          <w:sz w:val="24"/>
          <w:szCs w:val="24"/>
          <w:lang w:val="ka-GE"/>
        </w:rPr>
        <w:t xml:space="preserve"> ყოველგვარი ტექნიკური ხარვეზებისა და გამომსახველობის, ხმის და ტექსტის ხარისხის დაცვით</w:t>
      </w:r>
      <w:r w:rsidRPr="00175329">
        <w:rPr>
          <w:rFonts w:ascii="Sylfaen" w:hAnsi="Sylfaen"/>
          <w:noProof/>
          <w:sz w:val="24"/>
          <w:szCs w:val="24"/>
          <w:lang w:val="ka-GE"/>
        </w:rPr>
        <w:t>.</w:t>
      </w:r>
    </w:p>
    <w:p w:rsidR="00EA78E7" w:rsidRPr="00175329" w:rsidRDefault="006D2F2F"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ეს გარემოება აიძულებს სახელმწიფოს კაბელურ და თანამგზავრულ მაუწყებლებთან მიმართებაში გადახედოს თავის მარეგულირებელ ფუქნციას. ნებისმიერ შემთხვევაში რეგულირების ფარგლები უნდა იყოს უფრო ვიწრო, ვიდრე ეს სიხშირულ მაუწყებლებთან მიმართებაში ხდება. კაბელური ქსელით </w:t>
      </w:r>
      <w:r w:rsidRPr="00175329">
        <w:rPr>
          <w:rFonts w:ascii="Sylfaen" w:hAnsi="Sylfaen"/>
          <w:noProof/>
          <w:sz w:val="24"/>
          <w:szCs w:val="24"/>
          <w:lang w:val="ka-GE"/>
        </w:rPr>
        <w:lastRenderedPageBreak/>
        <w:t xml:space="preserve">და თანამგზავრით მაუწყებლობასთან მიმართებაში სახელმწიფოებრივი კონტროლი უნდა მდგომარეობდეს, არა მაუწყებლობის </w:t>
      </w:r>
      <w:r w:rsidR="00DD49CF" w:rsidRPr="00175329">
        <w:rPr>
          <w:rFonts w:ascii="Sylfaen" w:hAnsi="Sylfaen"/>
          <w:noProof/>
          <w:sz w:val="24"/>
          <w:szCs w:val="24"/>
          <w:lang w:val="ka-GE"/>
        </w:rPr>
        <w:t>დაწყება</w:t>
      </w:r>
      <w:r w:rsidRPr="00175329">
        <w:rPr>
          <w:rFonts w:ascii="Sylfaen" w:hAnsi="Sylfaen"/>
          <w:noProof/>
          <w:sz w:val="24"/>
          <w:szCs w:val="24"/>
          <w:lang w:val="ka-GE"/>
        </w:rPr>
        <w:t>ს</w:t>
      </w:r>
      <w:r w:rsidR="00EA78E7" w:rsidRPr="00175329">
        <w:rPr>
          <w:rFonts w:ascii="Sylfaen" w:hAnsi="Sylfaen"/>
          <w:noProof/>
          <w:sz w:val="24"/>
          <w:szCs w:val="24"/>
          <w:lang w:val="ka-GE"/>
        </w:rPr>
        <w:t>ა</w:t>
      </w:r>
      <w:r w:rsidRPr="00175329">
        <w:rPr>
          <w:rFonts w:ascii="Sylfaen" w:hAnsi="Sylfaen"/>
          <w:noProof/>
          <w:sz w:val="24"/>
          <w:szCs w:val="24"/>
          <w:lang w:val="ka-GE"/>
        </w:rPr>
        <w:t xml:space="preserve"> და ტექნიკურ რეგულირებაში, არამედ სამაუწყებლო პროგრამების შინაარსის </w:t>
      </w:r>
      <w:r w:rsidR="00EA78E7" w:rsidRPr="00175329">
        <w:rPr>
          <w:rFonts w:ascii="Sylfaen" w:hAnsi="Sylfaen"/>
          <w:noProof/>
          <w:sz w:val="24"/>
          <w:szCs w:val="24"/>
          <w:lang w:val="ka-GE"/>
        </w:rPr>
        <w:t>კანონიერების შემოწმებაში. თუკი კაბელური ქსელით მაუწყებელის მხრიდან ადგილი აქვს სიძულვილის ენას, საბავშვო ან სხვაგვარ აკრძალულ პორნოგრაფიას, მარეგულირებელი ორგანო უნდა უზრუნველყოფდეს მის მიმართ კანონით გათვალისწინებული ღონისძიებების გამოყენებას, ამგვარი მაუწყებლობის შეწყვეტის ჩათვლითაც კი. ლიცენზირების არსებული სისტემის მეშვეობით კი საკაბელო ქსელით და თანამგზავრით განხორციელებული მაუწყებლობა ყოველგვარ აზრს არის მოკლებული.</w:t>
      </w:r>
    </w:p>
    <w:p w:rsidR="00EA78E7" w:rsidRPr="00175329" w:rsidRDefault="00EA78E7" w:rsidP="00175329">
      <w:pPr>
        <w:spacing w:after="0"/>
        <w:ind w:right="149"/>
        <w:jc w:val="both"/>
        <w:rPr>
          <w:rFonts w:ascii="Sylfaen" w:hAnsi="Sylfaen"/>
          <w:noProof/>
          <w:sz w:val="24"/>
          <w:szCs w:val="24"/>
          <w:lang w:val="ka-GE"/>
        </w:rPr>
      </w:pPr>
    </w:p>
    <w:p w:rsidR="002F2027" w:rsidRPr="00175329" w:rsidRDefault="00EA78E7" w:rsidP="00175329">
      <w:pPr>
        <w:spacing w:after="0"/>
        <w:ind w:right="149"/>
        <w:jc w:val="both"/>
        <w:rPr>
          <w:rFonts w:ascii="Sylfaen" w:hAnsi="Sylfaen"/>
          <w:b/>
          <w:noProof/>
          <w:sz w:val="24"/>
          <w:szCs w:val="24"/>
          <w:lang w:val="ka-GE"/>
        </w:rPr>
      </w:pPr>
      <w:r w:rsidRPr="00175329">
        <w:rPr>
          <w:rFonts w:ascii="Sylfaen" w:hAnsi="Sylfaen"/>
          <w:b/>
          <w:noProof/>
          <w:sz w:val="24"/>
          <w:szCs w:val="24"/>
          <w:lang w:val="ka-GE"/>
        </w:rPr>
        <w:t xml:space="preserve">შედარებითსამართლებრივი ასპექტი  </w:t>
      </w:r>
      <w:r w:rsidR="006D2F2F" w:rsidRPr="00175329">
        <w:rPr>
          <w:rFonts w:ascii="Sylfaen" w:hAnsi="Sylfaen"/>
          <w:b/>
          <w:noProof/>
          <w:sz w:val="24"/>
          <w:szCs w:val="24"/>
          <w:lang w:val="ka-GE"/>
        </w:rPr>
        <w:t xml:space="preserve">   </w:t>
      </w:r>
      <w:r w:rsidR="000B7A64" w:rsidRPr="00175329">
        <w:rPr>
          <w:rFonts w:ascii="Sylfaen" w:hAnsi="Sylfaen"/>
          <w:b/>
          <w:noProof/>
          <w:sz w:val="24"/>
          <w:szCs w:val="24"/>
          <w:lang w:val="ka-GE"/>
        </w:rPr>
        <w:t xml:space="preserve">  </w:t>
      </w:r>
      <w:r w:rsidR="00B61CB8" w:rsidRPr="00175329">
        <w:rPr>
          <w:rFonts w:ascii="Sylfaen" w:hAnsi="Sylfaen"/>
          <w:b/>
          <w:noProof/>
          <w:sz w:val="24"/>
          <w:szCs w:val="24"/>
          <w:lang w:val="ka-GE"/>
        </w:rPr>
        <w:t xml:space="preserve">  </w:t>
      </w:r>
    </w:p>
    <w:p w:rsidR="00BE25AD" w:rsidRPr="00175329" w:rsidRDefault="00DD49CF"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w:t>
      </w:r>
      <w:r w:rsidR="007231A5" w:rsidRPr="00175329">
        <w:rPr>
          <w:rFonts w:ascii="Sylfaen" w:hAnsi="Sylfaen"/>
          <w:noProof/>
          <w:sz w:val="24"/>
          <w:szCs w:val="24"/>
          <w:lang w:val="ka-GE"/>
        </w:rPr>
        <w:t>კერძო ტელევიზიების შესახებ</w:t>
      </w:r>
      <w:r w:rsidRPr="00175329">
        <w:rPr>
          <w:rFonts w:ascii="Sylfaen" w:hAnsi="Sylfaen"/>
          <w:noProof/>
          <w:sz w:val="24"/>
          <w:szCs w:val="24"/>
          <w:lang w:val="ka-GE"/>
        </w:rPr>
        <w:t>”</w:t>
      </w:r>
      <w:r w:rsidR="007231A5" w:rsidRPr="00175329">
        <w:rPr>
          <w:rFonts w:ascii="Sylfaen" w:hAnsi="Sylfaen"/>
          <w:noProof/>
          <w:sz w:val="24"/>
          <w:szCs w:val="24"/>
          <w:lang w:val="ka-GE"/>
        </w:rPr>
        <w:t xml:space="preserve"> ავსტრიის ფედერალური კანონის მე-2 მუხლის მეორე პუნქტის შესაბამისად, ლიცენზია განსაზღვრულია, როგორც მაუწყებლობისა და ტელეკომუნიკაციის შესახებ კანონის დებულებების შესაბამისად, დაფარვის ზონაში სამაუწყებლო </w:t>
      </w:r>
      <w:r w:rsidR="00BE25AD" w:rsidRPr="00175329">
        <w:rPr>
          <w:rFonts w:ascii="Sylfaen" w:hAnsi="Sylfaen"/>
          <w:noProof/>
          <w:sz w:val="24"/>
          <w:szCs w:val="24"/>
          <w:lang w:val="ka-GE"/>
        </w:rPr>
        <w:t xml:space="preserve">პროგრამების გადაცემა სათანადო </w:t>
      </w:r>
      <w:r w:rsidR="00BE25AD" w:rsidRPr="00175329">
        <w:rPr>
          <w:rFonts w:ascii="Sylfaen" w:hAnsi="Sylfaen"/>
          <w:b/>
          <w:i/>
          <w:noProof/>
          <w:sz w:val="24"/>
          <w:szCs w:val="24"/>
          <w:lang w:val="ka-GE"/>
        </w:rPr>
        <w:t>გადაცემის საშუალებების</w:t>
      </w:r>
      <w:r w:rsidR="00BE25AD" w:rsidRPr="00175329">
        <w:rPr>
          <w:rFonts w:ascii="Sylfaen" w:hAnsi="Sylfaen"/>
          <w:noProof/>
          <w:sz w:val="24"/>
          <w:szCs w:val="24"/>
          <w:lang w:val="ka-GE"/>
        </w:rPr>
        <w:t xml:space="preserve"> გამოყენების მეშვეობით. </w:t>
      </w:r>
    </w:p>
    <w:p w:rsidR="00D340E8" w:rsidRPr="00175329" w:rsidRDefault="00BE25AD"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იმავე მუხლის მე-5 პუნქტის თანახმად, გადაცემის საშუალებები ნიშნავს ისეთ ტექნიკურ პარამეტრებს</w:t>
      </w:r>
      <w:r w:rsidR="00C34C2F" w:rsidRPr="00175329">
        <w:rPr>
          <w:rFonts w:ascii="Sylfaen" w:hAnsi="Sylfaen"/>
          <w:noProof/>
          <w:sz w:val="24"/>
          <w:szCs w:val="24"/>
          <w:lang w:val="ka-GE"/>
        </w:rPr>
        <w:t>,</w:t>
      </w:r>
      <w:r w:rsidRPr="00175329">
        <w:rPr>
          <w:rFonts w:ascii="Sylfaen" w:hAnsi="Sylfaen"/>
          <w:noProof/>
          <w:sz w:val="24"/>
          <w:szCs w:val="24"/>
          <w:lang w:val="ka-GE"/>
        </w:rPr>
        <w:t xml:space="preserve"> როგორიცაა გადამცემის ადგილი, სიხშირე, გადამცემის სიმძლავრე</w:t>
      </w:r>
      <w:r w:rsidR="00971386" w:rsidRPr="00175329">
        <w:rPr>
          <w:rFonts w:ascii="Sylfaen" w:hAnsi="Sylfaen"/>
          <w:noProof/>
          <w:sz w:val="24"/>
          <w:szCs w:val="24"/>
          <w:lang w:val="ka-GE"/>
        </w:rPr>
        <w:t xml:space="preserve">, ანტენის მახასიათებლები, სატელევიზიო პროგრამების მიწისზედა სიგნალის მეშვეობით </w:t>
      </w:r>
      <w:r w:rsidR="005D1DA2" w:rsidRPr="00175329">
        <w:rPr>
          <w:rFonts w:ascii="Sylfaen" w:hAnsi="Sylfaen"/>
          <w:noProof/>
          <w:sz w:val="24"/>
          <w:szCs w:val="24"/>
          <w:lang w:val="ka-GE"/>
        </w:rPr>
        <w:t>გადაცემა</w:t>
      </w:r>
      <w:r w:rsidR="00971386" w:rsidRPr="00175329">
        <w:rPr>
          <w:rFonts w:ascii="Sylfaen" w:hAnsi="Sylfaen"/>
          <w:noProof/>
          <w:sz w:val="24"/>
          <w:szCs w:val="24"/>
          <w:lang w:val="ka-GE"/>
        </w:rPr>
        <w:t xml:space="preserve">, ან თანამგზავრული გადამცემის შემთხვევაში თანამგზავრული და </w:t>
      </w:r>
      <w:r w:rsidR="00DD49CF" w:rsidRPr="00175329">
        <w:rPr>
          <w:rFonts w:ascii="Sylfaen" w:hAnsi="Sylfaen"/>
          <w:noProof/>
          <w:sz w:val="24"/>
          <w:szCs w:val="24"/>
          <w:lang w:val="ka-GE"/>
        </w:rPr>
        <w:t>ხმელეთის</w:t>
      </w:r>
      <w:r w:rsidR="00971386" w:rsidRPr="00175329">
        <w:rPr>
          <w:rFonts w:ascii="Sylfaen" w:hAnsi="Sylfaen"/>
          <w:noProof/>
          <w:sz w:val="24"/>
          <w:szCs w:val="24"/>
          <w:lang w:val="ka-GE"/>
        </w:rPr>
        <w:t xml:space="preserve"> თანამგზავრული გადამცემი სადგურის ტექნიკური პარამეტრები. სატელევიზიო პროგრამებისა და სხვა მომსახურების ციფრული მიწისზედა გადამცემის შემთხვევაში</w:t>
      </w:r>
      <w:r w:rsidR="005D1DA2" w:rsidRPr="00175329">
        <w:rPr>
          <w:rFonts w:ascii="Sylfaen" w:hAnsi="Sylfaen"/>
          <w:noProof/>
          <w:sz w:val="24"/>
          <w:szCs w:val="24"/>
          <w:lang w:val="ka-GE"/>
        </w:rPr>
        <w:t>,</w:t>
      </w:r>
      <w:r w:rsidR="00D340E8" w:rsidRPr="00175329">
        <w:rPr>
          <w:rFonts w:ascii="Sylfaen" w:hAnsi="Sylfaen"/>
          <w:noProof/>
          <w:sz w:val="24"/>
          <w:szCs w:val="24"/>
          <w:lang w:val="ka-GE"/>
        </w:rPr>
        <w:t xml:space="preserve"> მულტიფლექსური  ოპერატორის მიერ ციფრული ტექნიკური პარამეტრების გავრცელება. ტექნიკურ პარამეტრებში იგულისხმება გადაცემის ადგილი, სიხშირე</w:t>
      </w:r>
      <w:r w:rsidR="00DD49CF" w:rsidRPr="00175329">
        <w:rPr>
          <w:rFonts w:ascii="Sylfaen" w:hAnsi="Sylfaen"/>
          <w:noProof/>
          <w:sz w:val="24"/>
          <w:szCs w:val="24"/>
          <w:lang w:val="ka-GE"/>
        </w:rPr>
        <w:t>,</w:t>
      </w:r>
      <w:r w:rsidR="00D340E8" w:rsidRPr="00175329">
        <w:rPr>
          <w:rFonts w:ascii="Sylfaen" w:hAnsi="Sylfaen"/>
          <w:noProof/>
          <w:sz w:val="24"/>
          <w:szCs w:val="24"/>
          <w:lang w:val="ka-GE"/>
        </w:rPr>
        <w:t xml:space="preserve"> გადამცემის სიმძლავრე, სიჩქარისა და მოცულობის ოდენობა</w:t>
      </w:r>
      <w:r w:rsidR="00DD49CF" w:rsidRPr="00175329">
        <w:rPr>
          <w:rFonts w:ascii="Sylfaen" w:hAnsi="Sylfaen"/>
          <w:noProof/>
          <w:sz w:val="24"/>
          <w:szCs w:val="24"/>
          <w:lang w:val="ka-GE"/>
        </w:rPr>
        <w:t>.”</w:t>
      </w:r>
      <w:r w:rsidR="00DD49CF" w:rsidRPr="00175329">
        <w:rPr>
          <w:rStyle w:val="FootnoteReference"/>
          <w:rFonts w:ascii="Sylfaen" w:hAnsi="Sylfaen"/>
          <w:noProof/>
          <w:sz w:val="24"/>
          <w:szCs w:val="24"/>
          <w:lang w:val="ka-GE"/>
        </w:rPr>
        <w:footnoteReference w:id="5"/>
      </w:r>
      <w:r w:rsidR="00D340E8" w:rsidRPr="00175329">
        <w:rPr>
          <w:rFonts w:ascii="Sylfaen" w:hAnsi="Sylfaen"/>
          <w:noProof/>
          <w:sz w:val="24"/>
          <w:szCs w:val="24"/>
          <w:lang w:val="ka-GE"/>
        </w:rPr>
        <w:t xml:space="preserve">  </w:t>
      </w:r>
    </w:p>
    <w:p w:rsidR="007D4F75" w:rsidRPr="00175329" w:rsidRDefault="00D340E8"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lastRenderedPageBreak/>
        <w:t xml:space="preserve">გადამცემი საშუალებების ჩამონათვალში არ გვხვდება სატელევიზიო პროგრამების გადაცემა კაბელის მეშვეობით. </w:t>
      </w:r>
      <w:r w:rsidR="004965E7" w:rsidRPr="00175329">
        <w:rPr>
          <w:rFonts w:ascii="Sylfaen" w:hAnsi="Sylfaen"/>
          <w:noProof/>
          <w:sz w:val="24"/>
          <w:szCs w:val="24"/>
          <w:lang w:val="ka-GE"/>
        </w:rPr>
        <w:t xml:space="preserve">სამაგიეროდ, </w:t>
      </w:r>
      <w:r w:rsidR="00ED4882" w:rsidRPr="00175329">
        <w:rPr>
          <w:rFonts w:ascii="Sylfaen" w:hAnsi="Sylfaen"/>
          <w:noProof/>
          <w:sz w:val="24"/>
          <w:szCs w:val="24"/>
          <w:lang w:val="ka-GE"/>
        </w:rPr>
        <w:t xml:space="preserve">მე-2 მუხლი ცალკე შეიცავს საკაბელო ქსელის განმარტებას. </w:t>
      </w:r>
    </w:p>
    <w:p w:rsidR="007D4F75" w:rsidRPr="00175329" w:rsidRDefault="007D4F75"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მე-14 პუნქტის თანახმად, კაბელური ქსელი არის კაბელური ინფრასტრუქტურა, რაც გამოიყენება </w:t>
      </w:r>
      <w:r w:rsidR="00B26914" w:rsidRPr="00175329">
        <w:rPr>
          <w:rFonts w:ascii="Sylfaen" w:hAnsi="Sylfaen"/>
          <w:noProof/>
          <w:sz w:val="24"/>
          <w:szCs w:val="24"/>
          <w:lang w:val="ka-GE"/>
        </w:rPr>
        <w:t>გადაცემისა</w:t>
      </w:r>
      <w:r w:rsidRPr="00175329">
        <w:rPr>
          <w:rFonts w:ascii="Sylfaen" w:hAnsi="Sylfaen"/>
          <w:noProof/>
          <w:sz w:val="24"/>
          <w:szCs w:val="24"/>
          <w:lang w:val="ka-GE"/>
        </w:rPr>
        <w:t xml:space="preserve"> და </w:t>
      </w:r>
      <w:r w:rsidR="00B26914" w:rsidRPr="00175329">
        <w:rPr>
          <w:rFonts w:ascii="Sylfaen" w:hAnsi="Sylfaen"/>
          <w:noProof/>
          <w:sz w:val="24"/>
          <w:szCs w:val="24"/>
          <w:lang w:val="ka-GE"/>
        </w:rPr>
        <w:t>ტრანზიტისათვის.</w:t>
      </w:r>
    </w:p>
    <w:p w:rsidR="007D4F75" w:rsidRPr="00175329" w:rsidRDefault="007D4F75"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მე-15 პუნქტის შესაბამისად, </w:t>
      </w:r>
      <w:r w:rsidR="00B26914" w:rsidRPr="00175329">
        <w:rPr>
          <w:rFonts w:ascii="Sylfaen" w:hAnsi="Sylfaen"/>
          <w:noProof/>
          <w:sz w:val="24"/>
          <w:szCs w:val="24"/>
          <w:lang w:val="ka-GE"/>
        </w:rPr>
        <w:t>გადაცემა</w:t>
      </w:r>
      <w:r w:rsidRPr="00175329">
        <w:rPr>
          <w:rFonts w:ascii="Sylfaen" w:hAnsi="Sylfaen"/>
          <w:noProof/>
          <w:sz w:val="24"/>
          <w:szCs w:val="24"/>
          <w:lang w:val="ka-GE"/>
        </w:rPr>
        <w:t xml:space="preserve"> </w:t>
      </w:r>
      <w:r w:rsidR="00624F14" w:rsidRPr="00175329">
        <w:rPr>
          <w:rFonts w:ascii="Sylfaen" w:hAnsi="Sylfaen"/>
          <w:noProof/>
          <w:sz w:val="24"/>
          <w:szCs w:val="24"/>
          <w:lang w:val="ka-GE"/>
        </w:rPr>
        <w:t xml:space="preserve">ნიშნავს </w:t>
      </w:r>
      <w:r w:rsidRPr="00175329">
        <w:rPr>
          <w:rFonts w:ascii="Sylfaen" w:hAnsi="Sylfaen"/>
          <w:noProof/>
          <w:sz w:val="24"/>
          <w:szCs w:val="24"/>
          <w:lang w:val="ka-GE"/>
        </w:rPr>
        <w:t xml:space="preserve">პროგრამებისა და დამატებითი მომსახურების </w:t>
      </w:r>
      <w:r w:rsidR="00624F14" w:rsidRPr="00175329">
        <w:rPr>
          <w:rFonts w:ascii="Sylfaen" w:hAnsi="Sylfaen"/>
          <w:noProof/>
          <w:sz w:val="24"/>
          <w:szCs w:val="24"/>
          <w:lang w:val="ka-GE"/>
        </w:rPr>
        <w:t>გაშვებას</w:t>
      </w:r>
      <w:r w:rsidRPr="00175329">
        <w:rPr>
          <w:rFonts w:ascii="Sylfaen" w:hAnsi="Sylfaen"/>
          <w:noProof/>
          <w:sz w:val="24"/>
          <w:szCs w:val="24"/>
          <w:lang w:val="ka-GE"/>
        </w:rPr>
        <w:t>, რაც გათვალისწინებულია ზოგადად საზოგადოებისათვის, ხორციელდება მიწისზედა უკაბელო გადამცემის, კაბელური ქსელის და თანამგზავრის მეშვეობით</w:t>
      </w:r>
    </w:p>
    <w:p w:rsidR="007D4F75" w:rsidRPr="00175329" w:rsidRDefault="007D4F75"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მე-16 პუნქტის შესაბამისად, </w:t>
      </w:r>
      <w:r w:rsidR="00B26914" w:rsidRPr="00175329">
        <w:rPr>
          <w:rFonts w:ascii="Sylfaen" w:hAnsi="Sylfaen"/>
          <w:noProof/>
          <w:sz w:val="24"/>
          <w:szCs w:val="24"/>
          <w:lang w:val="ka-GE"/>
        </w:rPr>
        <w:t>ტრანზიტი</w:t>
      </w:r>
      <w:r w:rsidRPr="00175329">
        <w:rPr>
          <w:rFonts w:ascii="Sylfaen" w:hAnsi="Sylfaen"/>
          <w:noProof/>
          <w:sz w:val="24"/>
          <w:szCs w:val="24"/>
          <w:lang w:val="ka-GE"/>
        </w:rPr>
        <w:t xml:space="preserve"> ნიშნავს ზოგადად საზოგადოებაზე გათვლილი სატელევიზიო გადაცემების ერთდროულად მიღება</w:t>
      </w:r>
      <w:r w:rsidR="00B26914" w:rsidRPr="00175329">
        <w:rPr>
          <w:rFonts w:ascii="Sylfaen" w:hAnsi="Sylfaen"/>
          <w:noProof/>
          <w:sz w:val="24"/>
          <w:szCs w:val="24"/>
          <w:lang w:val="ka-GE"/>
        </w:rPr>
        <w:t>ს</w:t>
      </w:r>
      <w:r w:rsidRPr="00175329">
        <w:rPr>
          <w:rFonts w:ascii="Sylfaen" w:hAnsi="Sylfaen"/>
          <w:noProof/>
          <w:sz w:val="24"/>
          <w:szCs w:val="24"/>
          <w:lang w:val="ka-GE"/>
        </w:rPr>
        <w:t xml:space="preserve"> და გადაცემა</w:t>
      </w:r>
      <w:r w:rsidR="00B26914" w:rsidRPr="00175329">
        <w:rPr>
          <w:rFonts w:ascii="Sylfaen" w:hAnsi="Sylfaen"/>
          <w:noProof/>
          <w:sz w:val="24"/>
          <w:szCs w:val="24"/>
          <w:lang w:val="ka-GE"/>
        </w:rPr>
        <w:t>ს</w:t>
      </w:r>
      <w:r w:rsidRPr="00175329">
        <w:rPr>
          <w:rFonts w:ascii="Sylfaen" w:hAnsi="Sylfaen"/>
          <w:noProof/>
          <w:sz w:val="24"/>
          <w:szCs w:val="24"/>
          <w:lang w:val="ka-GE"/>
        </w:rPr>
        <w:t xml:space="preserve"> მიწისზედა უკაბელო გადამცემის</w:t>
      </w:r>
      <w:r w:rsidR="005D1DA2" w:rsidRPr="00175329">
        <w:rPr>
          <w:rFonts w:ascii="Sylfaen" w:hAnsi="Sylfaen"/>
          <w:noProof/>
          <w:sz w:val="24"/>
          <w:szCs w:val="24"/>
          <w:lang w:val="ka-GE"/>
        </w:rPr>
        <w:t xml:space="preserve"> საშუალებით</w:t>
      </w:r>
      <w:r w:rsidRPr="00175329">
        <w:rPr>
          <w:rFonts w:ascii="Sylfaen" w:hAnsi="Sylfaen"/>
          <w:noProof/>
          <w:sz w:val="24"/>
          <w:szCs w:val="24"/>
          <w:lang w:val="ka-GE"/>
        </w:rPr>
        <w:t>, რადიო ან სატელევიზიო პროგრამების გადაცემა</w:t>
      </w:r>
      <w:r w:rsidR="005D1DA2" w:rsidRPr="00175329">
        <w:rPr>
          <w:rFonts w:ascii="Sylfaen" w:hAnsi="Sylfaen"/>
          <w:noProof/>
          <w:sz w:val="24"/>
          <w:szCs w:val="24"/>
          <w:lang w:val="ka-GE"/>
        </w:rPr>
        <w:t>ს</w:t>
      </w:r>
      <w:r w:rsidRPr="00175329">
        <w:rPr>
          <w:rFonts w:ascii="Sylfaen" w:hAnsi="Sylfaen"/>
          <w:noProof/>
          <w:sz w:val="24"/>
          <w:szCs w:val="24"/>
          <w:lang w:val="ka-GE"/>
        </w:rPr>
        <w:t xml:space="preserve"> საკაბელო ქსელის ან თანამგზავრის მეშვეობით. </w:t>
      </w:r>
      <w:r w:rsidR="00DD49CF" w:rsidRPr="00175329">
        <w:rPr>
          <w:rStyle w:val="FootnoteReference"/>
          <w:rFonts w:ascii="Sylfaen" w:hAnsi="Sylfaen"/>
          <w:noProof/>
          <w:sz w:val="24"/>
          <w:szCs w:val="24"/>
          <w:lang w:val="ka-GE"/>
        </w:rPr>
        <w:footnoteReference w:id="6"/>
      </w:r>
    </w:p>
    <w:p w:rsidR="00B42048" w:rsidRPr="00175329" w:rsidRDefault="007D4F75"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ამგვარად, საკაბელო ქსელი ავსტრიის </w:t>
      </w:r>
      <w:r w:rsidR="00624F14" w:rsidRPr="00175329">
        <w:rPr>
          <w:rFonts w:ascii="Sylfaen" w:hAnsi="Sylfaen"/>
          <w:noProof/>
          <w:sz w:val="24"/>
          <w:szCs w:val="24"/>
          <w:lang w:val="ka-GE"/>
        </w:rPr>
        <w:t>,,</w:t>
      </w:r>
      <w:r w:rsidRPr="00175329">
        <w:rPr>
          <w:rFonts w:ascii="Sylfaen" w:hAnsi="Sylfaen"/>
          <w:noProof/>
          <w:sz w:val="24"/>
          <w:szCs w:val="24"/>
          <w:lang w:val="ka-GE"/>
        </w:rPr>
        <w:t>კერძო ტელევიზიების შესახებ</w:t>
      </w:r>
      <w:r w:rsidR="00624F14" w:rsidRPr="00175329">
        <w:rPr>
          <w:rFonts w:ascii="Sylfaen" w:hAnsi="Sylfaen"/>
          <w:noProof/>
          <w:sz w:val="24"/>
          <w:szCs w:val="24"/>
          <w:lang w:val="ka-GE"/>
        </w:rPr>
        <w:t>”</w:t>
      </w:r>
      <w:r w:rsidRPr="00175329">
        <w:rPr>
          <w:rFonts w:ascii="Sylfaen" w:hAnsi="Sylfaen"/>
          <w:noProof/>
          <w:sz w:val="24"/>
          <w:szCs w:val="24"/>
          <w:lang w:val="ka-GE"/>
        </w:rPr>
        <w:t xml:space="preserve"> კანონის შესაბამისად, არ წარმოადგენს</w:t>
      </w:r>
      <w:r w:rsidR="00B42048" w:rsidRPr="00175329">
        <w:rPr>
          <w:rFonts w:ascii="Sylfaen" w:hAnsi="Sylfaen"/>
          <w:noProof/>
          <w:sz w:val="24"/>
          <w:szCs w:val="24"/>
          <w:lang w:val="ka-GE"/>
        </w:rPr>
        <w:t xml:space="preserve"> </w:t>
      </w:r>
      <w:r w:rsidR="00B42048" w:rsidRPr="00175329">
        <w:rPr>
          <w:rFonts w:ascii="Sylfaen" w:hAnsi="Sylfaen"/>
          <w:b/>
          <w:noProof/>
          <w:sz w:val="24"/>
          <w:szCs w:val="24"/>
          <w:lang w:val="ka-GE"/>
        </w:rPr>
        <w:t>გადამცემ საშუალებას</w:t>
      </w:r>
      <w:r w:rsidR="00A34F47" w:rsidRPr="00175329">
        <w:rPr>
          <w:rFonts w:ascii="Sylfaen" w:hAnsi="Sylfaen"/>
          <w:noProof/>
          <w:sz w:val="24"/>
          <w:szCs w:val="24"/>
          <w:lang w:val="ka-GE"/>
        </w:rPr>
        <w:t>.</w:t>
      </w:r>
      <w:r w:rsidR="00B42048" w:rsidRPr="00175329">
        <w:rPr>
          <w:rFonts w:ascii="Sylfaen" w:hAnsi="Sylfaen"/>
          <w:noProof/>
          <w:sz w:val="24"/>
          <w:szCs w:val="24"/>
          <w:lang w:val="ka-GE"/>
        </w:rPr>
        <w:t xml:space="preserve"> </w:t>
      </w:r>
      <w:r w:rsidR="00A34F47" w:rsidRPr="00175329">
        <w:rPr>
          <w:rFonts w:ascii="Sylfaen" w:hAnsi="Sylfaen"/>
          <w:noProof/>
          <w:sz w:val="24"/>
          <w:szCs w:val="24"/>
          <w:lang w:val="ka-GE"/>
        </w:rPr>
        <w:t xml:space="preserve">ეს უკანასკნელი კი აღნიშნული კანონის შესაბამისად, შეტანილია ლიცენზიის დეფინიციაში და შესაბამისად, </w:t>
      </w:r>
      <w:r w:rsidR="00B42048" w:rsidRPr="00175329">
        <w:rPr>
          <w:rFonts w:ascii="Sylfaen" w:hAnsi="Sylfaen"/>
          <w:noProof/>
          <w:sz w:val="24"/>
          <w:szCs w:val="24"/>
          <w:lang w:val="ka-GE"/>
        </w:rPr>
        <w:t xml:space="preserve">ლიცენზირების საგანია. </w:t>
      </w:r>
      <w:r w:rsidR="00A34F47" w:rsidRPr="00175329">
        <w:rPr>
          <w:rFonts w:ascii="Sylfaen" w:hAnsi="Sylfaen"/>
          <w:noProof/>
          <w:sz w:val="24"/>
          <w:szCs w:val="24"/>
          <w:lang w:val="ka-GE"/>
        </w:rPr>
        <w:t>კაბელური ქსელით მაუწყებლობა არ არის შესატანილი ლიცენზირების ცნებაში, მაგრამ წარმოადგენს თუ არა აღნიშნული საშუალებით მაუწყებლობა ლიცენზიის საგანს</w:t>
      </w:r>
      <w:r w:rsidR="00624F14" w:rsidRPr="00175329">
        <w:rPr>
          <w:rFonts w:ascii="Sylfaen" w:hAnsi="Sylfaen"/>
          <w:noProof/>
          <w:sz w:val="24"/>
          <w:szCs w:val="24"/>
          <w:lang w:val="ka-GE"/>
        </w:rPr>
        <w:t>?</w:t>
      </w:r>
      <w:r w:rsidR="00A34F47" w:rsidRPr="00175329">
        <w:rPr>
          <w:rFonts w:ascii="Sylfaen" w:hAnsi="Sylfaen"/>
          <w:noProof/>
          <w:sz w:val="24"/>
          <w:szCs w:val="24"/>
          <w:lang w:val="ka-GE"/>
        </w:rPr>
        <w:t xml:space="preserve"> </w:t>
      </w:r>
      <w:r w:rsidR="00B42048" w:rsidRPr="00175329">
        <w:rPr>
          <w:rFonts w:ascii="Sylfaen" w:hAnsi="Sylfaen"/>
          <w:noProof/>
          <w:sz w:val="24"/>
          <w:szCs w:val="24"/>
          <w:lang w:val="ka-GE"/>
        </w:rPr>
        <w:t xml:space="preserve"> </w:t>
      </w:r>
    </w:p>
    <w:p w:rsidR="00B26914" w:rsidRPr="00175329" w:rsidRDefault="00B42048"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ავსტრიის კანონის მე-2 </w:t>
      </w:r>
      <w:r w:rsidR="00624F14" w:rsidRPr="00175329">
        <w:rPr>
          <w:rFonts w:ascii="Sylfaen" w:hAnsi="Sylfaen"/>
          <w:noProof/>
          <w:sz w:val="24"/>
          <w:szCs w:val="24"/>
          <w:lang w:val="ka-GE"/>
        </w:rPr>
        <w:t>თავის</w:t>
      </w:r>
      <w:r w:rsidRPr="00175329">
        <w:rPr>
          <w:rFonts w:ascii="Sylfaen" w:hAnsi="Sylfaen"/>
          <w:noProof/>
          <w:sz w:val="24"/>
          <w:szCs w:val="24"/>
          <w:lang w:val="ka-GE"/>
        </w:rPr>
        <w:t xml:space="preserve"> მე-3 მუხლის მე-5 პუნქტის შესაბამისად, მაუწყებლობის ორგანიზატორი, რომელიც არ ხვდება </w:t>
      </w:r>
      <w:r w:rsidR="00624F14" w:rsidRPr="00175329">
        <w:rPr>
          <w:rFonts w:ascii="Sylfaen" w:hAnsi="Sylfaen"/>
          <w:noProof/>
          <w:sz w:val="24"/>
          <w:szCs w:val="24"/>
          <w:lang w:val="ka-GE"/>
        </w:rPr>
        <w:t xml:space="preserve">ამ კანონის </w:t>
      </w:r>
      <w:r w:rsidRPr="00175329">
        <w:rPr>
          <w:rFonts w:ascii="Sylfaen" w:hAnsi="Sylfaen"/>
          <w:noProof/>
          <w:sz w:val="24"/>
          <w:szCs w:val="24"/>
          <w:lang w:val="ka-GE"/>
        </w:rPr>
        <w:t xml:space="preserve">მე-2-დან მე-4 მუხლის დეფინიციის ქვეშ, ვალდებულია მიიღოს ლიცენზია აღნიშნული კანონის შესაბამისად, </w:t>
      </w:r>
      <w:r w:rsidR="00B26914" w:rsidRPr="00175329">
        <w:rPr>
          <w:rFonts w:ascii="Sylfaen" w:hAnsi="Sylfaen"/>
          <w:noProof/>
          <w:sz w:val="24"/>
          <w:szCs w:val="24"/>
          <w:lang w:val="ka-GE"/>
        </w:rPr>
        <w:t xml:space="preserve">ავსტრიისათვის განკუთვნილი </w:t>
      </w:r>
      <w:r w:rsidRPr="00175329">
        <w:rPr>
          <w:rFonts w:ascii="Sylfaen" w:hAnsi="Sylfaen"/>
          <w:noProof/>
          <w:sz w:val="24"/>
          <w:szCs w:val="24"/>
          <w:lang w:val="ka-GE"/>
        </w:rPr>
        <w:t xml:space="preserve">სათანადო გადამცემი </w:t>
      </w:r>
      <w:r w:rsidR="00B26914" w:rsidRPr="00175329">
        <w:rPr>
          <w:rFonts w:ascii="Sylfaen" w:hAnsi="Sylfaen"/>
          <w:noProof/>
          <w:sz w:val="24"/>
          <w:szCs w:val="24"/>
          <w:lang w:val="ka-GE"/>
        </w:rPr>
        <w:t>საშუალებებით</w:t>
      </w:r>
      <w:r w:rsidRPr="00175329">
        <w:rPr>
          <w:rFonts w:ascii="Sylfaen" w:hAnsi="Sylfaen"/>
          <w:noProof/>
          <w:sz w:val="24"/>
          <w:szCs w:val="24"/>
          <w:lang w:val="ka-GE"/>
        </w:rPr>
        <w:t xml:space="preserve"> კანონიერი სარგებლობის</w:t>
      </w:r>
      <w:r w:rsidR="00B26914" w:rsidRPr="00175329">
        <w:rPr>
          <w:rFonts w:ascii="Sylfaen" w:hAnsi="Sylfaen"/>
          <w:noProof/>
          <w:sz w:val="24"/>
          <w:szCs w:val="24"/>
          <w:lang w:val="ka-GE"/>
        </w:rPr>
        <w:t xml:space="preserve">ათვის საერთაშორისო სატელეკომუნიკაციო სამართლის ნორმების დაცვით, თუკი სიგნალის გადაცემა </w:t>
      </w:r>
      <w:r w:rsidR="00B26914" w:rsidRPr="00175329">
        <w:rPr>
          <w:rFonts w:ascii="Sylfaen" w:hAnsi="Sylfaen"/>
          <w:noProof/>
          <w:sz w:val="24"/>
          <w:szCs w:val="24"/>
          <w:lang w:val="ka-GE"/>
        </w:rPr>
        <w:lastRenderedPageBreak/>
        <w:t xml:space="preserve">ხორციელდება ავსტრიაში </w:t>
      </w:r>
      <w:r w:rsidR="00624F14" w:rsidRPr="00175329">
        <w:rPr>
          <w:rFonts w:ascii="Sylfaen" w:hAnsi="Sylfaen"/>
          <w:noProof/>
          <w:sz w:val="24"/>
          <w:szCs w:val="24"/>
          <w:lang w:val="ka-GE"/>
        </w:rPr>
        <w:t>ხმელეთის</w:t>
      </w:r>
      <w:r w:rsidR="00B26914" w:rsidRPr="00175329">
        <w:rPr>
          <w:rFonts w:ascii="Sylfaen" w:hAnsi="Sylfaen"/>
          <w:noProof/>
          <w:sz w:val="24"/>
          <w:szCs w:val="24"/>
          <w:lang w:val="ka-GE"/>
        </w:rPr>
        <w:t xml:space="preserve"> თანამგზავრული გადამცემი სადგურის მეშვეობით.</w:t>
      </w:r>
    </w:p>
    <w:p w:rsidR="00B26914" w:rsidRPr="00175329" w:rsidRDefault="00B26914"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 xml:space="preserve">იმავე </w:t>
      </w:r>
      <w:r w:rsidR="00624F14" w:rsidRPr="00175329">
        <w:rPr>
          <w:rFonts w:ascii="Sylfaen" w:hAnsi="Sylfaen"/>
          <w:noProof/>
          <w:sz w:val="24"/>
          <w:szCs w:val="24"/>
          <w:lang w:val="ka-GE"/>
        </w:rPr>
        <w:t>მუხლის</w:t>
      </w:r>
      <w:r w:rsidRPr="00175329">
        <w:rPr>
          <w:rFonts w:ascii="Sylfaen" w:hAnsi="Sylfaen"/>
          <w:noProof/>
          <w:sz w:val="24"/>
          <w:szCs w:val="24"/>
          <w:lang w:val="ka-GE"/>
        </w:rPr>
        <w:t xml:space="preserve"> </w:t>
      </w:r>
      <w:r w:rsidR="00624F14" w:rsidRPr="00175329">
        <w:rPr>
          <w:rFonts w:ascii="Sylfaen" w:hAnsi="Sylfaen"/>
          <w:noProof/>
          <w:sz w:val="24"/>
          <w:szCs w:val="24"/>
          <w:lang w:val="ka-GE"/>
        </w:rPr>
        <w:t xml:space="preserve">მე-6 პუნქტით, </w:t>
      </w:r>
      <w:r w:rsidRPr="00175329">
        <w:rPr>
          <w:rFonts w:ascii="Sylfaen" w:hAnsi="Sylfaen"/>
          <w:noProof/>
          <w:sz w:val="24"/>
          <w:szCs w:val="24"/>
          <w:lang w:val="ka-GE"/>
        </w:rPr>
        <w:t xml:space="preserve">კაბელური მაუწყებლობის პროგრამების ტრანზიტი </w:t>
      </w:r>
      <w:r w:rsidR="00624F14" w:rsidRPr="00175329">
        <w:rPr>
          <w:rFonts w:ascii="Sylfaen" w:hAnsi="Sylfaen"/>
          <w:noProof/>
          <w:sz w:val="24"/>
          <w:szCs w:val="24"/>
          <w:lang w:val="ka-GE"/>
        </w:rPr>
        <w:t xml:space="preserve">ხმელეთის </w:t>
      </w:r>
      <w:r w:rsidRPr="00175329">
        <w:rPr>
          <w:rFonts w:ascii="Sylfaen" w:hAnsi="Sylfaen"/>
          <w:noProof/>
          <w:sz w:val="24"/>
          <w:szCs w:val="24"/>
          <w:lang w:val="ka-GE"/>
        </w:rPr>
        <w:t>თანამგზავრით, ასევე მოითხოვს ლიცენზირებას.</w:t>
      </w:r>
      <w:r w:rsidR="00624F14" w:rsidRPr="00175329">
        <w:rPr>
          <w:rStyle w:val="FootnoteReference"/>
          <w:rFonts w:ascii="Sylfaen" w:hAnsi="Sylfaen"/>
          <w:noProof/>
          <w:sz w:val="24"/>
          <w:szCs w:val="24"/>
          <w:lang w:val="ka-GE"/>
        </w:rPr>
        <w:footnoteReference w:id="7"/>
      </w:r>
    </w:p>
    <w:p w:rsidR="00FB59DC" w:rsidRPr="00175329" w:rsidRDefault="00B26914"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ამგვარად ლიცენზირების მიღმა რჩება კაბელური მაუწყებლობის გავრცელება, ასევე აღნიშნული გადაცემების ტრანზიტი, თუ იგი ხორციელდება</w:t>
      </w:r>
      <w:r w:rsidR="00A34F47" w:rsidRPr="00175329">
        <w:rPr>
          <w:rFonts w:ascii="Sylfaen" w:hAnsi="Sylfaen"/>
          <w:noProof/>
          <w:sz w:val="24"/>
          <w:szCs w:val="24"/>
          <w:lang w:val="ka-GE"/>
        </w:rPr>
        <w:t xml:space="preserve"> უკაბელო მიწისზედა გადამცემის და ტელერადიო პროგრამების საკაბელო ქსელის </w:t>
      </w:r>
      <w:r w:rsidR="00624F14" w:rsidRPr="00175329">
        <w:rPr>
          <w:rFonts w:ascii="Sylfaen" w:hAnsi="Sylfaen"/>
          <w:noProof/>
          <w:sz w:val="24"/>
          <w:szCs w:val="24"/>
          <w:lang w:val="ka-GE"/>
        </w:rPr>
        <w:t>ტრანზიტით</w:t>
      </w:r>
      <w:r w:rsidR="00A34F47" w:rsidRPr="00175329">
        <w:rPr>
          <w:rFonts w:ascii="Sylfaen" w:hAnsi="Sylfaen"/>
          <w:noProof/>
          <w:sz w:val="24"/>
          <w:szCs w:val="24"/>
          <w:lang w:val="ka-GE"/>
        </w:rPr>
        <w:t xml:space="preserve">. კანონმა </w:t>
      </w:r>
      <w:r w:rsidR="00FB59DC" w:rsidRPr="00175329">
        <w:rPr>
          <w:rFonts w:ascii="Sylfaen" w:hAnsi="Sylfaen"/>
          <w:noProof/>
          <w:sz w:val="24"/>
          <w:szCs w:val="24"/>
          <w:lang w:val="ka-GE"/>
        </w:rPr>
        <w:t xml:space="preserve">მხოლოდ </w:t>
      </w:r>
      <w:r w:rsidR="00624F14" w:rsidRPr="00175329">
        <w:rPr>
          <w:rFonts w:ascii="Sylfaen" w:hAnsi="Sylfaen"/>
          <w:noProof/>
          <w:sz w:val="24"/>
          <w:szCs w:val="24"/>
          <w:lang w:val="ka-GE"/>
        </w:rPr>
        <w:t>ხმელეთის</w:t>
      </w:r>
      <w:r w:rsidR="00FB59DC" w:rsidRPr="00175329">
        <w:rPr>
          <w:rFonts w:ascii="Sylfaen" w:hAnsi="Sylfaen"/>
          <w:noProof/>
          <w:sz w:val="24"/>
          <w:szCs w:val="24"/>
          <w:lang w:val="ka-GE"/>
        </w:rPr>
        <w:t xml:space="preserve"> თანამგზავრული სადგურით შემოფარგლა საკაბელო ტრანზიტის ლიცენზირების საკითხი. </w:t>
      </w:r>
    </w:p>
    <w:p w:rsidR="00FB59DC" w:rsidRPr="00175329" w:rsidRDefault="00FB59DC"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r w:rsidRPr="00175329">
        <w:rPr>
          <w:rFonts w:ascii="Sylfaen" w:hAnsi="Sylfaen"/>
          <w:noProof/>
          <w:lang w:val="ka-GE"/>
        </w:rPr>
        <w:t xml:space="preserve">ავსტრიული კანონონისაგან განსხვავებით, ,,მაუწყებლობის შესახებ” საქართველოს კანონის მე-2 მუხლის ,,ტ” ქვეპუნქტმა ფიზიკური ან იურიდიული პირის მიერ </w:t>
      </w:r>
      <w:r w:rsidRPr="00175329">
        <w:rPr>
          <w:rFonts w:ascii="Sylfaen" w:hAnsi="Sylfaen" w:cs="Sylfaen"/>
          <w:noProof/>
          <w:lang w:val="ka-GE"/>
        </w:rPr>
        <w:t xml:space="preserve">საკაბელო ქსელის ან თანამგზავრის მეშვეობით მაუწყებლობა ლიცენზიის ფლობის ფაქტს დაუკავშირა. აღნიშნული ნორმა მიუთითებს, რომ იმისათვის რომ ფიზიკურმა </w:t>
      </w:r>
      <w:r w:rsidR="00624F14" w:rsidRPr="00175329">
        <w:rPr>
          <w:rFonts w:ascii="Sylfaen" w:hAnsi="Sylfaen" w:cs="Sylfaen"/>
          <w:noProof/>
          <w:lang w:val="ka-GE"/>
        </w:rPr>
        <w:t xml:space="preserve">ან იურიდიულმა </w:t>
      </w:r>
      <w:r w:rsidRPr="00175329">
        <w:rPr>
          <w:rFonts w:ascii="Sylfaen" w:hAnsi="Sylfaen" w:cs="Sylfaen"/>
          <w:noProof/>
          <w:lang w:val="ka-GE"/>
        </w:rPr>
        <w:t>პირმა განახორციელოს ტელე- ან რადიოპროგრამების გავრცელება სახმელეთო გადამცემებით, საკაბელო ქსელის ან თანამგზავრის მეშვეობით, სადენით ან ჰაერით, კოდირებული ან არაკოდირებული ფორმით</w:t>
      </w:r>
      <w:r w:rsidR="00624F14" w:rsidRPr="00175329">
        <w:rPr>
          <w:rFonts w:ascii="Sylfaen" w:hAnsi="Sylfaen" w:cs="Sylfaen"/>
          <w:noProof/>
          <w:lang w:val="ka-GE"/>
        </w:rPr>
        <w:t>,</w:t>
      </w:r>
      <w:r w:rsidRPr="00175329">
        <w:rPr>
          <w:rFonts w:ascii="Sylfaen" w:hAnsi="Sylfaen" w:cs="Sylfaen"/>
          <w:noProof/>
          <w:lang w:val="ka-GE"/>
        </w:rPr>
        <w:t xml:space="preserve"> ის უნდა იყოს ლიცენზირებული. </w:t>
      </w:r>
    </w:p>
    <w:p w:rsidR="00FB59DC" w:rsidRPr="00175329" w:rsidRDefault="00FB59DC"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p>
    <w:p w:rsidR="00936CD1" w:rsidRPr="00175329" w:rsidRDefault="00FB59DC"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r w:rsidRPr="00175329">
        <w:rPr>
          <w:rFonts w:ascii="Sylfaen" w:hAnsi="Sylfaen" w:cs="Sylfaen"/>
          <w:noProof/>
          <w:lang w:val="ka-GE"/>
        </w:rPr>
        <w:t>,,კერძო ტელევიზიის შესახებ” ავსტრიის კანონი</w:t>
      </w:r>
      <w:r w:rsidR="00936CD1" w:rsidRPr="00175329">
        <w:rPr>
          <w:rFonts w:ascii="Sylfaen" w:hAnsi="Sylfaen" w:cs="Sylfaen"/>
          <w:noProof/>
          <w:lang w:val="ka-GE"/>
        </w:rPr>
        <w:t>ს მე-3 თავი ითვალისწინებს შესაბამისი სუბიექტისათვის ლიცენზიის გაცემის პროცედურას. მაგრამ სპეციალურ წესებს ადგენს კაბელური მაუწყებლობისათვის. კერძოდ, კანონის მე-9 მუხლი დასათაურებულია ,,კაბელური მაუწყებლობის მომსახურების ორგანიზაციის შეტყობინებით.” აღნიშნული მუხლის პირველი პუნქტის მიხედვით, მაუწყებლობის გადაცემის დაწყებამდე ერთი კვირით ადრე კაბელური მაუწყებელი წარუდგენს შეტყობინებას მარეგულირებელ ორგანოს, ისევე როგორც დაინტერესებულ ფედერალურ პროვინციასა და ადგილობრივი თვითმმართველობის ორგანოს</w:t>
      </w:r>
      <w:r w:rsidR="0037552A" w:rsidRPr="00175329">
        <w:rPr>
          <w:rFonts w:ascii="Sylfaen" w:hAnsi="Sylfaen" w:cs="Sylfaen"/>
          <w:noProof/>
          <w:lang w:val="ka-GE"/>
        </w:rPr>
        <w:t>,</w:t>
      </w:r>
      <w:r w:rsidR="00936CD1" w:rsidRPr="00175329">
        <w:rPr>
          <w:rFonts w:ascii="Sylfaen" w:hAnsi="Sylfaen" w:cs="Sylfaen"/>
          <w:noProof/>
          <w:lang w:val="ka-GE"/>
        </w:rPr>
        <w:t xml:space="preserve"> კაბელური მაუწყებლობის დაწყების განზრახვის თაობაზე. იგივე წესით კაბელური ქსელის ოპერატორმა უნდა შეიტანოს შეტყობინება პროგრამების რეტრანსლირების თაობაზე. </w:t>
      </w:r>
    </w:p>
    <w:p w:rsidR="00936CD1" w:rsidRPr="00175329" w:rsidRDefault="00936CD1"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p>
    <w:p w:rsidR="0012689E" w:rsidRPr="00175329" w:rsidRDefault="00936CD1"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r w:rsidRPr="00175329">
        <w:rPr>
          <w:rFonts w:ascii="Sylfaen" w:hAnsi="Sylfaen" w:cs="Sylfaen"/>
          <w:noProof/>
          <w:lang w:val="ka-GE"/>
        </w:rPr>
        <w:t>შეტყობინება უნდა შეიცავდეს ისეთ ინფორმაციას</w:t>
      </w:r>
      <w:r w:rsidR="003D785E" w:rsidRPr="00175329">
        <w:rPr>
          <w:rFonts w:ascii="Sylfaen" w:hAnsi="Sylfaen" w:cs="Sylfaen"/>
          <w:noProof/>
          <w:lang w:val="ka-GE"/>
        </w:rPr>
        <w:t xml:space="preserve">, </w:t>
      </w:r>
      <w:r w:rsidRPr="00175329">
        <w:rPr>
          <w:rFonts w:ascii="Sylfaen" w:hAnsi="Sylfaen" w:cs="Sylfaen"/>
          <w:noProof/>
          <w:lang w:val="ka-GE"/>
        </w:rPr>
        <w:t xml:space="preserve">როგორიცაა </w:t>
      </w:r>
      <w:r w:rsidR="0012689E" w:rsidRPr="00175329">
        <w:rPr>
          <w:rFonts w:ascii="Sylfaen" w:hAnsi="Sylfaen" w:cs="Sylfaen"/>
          <w:noProof/>
          <w:lang w:val="ka-GE"/>
        </w:rPr>
        <w:t>იმ კაბელური მაუწყებლის</w:t>
      </w:r>
      <w:r w:rsidR="003D785E" w:rsidRPr="00175329">
        <w:rPr>
          <w:rFonts w:ascii="Sylfaen" w:hAnsi="Sylfaen" w:cs="Sylfaen"/>
          <w:noProof/>
          <w:lang w:val="ka-GE"/>
        </w:rPr>
        <w:t xml:space="preserve">, მისი წარმომადგენელისა და აგენტის, </w:t>
      </w:r>
      <w:r w:rsidR="0037552A" w:rsidRPr="00175329">
        <w:rPr>
          <w:rFonts w:ascii="Sylfaen" w:hAnsi="Sylfaen" w:cs="Sylfaen"/>
          <w:noProof/>
          <w:lang w:val="ka-GE"/>
        </w:rPr>
        <w:t>სახელი</w:t>
      </w:r>
      <w:r w:rsidR="0012689E" w:rsidRPr="00175329">
        <w:rPr>
          <w:rFonts w:ascii="Sylfaen" w:hAnsi="Sylfaen" w:cs="Sylfaen"/>
          <w:noProof/>
          <w:lang w:val="ka-GE"/>
        </w:rPr>
        <w:t xml:space="preserve">, </w:t>
      </w:r>
      <w:r w:rsidR="0037552A" w:rsidRPr="00175329">
        <w:rPr>
          <w:rFonts w:ascii="Sylfaen" w:hAnsi="Sylfaen" w:cs="Sylfaen"/>
          <w:noProof/>
          <w:lang w:val="ka-GE"/>
        </w:rPr>
        <w:t>მისამართი</w:t>
      </w:r>
      <w:r w:rsidR="0012689E" w:rsidRPr="00175329">
        <w:rPr>
          <w:rFonts w:ascii="Sylfaen" w:hAnsi="Sylfaen" w:cs="Sylfaen"/>
          <w:noProof/>
          <w:lang w:val="ka-GE"/>
        </w:rPr>
        <w:t xml:space="preserve">, რომელიც უფლებამოსილია მიიღოს მომსახურების დოკუმენტი. გარდა ამისა, წარდგენილი უნდა იყოს მტკიცებულებები ამ კანონის მე-10 და მე-11 მუხლების მოთხოვნების დაკმაყოფილების თაობაზე. პროგრამების ფორმატის, გადაცემების </w:t>
      </w:r>
      <w:r w:rsidR="0012689E" w:rsidRPr="00175329">
        <w:rPr>
          <w:rFonts w:ascii="Sylfaen" w:hAnsi="Sylfaen" w:cs="Sylfaen"/>
          <w:noProof/>
          <w:lang w:val="ka-GE"/>
        </w:rPr>
        <w:lastRenderedPageBreak/>
        <w:t>ხანგძლივობის, შესვენებების და ა.შ.</w:t>
      </w:r>
    </w:p>
    <w:p w:rsidR="0012689E" w:rsidRPr="00175329" w:rsidRDefault="0012689E"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p>
    <w:p w:rsidR="0012689E" w:rsidRPr="00175329" w:rsidRDefault="0012689E"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r w:rsidRPr="00175329">
        <w:rPr>
          <w:rFonts w:ascii="Sylfaen" w:hAnsi="Sylfaen" w:cs="Sylfaen"/>
          <w:noProof/>
          <w:lang w:val="ka-GE"/>
        </w:rPr>
        <w:t>ზემოხსენებული მოთხოვნები შეეხება იმ საკაბელო მაუწყებლებს, რომლებიც ემსახურებიან სულ მცირე ას ოჯახს.</w:t>
      </w:r>
    </w:p>
    <w:p w:rsidR="0012689E" w:rsidRPr="00175329" w:rsidRDefault="0012689E"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p>
    <w:p w:rsidR="00AD3FDF" w:rsidRPr="00175329" w:rsidRDefault="0012689E"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r w:rsidRPr="00175329">
        <w:rPr>
          <w:rFonts w:ascii="Sylfaen" w:hAnsi="Sylfaen" w:cs="Sylfaen"/>
          <w:noProof/>
          <w:lang w:val="ka-GE"/>
        </w:rPr>
        <w:t>კაბელურ</w:t>
      </w:r>
      <w:r w:rsidR="00112B20" w:rsidRPr="00175329">
        <w:rPr>
          <w:rFonts w:ascii="Sylfaen" w:hAnsi="Sylfaen" w:cs="Sylfaen"/>
          <w:noProof/>
          <w:lang w:val="ka-GE"/>
        </w:rPr>
        <w:t>ი მაუწყებლობის ორგანიზ</w:t>
      </w:r>
      <w:r w:rsidR="00AD3FDF" w:rsidRPr="00175329">
        <w:rPr>
          <w:rFonts w:ascii="Sylfaen" w:hAnsi="Sylfaen" w:cs="Sylfaen"/>
          <w:noProof/>
          <w:lang w:val="ka-GE"/>
        </w:rPr>
        <w:t>ატორი განაახლებს ამ მუხლის მეორე პუნქტში გათვალისწინებულ მონაცემებს ყოველწლიურად და წარადგენს მას მარეგულირებელ ორგანოში ყოველი წლის 31 დეკემბერს. მარეგულირებელი ორგანო ინახავს კაბელური მაუწყებლების შესახებ სიის განახლებულ ვერსიას, რაც უნდა გამოქვეყნდეს სათანადო ფორმით.</w:t>
      </w:r>
      <w:r w:rsidR="0037552A" w:rsidRPr="00175329">
        <w:rPr>
          <w:rStyle w:val="FootnoteReference"/>
          <w:rFonts w:ascii="Sylfaen" w:hAnsi="Sylfaen" w:cs="Sylfaen"/>
          <w:noProof/>
          <w:lang w:val="ka-GE"/>
        </w:rPr>
        <w:footnoteReference w:id="8"/>
      </w:r>
    </w:p>
    <w:p w:rsidR="00AD3FDF" w:rsidRPr="00175329" w:rsidRDefault="00AD3FDF"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p>
    <w:p w:rsidR="00111EFB" w:rsidRPr="00175329" w:rsidRDefault="00AD3FDF"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r w:rsidRPr="00175329">
        <w:rPr>
          <w:rFonts w:ascii="Sylfaen" w:hAnsi="Sylfaen" w:cs="Sylfaen"/>
          <w:noProof/>
          <w:lang w:val="ka-GE"/>
        </w:rPr>
        <w:t xml:space="preserve">,,კერძო ტელევიზიების შესახებ” კანონის 55-ე მუხლის მე-4 მუხლი კანონის განმეორებითი და სერიოზული დარღვევისათვის ითვალისწინებს ფედერალური საკომუნიკაციო საბჭოს მხრიდან პროცედურის ინიცირებას, რაც ითვალისწინებს ლიცენზიის მფლობელის მიმართ ლიცენზიის ჩამორთმევას, ხოლო კაბელური </w:t>
      </w:r>
      <w:r w:rsidR="00111EFB" w:rsidRPr="00175329">
        <w:rPr>
          <w:rFonts w:ascii="Sylfaen" w:hAnsi="Sylfaen" w:cs="Sylfaen"/>
          <w:noProof/>
          <w:lang w:val="ka-GE"/>
        </w:rPr>
        <w:t>მაუწყებლის მიმართ საქმიანობის აკრძალვას.</w:t>
      </w:r>
    </w:p>
    <w:p w:rsidR="00111EFB" w:rsidRPr="00175329" w:rsidRDefault="00111EFB"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jc w:val="both"/>
        <w:rPr>
          <w:rFonts w:ascii="Sylfaen" w:hAnsi="Sylfaen" w:cs="Sylfaen"/>
          <w:noProof/>
          <w:lang w:val="ka-GE"/>
        </w:rPr>
      </w:pPr>
    </w:p>
    <w:p w:rsidR="00111EFB" w:rsidRPr="00175329" w:rsidRDefault="00111EFB" w:rsidP="001753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49"/>
        <w:jc w:val="both"/>
        <w:rPr>
          <w:rFonts w:ascii="Sylfaen" w:hAnsi="Sylfaen" w:cs="Sylfaen"/>
          <w:noProof/>
          <w:lang w:val="ka-GE"/>
        </w:rPr>
      </w:pPr>
      <w:r w:rsidRPr="00175329">
        <w:rPr>
          <w:rFonts w:ascii="Sylfaen" w:hAnsi="Sylfaen" w:cs="Sylfaen"/>
          <w:noProof/>
          <w:lang w:val="ka-GE"/>
        </w:rPr>
        <w:t xml:space="preserve">რაც შეეხება ,,მაუწყებლობის შესახებ” საქართველოს კანონს: 38-ე მუხლის მე-5 პუნქტის შესაბამისად, ტელე- ან რადიოსამაუწყებლო თანამგზავრული სისტემების მიწისზედა სადგურების ან საკაბელო ქსელის გამოყენებით მაუწყებლობა ექვემდებარება ლიცენზირებას. აღნიშნული საშუალებებით მაუწყებლობისათვის ლიცენზიის მისაღებად ან მოდიფიცირებისათვის ზემოხსენებული ნორმა ითვალისწინებს მარტივი ადმინისტრაციული წარმოების პროცედურას. ხსენებული ნორმა უპირისპირდება იმავე 38-ე მუხლის მე-4 პუნქტს, რომლითაც ამოწურვადი სიხშირული სპექტრით მაუწყებლობისათვის ლიცენზიის გაცემა, მოდიფიცირება, მისი მოქმედების შეჩერება და გაუქმება, აგრეთვე ტელე- ან რადიოსამაუწყებლო თანამგზავრული </w:t>
      </w:r>
      <w:r w:rsidRPr="00175329">
        <w:rPr>
          <w:rFonts w:ascii="Sylfaen" w:hAnsi="Sylfaen" w:cs="Sylfaen"/>
          <w:noProof/>
          <w:lang w:val="ka-GE"/>
        </w:rPr>
        <w:lastRenderedPageBreak/>
        <w:t xml:space="preserve">სისტემების მიწისზედა სადგურების ან საკაბელო ქსელის გამოყენებით მაუწყებლობის ლიცენზიის მოქმედების შეჩერება და გაუქმება ხორციელდება საჯარო ადმინისტრაციული წარმოების წესით. </w:t>
      </w:r>
    </w:p>
    <w:p w:rsidR="00111EFB" w:rsidRPr="00175329" w:rsidRDefault="00111EFB" w:rsidP="001753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49"/>
        <w:jc w:val="both"/>
        <w:rPr>
          <w:rFonts w:ascii="Sylfaen" w:hAnsi="Sylfaen" w:cs="Sylfaen"/>
          <w:noProof/>
          <w:lang w:val="ka-GE"/>
        </w:rPr>
      </w:pPr>
    </w:p>
    <w:p w:rsidR="00AA2F21" w:rsidRPr="00175329" w:rsidRDefault="00111EFB" w:rsidP="001753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49"/>
        <w:jc w:val="both"/>
        <w:rPr>
          <w:rFonts w:ascii="Sylfaen" w:hAnsi="Sylfaen" w:cs="Sylfaen"/>
          <w:noProof/>
          <w:lang w:val="ka-GE"/>
        </w:rPr>
      </w:pPr>
      <w:r w:rsidRPr="00175329">
        <w:rPr>
          <w:rFonts w:ascii="Sylfaen" w:hAnsi="Sylfaen" w:cs="Sylfaen"/>
          <w:noProof/>
          <w:lang w:val="ka-GE"/>
        </w:rPr>
        <w:t xml:space="preserve">,,მაუწყებლობის შესახებ” საქართველოს კანონი მიღებულია 2004 წლის 23 დეკემბერს. უფრო გვიან </w:t>
      </w:r>
      <w:r w:rsidR="003B74F3" w:rsidRPr="00175329">
        <w:rPr>
          <w:rFonts w:ascii="Sylfaen" w:hAnsi="Sylfaen" w:cs="Sylfaen"/>
          <w:noProof/>
          <w:lang w:val="ka-GE"/>
        </w:rPr>
        <w:t xml:space="preserve">2005 წლის 25 ივნისს მიღებულია ,,ლიცენზიებისა და ნებართვების შესახებ” საქართველოს კანონი. </w:t>
      </w:r>
      <w:r w:rsidR="00AA2F21" w:rsidRPr="00175329">
        <w:rPr>
          <w:rFonts w:ascii="Sylfaen" w:hAnsi="Sylfaen" w:cs="Sylfaen"/>
          <w:noProof/>
          <w:lang w:val="ka-GE"/>
        </w:rPr>
        <w:t xml:space="preserve">აღნიშნული კანონის მე-10 მუხლის მე-3 პუნქტის შესაბამისად, </w:t>
      </w:r>
      <w:r w:rsidR="003B74F3" w:rsidRPr="00175329">
        <w:rPr>
          <w:rFonts w:ascii="Sylfaen" w:hAnsi="Sylfaen" w:cs="Sylfaen"/>
          <w:noProof/>
          <w:lang w:val="ka-GE"/>
        </w:rPr>
        <w:t xml:space="preserve"> </w:t>
      </w:r>
      <w:r w:rsidR="00AA2F21" w:rsidRPr="00175329">
        <w:rPr>
          <w:rFonts w:ascii="Sylfaen" w:hAnsi="Sylfaen" w:cs="Sylfaen"/>
          <w:noProof/>
          <w:lang w:val="ka-GE"/>
        </w:rPr>
        <w:t xml:space="preserve">ლიცენზიის გამცემი ლიცენზიის გაცემის თაობაზე გადაწყვეტილებას იღებს საქართველოს ზოგადი ადმინისტრაციული კოდექსის IX თავით განსაზღვრული საჯარო ადმინისტრაციული წარმოების წესით და ამ კანონის შესაბამისად. </w:t>
      </w:r>
    </w:p>
    <w:p w:rsidR="00AA2F21" w:rsidRPr="00175329" w:rsidRDefault="00AA2F21" w:rsidP="001753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49"/>
        <w:jc w:val="both"/>
        <w:rPr>
          <w:rFonts w:ascii="Sylfaen" w:hAnsi="Sylfaen" w:cs="Sylfaen"/>
          <w:noProof/>
          <w:lang w:val="ka-GE"/>
        </w:rPr>
      </w:pPr>
    </w:p>
    <w:p w:rsidR="00611BE4" w:rsidRPr="00175329" w:rsidRDefault="00AA2F21" w:rsidP="0017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49"/>
        <w:jc w:val="both"/>
        <w:rPr>
          <w:rFonts w:ascii="Sylfaen" w:hAnsi="Sylfaen" w:cs="Sylfaen"/>
          <w:noProof/>
          <w:sz w:val="24"/>
          <w:szCs w:val="24"/>
          <w:lang w:val="ka-GE"/>
        </w:rPr>
      </w:pPr>
      <w:r w:rsidRPr="00175329">
        <w:rPr>
          <w:rFonts w:ascii="Sylfaen" w:hAnsi="Sylfaen" w:cs="Sylfaen"/>
          <w:noProof/>
          <w:sz w:val="24"/>
          <w:szCs w:val="24"/>
          <w:lang w:val="ka-GE"/>
        </w:rPr>
        <w:t>2008 წლის 10 მარტს საქართველოს კომუნიკაციების ეროვნულმა კომისიამ #120/23 გადაწყვეტილებაში იხელმძღვანელა რა ,,ნორმატიული აქტების შესახებ” საქართველოს კანონის 25-ე მუხლის მე-2 პუნქტით, რომლის თანახმადაც: ,,იერარქიის ერთი და იგივე საფეხურის ნორმატიულ აქტებს შორის წინააღმდეგობის წარმოქმნისას მოქმედებს უფრო გვიან მიღებული (გამოცემული) აქტით დადგენილი ნორმა.” (ეს იყო 1996 წლის 29 ოქტომბრის კანონის ჩანაწერი, რაც დღეის მდგომარეობით გაუქმებულია. იდენტური შინაარსის ჩანაწერი არსებობს დღეს მოქმედ 2009 წლის 22 ოქტომბრის ,,ნორმატიული აქტების შესახებ” საქართველოს კანონის მე-7 მუხლის მე-8 პუნქტში - ,,თანაბარი იურიდიული ძალის მქონე ნორმატიულ აქტებს შორის წინააღმდეგობის შემთხვევაში უპირატესობა ენიჭება უფრო გვიან მიღებულ (გამოცემულ) ნორმატიულ აქტს.”</w:t>
      </w:r>
      <w:r w:rsidR="00611BE4" w:rsidRPr="00175329">
        <w:rPr>
          <w:rFonts w:ascii="Sylfaen" w:hAnsi="Sylfaen" w:cs="Sylfaen"/>
          <w:noProof/>
          <w:sz w:val="24"/>
          <w:szCs w:val="24"/>
          <w:lang w:val="ka-GE"/>
        </w:rPr>
        <w:t>). საქართველოს კომუნიკაციების ეროვნულმა კომისიამ ზემოხსენებულ გადაწყვეტილებაში არ გამოიყენა ,,მაუწყებლობის შესახებ” საქართველოს კანონის 38-ე მუხლის მე-5 პუნქტი და ამის ნაცვლად იხელმძღვანელა ,,ლიცენზიებისა და ნებართვების შესახებ” საქართველოს კანონის მე-10 მუხლის მე-3 პუნქტით, რის შედეგადაც მარტივი ადმინისტრაციული წარმოების ნაცვლად შპს სტუდია ,,მაესტროსათვის” საკაბელო ქსელის გამოყენებით კერძო საერთო სამაუწყებლო ლიცენზიის მინიჭების თაობაზე დაიწყო არა მარტივი, არამედ საჯარო ადმინისტრაციული წარმოება.</w:t>
      </w:r>
      <w:r w:rsidR="0037552A" w:rsidRPr="00175329">
        <w:rPr>
          <w:rStyle w:val="FootnoteReference"/>
          <w:rFonts w:ascii="Sylfaen" w:hAnsi="Sylfaen" w:cs="Sylfaen"/>
          <w:noProof/>
          <w:sz w:val="24"/>
          <w:szCs w:val="24"/>
          <w:lang w:val="ka-GE"/>
        </w:rPr>
        <w:footnoteReference w:id="9"/>
      </w:r>
      <w:r w:rsidR="00611BE4" w:rsidRPr="00175329">
        <w:rPr>
          <w:rFonts w:ascii="Sylfaen" w:hAnsi="Sylfaen" w:cs="Sylfaen"/>
          <w:noProof/>
          <w:sz w:val="24"/>
          <w:szCs w:val="24"/>
          <w:lang w:val="ka-GE"/>
        </w:rPr>
        <w:t xml:space="preserve"> </w:t>
      </w:r>
    </w:p>
    <w:p w:rsidR="00935408" w:rsidRPr="00175329" w:rsidRDefault="00611BE4" w:rsidP="0017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49"/>
        <w:jc w:val="both"/>
        <w:rPr>
          <w:rFonts w:ascii="Sylfaen" w:hAnsi="Sylfaen" w:cs="Sylfaen"/>
          <w:noProof/>
          <w:sz w:val="24"/>
          <w:szCs w:val="24"/>
          <w:lang w:val="ka-GE"/>
        </w:rPr>
      </w:pPr>
      <w:r w:rsidRPr="00175329">
        <w:rPr>
          <w:rFonts w:ascii="Sylfaen" w:hAnsi="Sylfaen" w:cs="Sylfaen"/>
          <w:noProof/>
          <w:sz w:val="24"/>
          <w:szCs w:val="24"/>
          <w:lang w:val="ka-GE"/>
        </w:rPr>
        <w:t>ამგვარად, ამოწურვადი სიხშირული სპექტრით და ამოუწურავი საკაბელო ქსელით</w:t>
      </w:r>
      <w:r w:rsidR="00935408" w:rsidRPr="00175329">
        <w:rPr>
          <w:rFonts w:ascii="Sylfaen" w:hAnsi="Sylfaen" w:cs="Sylfaen"/>
          <w:noProof/>
          <w:sz w:val="24"/>
          <w:szCs w:val="24"/>
          <w:lang w:val="ka-GE"/>
        </w:rPr>
        <w:t>, ისევე როგორც თანამგზავრით მაუწყებლობისათვის ერთობლიობაში წაკითხული საქართველოს კანონმდებლობით მოითხოვება ერთნაირი გართულებული პროცედურა -საჯარო ადმინისტრაციული წარმოების ჩატარების სახით.</w:t>
      </w:r>
    </w:p>
    <w:p w:rsidR="00A11817" w:rsidRPr="00175329" w:rsidRDefault="00935408" w:rsidP="0017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49"/>
        <w:jc w:val="both"/>
        <w:rPr>
          <w:rFonts w:ascii="Sylfaen" w:hAnsi="Sylfaen" w:cs="Sylfaen"/>
          <w:noProof/>
          <w:sz w:val="24"/>
          <w:szCs w:val="24"/>
          <w:lang w:val="ka-GE"/>
        </w:rPr>
      </w:pPr>
      <w:r w:rsidRPr="00175329">
        <w:rPr>
          <w:rFonts w:ascii="Sylfaen" w:hAnsi="Sylfaen" w:cs="Sylfaen"/>
          <w:noProof/>
          <w:sz w:val="24"/>
          <w:szCs w:val="24"/>
          <w:lang w:val="ka-GE"/>
        </w:rPr>
        <w:lastRenderedPageBreak/>
        <w:t xml:space="preserve">ჩვენს მიერ დასახელებული ნორმები წაკითხვა იძლევა მხოლოდ ერთადერთი დასკვნის გაკეთების შესაძლებლობა - საკაბელო </w:t>
      </w:r>
      <w:r w:rsidR="00B60708" w:rsidRPr="00175329">
        <w:rPr>
          <w:rFonts w:ascii="Sylfaen" w:hAnsi="Sylfaen" w:cs="Sylfaen"/>
          <w:noProof/>
          <w:sz w:val="24"/>
          <w:szCs w:val="24"/>
          <w:lang w:val="ka-GE"/>
        </w:rPr>
        <w:t>ქსე</w:t>
      </w:r>
      <w:r w:rsidRPr="00175329">
        <w:rPr>
          <w:rFonts w:ascii="Sylfaen" w:hAnsi="Sylfaen" w:cs="Sylfaen"/>
          <w:noProof/>
          <w:sz w:val="24"/>
          <w:szCs w:val="24"/>
          <w:lang w:val="ka-GE"/>
        </w:rPr>
        <w:t xml:space="preserve">ლით და </w:t>
      </w:r>
      <w:r w:rsidR="00B60708" w:rsidRPr="00175329">
        <w:rPr>
          <w:rFonts w:ascii="Sylfaen" w:hAnsi="Sylfaen" w:cs="Sylfaen"/>
          <w:noProof/>
          <w:sz w:val="24"/>
          <w:szCs w:val="24"/>
          <w:lang w:val="ka-GE"/>
        </w:rPr>
        <w:t>თანამგზავრით</w:t>
      </w:r>
      <w:r w:rsidRPr="00175329">
        <w:rPr>
          <w:rFonts w:ascii="Sylfaen" w:hAnsi="Sylfaen" w:cs="Sylfaen"/>
          <w:noProof/>
          <w:sz w:val="24"/>
          <w:szCs w:val="24"/>
          <w:lang w:val="ka-GE"/>
        </w:rPr>
        <w:t xml:space="preserve"> მაუწყებლობა ექვემდებარება ლიცენზირებას.  ამგვარი დასკვნა არა მხოლოდ </w:t>
      </w:r>
      <w:r w:rsidRPr="00175329">
        <w:rPr>
          <w:rFonts w:ascii="Sylfaen" w:hAnsi="Sylfaen"/>
          <w:noProof/>
          <w:sz w:val="24"/>
          <w:szCs w:val="24"/>
          <w:lang w:val="ka-GE"/>
        </w:rPr>
        <w:t xml:space="preserve">,,მაუწყებლობის შესახებ” საქართველოს კანონის მე-2 მუხლის ,,ტ” ქვეპუნქტსა და იმავე კანონის </w:t>
      </w:r>
      <w:r w:rsidRPr="00175329">
        <w:rPr>
          <w:rFonts w:ascii="Sylfaen" w:hAnsi="Sylfaen" w:cs="Sylfaen"/>
          <w:noProof/>
          <w:sz w:val="24"/>
          <w:szCs w:val="24"/>
          <w:lang w:val="ka-GE"/>
        </w:rPr>
        <w:t xml:space="preserve">38-ე მუხლის მე-5 პუნქტში საკაბელო ქსელით და თანამგზავრული მაუწყებლობის ლიცენზირების თაობაზე პირდაპირ გაკეთებული ჩანაწერიდან გამომდინარეობს, არამედ ამაზე ასევე მეტყველებს ,,მაუწყებლობის შესახებ” საქართველოს კანონისა და ,,კერძო ტელევიზიების შესახებ” ავსტრიის კანონის შედარებითი ანალიზი. დავას არ იწვევს ის გარემოება, რომ საკაბელო და თანამგზავრული მაუწყებლობა წარმოადგენს ორივე </w:t>
      </w:r>
      <w:r w:rsidR="003D785E" w:rsidRPr="00175329">
        <w:rPr>
          <w:rFonts w:ascii="Sylfaen" w:hAnsi="Sylfaen" w:cs="Sylfaen"/>
          <w:noProof/>
          <w:sz w:val="24"/>
          <w:szCs w:val="24"/>
          <w:lang w:val="ka-GE"/>
        </w:rPr>
        <w:t>ქვეუნის კანონმდებლობის</w:t>
      </w:r>
      <w:r w:rsidRPr="00175329">
        <w:rPr>
          <w:rFonts w:ascii="Sylfaen" w:hAnsi="Sylfaen" w:cs="Sylfaen"/>
          <w:noProof/>
          <w:sz w:val="24"/>
          <w:szCs w:val="24"/>
          <w:lang w:val="ka-GE"/>
        </w:rPr>
        <w:t xml:space="preserve"> რეგულირების საგანს. </w:t>
      </w:r>
      <w:r w:rsidR="003D785E" w:rsidRPr="00175329">
        <w:rPr>
          <w:rFonts w:ascii="Sylfaen" w:hAnsi="Sylfaen" w:cs="Sylfaen"/>
          <w:noProof/>
          <w:sz w:val="24"/>
          <w:szCs w:val="24"/>
          <w:lang w:val="ka-GE"/>
        </w:rPr>
        <w:t>თუმცა</w:t>
      </w:r>
      <w:r w:rsidRPr="00175329">
        <w:rPr>
          <w:rFonts w:ascii="Sylfaen" w:hAnsi="Sylfaen" w:cs="Sylfaen"/>
          <w:noProof/>
          <w:sz w:val="24"/>
          <w:szCs w:val="24"/>
          <w:lang w:val="ka-GE"/>
        </w:rPr>
        <w:t xml:space="preserve"> ავსტრიული კანონმდებლობა საკაბელო ქსელით მაუწყებლობას განსხვავებულ რეჟიმს უქვემდებარებს და სპეციალურად ადგენს იმ ნორმებს, </w:t>
      </w:r>
      <w:r w:rsidR="0037552A" w:rsidRPr="00175329">
        <w:rPr>
          <w:rFonts w:ascii="Sylfaen" w:hAnsi="Sylfaen" w:cs="Sylfaen"/>
          <w:noProof/>
          <w:sz w:val="24"/>
          <w:szCs w:val="24"/>
          <w:lang w:val="ka-GE"/>
        </w:rPr>
        <w:t>რომლებითა</w:t>
      </w:r>
      <w:r w:rsidRPr="00175329">
        <w:rPr>
          <w:rFonts w:ascii="Sylfaen" w:hAnsi="Sylfaen" w:cs="Sylfaen"/>
          <w:noProof/>
          <w:sz w:val="24"/>
          <w:szCs w:val="24"/>
          <w:lang w:val="ka-GE"/>
        </w:rPr>
        <w:t>ც კაბელური მაუწყებლის საქმიანობის დაწყების საფუძველი ხდება არა ლიცენზირება, არამედ ერთი კვირით ადრე გაკეთებული შეტყობინება</w:t>
      </w:r>
      <w:r w:rsidR="00B60708" w:rsidRPr="00175329">
        <w:rPr>
          <w:rFonts w:ascii="Sylfaen" w:hAnsi="Sylfaen" w:cs="Sylfaen"/>
          <w:noProof/>
          <w:sz w:val="24"/>
          <w:szCs w:val="24"/>
          <w:lang w:val="ka-GE"/>
        </w:rPr>
        <w:t xml:space="preserve">, რაც ხდება მარეგულირებელი ორგანოს მხრიდან ხდება სათანადო </w:t>
      </w:r>
      <w:r w:rsidR="0037552A" w:rsidRPr="00175329">
        <w:rPr>
          <w:rFonts w:ascii="Sylfaen" w:hAnsi="Sylfaen" w:cs="Sylfaen"/>
          <w:noProof/>
          <w:sz w:val="24"/>
          <w:szCs w:val="24"/>
          <w:lang w:val="ka-GE"/>
        </w:rPr>
        <w:t xml:space="preserve">მომსახურების </w:t>
      </w:r>
      <w:r w:rsidR="00B60708" w:rsidRPr="00175329">
        <w:rPr>
          <w:rFonts w:ascii="Sylfaen" w:hAnsi="Sylfaen" w:cs="Sylfaen"/>
          <w:noProof/>
          <w:sz w:val="24"/>
          <w:szCs w:val="24"/>
          <w:lang w:val="ka-GE"/>
        </w:rPr>
        <w:t>დოკუმენტის გაცემის საფუძველი</w:t>
      </w:r>
      <w:r w:rsidR="0037552A" w:rsidRPr="00175329">
        <w:rPr>
          <w:rFonts w:ascii="Sylfaen" w:hAnsi="Sylfaen" w:cs="Sylfaen"/>
          <w:noProof/>
          <w:sz w:val="24"/>
          <w:szCs w:val="24"/>
          <w:lang w:val="ka-GE"/>
        </w:rPr>
        <w:t xml:space="preserve">. ეს დოკუმენტი </w:t>
      </w:r>
      <w:r w:rsidR="00B60708" w:rsidRPr="00175329">
        <w:rPr>
          <w:rFonts w:ascii="Sylfaen" w:hAnsi="Sylfaen" w:cs="Sylfaen"/>
          <w:noProof/>
          <w:sz w:val="24"/>
          <w:szCs w:val="24"/>
          <w:lang w:val="ka-GE"/>
        </w:rPr>
        <w:t xml:space="preserve">არ არის გართულებული პროცედურის შედეგად მინიჭებული ლიცენზია. მაუწყებლის მიერ დოკუმენტის გაცემის საფუძველი ხდება კაბელური ქსელით მაუწყებლობის საქმიანობის დაწყების თაობაზე წინასწარი </w:t>
      </w:r>
      <w:r w:rsidR="0037552A" w:rsidRPr="00175329">
        <w:rPr>
          <w:rFonts w:ascii="Sylfaen" w:hAnsi="Sylfaen" w:cs="Sylfaen"/>
          <w:noProof/>
          <w:sz w:val="24"/>
          <w:szCs w:val="24"/>
          <w:lang w:val="ka-GE"/>
        </w:rPr>
        <w:t>შეტყობინება</w:t>
      </w:r>
      <w:r w:rsidR="00B60708" w:rsidRPr="00175329">
        <w:rPr>
          <w:rFonts w:ascii="Sylfaen" w:hAnsi="Sylfaen" w:cs="Sylfaen"/>
          <w:noProof/>
          <w:sz w:val="24"/>
          <w:szCs w:val="24"/>
          <w:lang w:val="ka-GE"/>
        </w:rPr>
        <w:t>, რაც სათანადო სახელმწიფო ორგანოს მხრიდან არანაირი გადაწყვეტილების მიღებას არ საჭიროებს. შეტყობინება არის საშუალება, რითაც კომპეტენტური ორგანოსათვის წინასწარ ცნობილი ხდება, რომ კაბელით მაუწყებლობას იწყებს შესაბამისი პირი. ამის შემდეგ, მარეგულირებელ ორგანოს ევალება ის, რომ განახორციელოს მონიტორინგი აღნიშნული საკაბელო ქსელის მაუწყებლობაზე და აკრძალოს მისი საქმიანობა, თუკი იარსებებს კანონის 55-ე მუხლით გათვალისწინებული გარემოება.</w:t>
      </w:r>
    </w:p>
    <w:p w:rsidR="00A11817" w:rsidRPr="00175329" w:rsidRDefault="00A11817" w:rsidP="00175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49"/>
        <w:jc w:val="both"/>
        <w:rPr>
          <w:rFonts w:ascii="Sylfaen" w:hAnsi="Sylfaen" w:cs="Sylfaen"/>
          <w:noProof/>
          <w:sz w:val="24"/>
          <w:szCs w:val="24"/>
          <w:lang w:val="ka-GE"/>
        </w:rPr>
      </w:pPr>
      <w:r w:rsidRPr="00175329">
        <w:rPr>
          <w:rFonts w:ascii="Sylfaen" w:hAnsi="Sylfaen" w:cs="Sylfaen"/>
          <w:noProof/>
          <w:sz w:val="24"/>
          <w:szCs w:val="24"/>
          <w:lang w:val="ka-GE"/>
        </w:rPr>
        <w:t xml:space="preserve">საკაბელო ქსელით და თანამგზავრით მაუწყებლობასთან დაკავშირებით </w:t>
      </w:r>
      <w:r w:rsidR="007D0011" w:rsidRPr="00175329">
        <w:rPr>
          <w:rFonts w:ascii="Sylfaen" w:hAnsi="Sylfaen" w:cs="Sylfaen"/>
          <w:noProof/>
          <w:sz w:val="24"/>
          <w:szCs w:val="24"/>
          <w:lang w:val="ka-GE"/>
        </w:rPr>
        <w:t>არსებობ</w:t>
      </w:r>
      <w:r w:rsidRPr="00175329">
        <w:rPr>
          <w:rFonts w:ascii="Sylfaen" w:hAnsi="Sylfaen" w:cs="Sylfaen"/>
          <w:noProof/>
          <w:sz w:val="24"/>
          <w:szCs w:val="24"/>
          <w:lang w:val="ka-GE"/>
        </w:rPr>
        <w:t xml:space="preserve">და სპეციალური ჩანაწერი ,,მაუწყებლობის შესახებ” საქართველოს კანონის 38-ე მუხლის მე-4 პუნქტითაც, რაც ამგვარ მაუწყებლობას სიხშირული სპექტრით მაუწყებლობისაგან განსხვავებით მარტივ ადმინისტრაციულ წარმოებას უქვემდებარებდა. თუმცა ,,ლიცენზიებისა და ნებართვების შესახებ” კანონის მიღებამ თანამგზავრული და საკაბელო ქსელის მეშვეობით მაუწყებლობის დაწყება გაუთანაბრა სიხშირული სპექტრით მაუწყებლობის დაწყებას, ვინაიდან ყველა მათგანი საჯარო ადმინისტრაციულ </w:t>
      </w:r>
      <w:r w:rsidR="00414576" w:rsidRPr="00175329">
        <w:rPr>
          <w:rFonts w:ascii="Sylfaen" w:hAnsi="Sylfaen" w:cs="Sylfaen"/>
          <w:noProof/>
          <w:sz w:val="24"/>
          <w:szCs w:val="24"/>
          <w:lang w:val="ka-GE"/>
        </w:rPr>
        <w:t>წარმოების შედეგია</w:t>
      </w:r>
      <w:r w:rsidRPr="00175329">
        <w:rPr>
          <w:rFonts w:ascii="Sylfaen" w:hAnsi="Sylfaen" w:cs="Sylfaen"/>
          <w:noProof/>
          <w:sz w:val="24"/>
          <w:szCs w:val="24"/>
          <w:lang w:val="ka-GE"/>
        </w:rPr>
        <w:t xml:space="preserve">. ცხადია, როდესაც საუბარია ლიცენზირებაზე, მიუხედავად იმისა, აღნიშნული მარტივი თუ საჯარო წარმოებით დგება, სახეზე გვაქვს </w:t>
      </w:r>
      <w:r w:rsidR="00414576" w:rsidRPr="00175329">
        <w:rPr>
          <w:rFonts w:ascii="Sylfaen" w:hAnsi="Sylfaen" w:cs="Sylfaen"/>
          <w:noProof/>
          <w:sz w:val="24"/>
          <w:szCs w:val="24"/>
          <w:lang w:val="ka-GE"/>
        </w:rPr>
        <w:t>გარემოება</w:t>
      </w:r>
      <w:r w:rsidRPr="00175329">
        <w:rPr>
          <w:rFonts w:ascii="Sylfaen" w:hAnsi="Sylfaen" w:cs="Sylfaen"/>
          <w:noProof/>
          <w:sz w:val="24"/>
          <w:szCs w:val="24"/>
          <w:lang w:val="ka-GE"/>
        </w:rPr>
        <w:t>, როდესაც მარეგულირებელ ორგანოს შესაძლებლობა ეძლევა</w:t>
      </w:r>
      <w:r w:rsidR="00414576" w:rsidRPr="00175329">
        <w:rPr>
          <w:rFonts w:ascii="Sylfaen" w:hAnsi="Sylfaen" w:cs="Sylfaen"/>
          <w:noProof/>
          <w:sz w:val="24"/>
          <w:szCs w:val="24"/>
          <w:lang w:val="ka-GE"/>
        </w:rPr>
        <w:t>,</w:t>
      </w:r>
      <w:r w:rsidRPr="00175329">
        <w:rPr>
          <w:rFonts w:ascii="Sylfaen" w:hAnsi="Sylfaen" w:cs="Sylfaen"/>
          <w:noProof/>
          <w:sz w:val="24"/>
          <w:szCs w:val="24"/>
          <w:lang w:val="ka-GE"/>
        </w:rPr>
        <w:t xml:space="preserve"> არ უბრალოდ </w:t>
      </w:r>
      <w:r w:rsidRPr="00175329">
        <w:rPr>
          <w:rFonts w:ascii="Sylfaen" w:hAnsi="Sylfaen" w:cs="Sylfaen"/>
          <w:noProof/>
          <w:sz w:val="24"/>
          <w:szCs w:val="24"/>
          <w:lang w:val="ka-GE"/>
        </w:rPr>
        <w:lastRenderedPageBreak/>
        <w:t>ცნობად მიიღოს შეტყობინება, არამედ სათანადო გარემოების არსებობის შემთხვევაში</w:t>
      </w:r>
      <w:r w:rsidR="00414576" w:rsidRPr="00175329">
        <w:rPr>
          <w:rFonts w:ascii="Sylfaen" w:hAnsi="Sylfaen" w:cs="Sylfaen"/>
          <w:noProof/>
          <w:sz w:val="24"/>
          <w:szCs w:val="24"/>
          <w:lang w:val="ka-GE"/>
        </w:rPr>
        <w:t>,</w:t>
      </w:r>
      <w:r w:rsidRPr="00175329">
        <w:rPr>
          <w:rFonts w:ascii="Sylfaen" w:hAnsi="Sylfaen" w:cs="Sylfaen"/>
          <w:noProof/>
          <w:sz w:val="24"/>
          <w:szCs w:val="24"/>
          <w:lang w:val="ka-GE"/>
        </w:rPr>
        <w:t xml:space="preserve"> უარი განაცხადოს საკაბელო ქსელით ან თანამგზავრით მაუწყებლობის მსურველი პირის მოთხოვნის დაკმაყოფილებაზე, გასცეს სამაუწყებლო ლიცენზია. </w:t>
      </w:r>
    </w:p>
    <w:p w:rsidR="00414576" w:rsidRPr="00175329" w:rsidRDefault="00414576" w:rsidP="00175329">
      <w:pPr>
        <w:spacing w:after="0"/>
        <w:ind w:right="149"/>
        <w:jc w:val="both"/>
        <w:rPr>
          <w:rFonts w:ascii="Sylfaen" w:hAnsi="Sylfaen"/>
          <w:b/>
          <w:noProof/>
          <w:sz w:val="24"/>
          <w:szCs w:val="24"/>
          <w:lang w:val="ka-GE"/>
        </w:rPr>
      </w:pPr>
    </w:p>
    <w:p w:rsidR="00414576" w:rsidRPr="00175329" w:rsidRDefault="00414576" w:rsidP="00175329">
      <w:pPr>
        <w:spacing w:after="0"/>
        <w:ind w:right="149"/>
        <w:jc w:val="both"/>
        <w:rPr>
          <w:rFonts w:ascii="Sylfaen" w:hAnsi="Sylfaen"/>
          <w:b/>
          <w:noProof/>
          <w:sz w:val="24"/>
          <w:szCs w:val="24"/>
          <w:lang w:val="ka-GE"/>
        </w:rPr>
      </w:pPr>
      <w:r w:rsidRPr="00175329">
        <w:rPr>
          <w:rFonts w:ascii="Sylfaen" w:hAnsi="Sylfaen"/>
          <w:b/>
          <w:noProof/>
          <w:sz w:val="24"/>
          <w:szCs w:val="24"/>
          <w:lang w:val="ka-GE"/>
        </w:rPr>
        <w:t>თხოვნა</w:t>
      </w:r>
    </w:p>
    <w:p w:rsidR="00414576" w:rsidRPr="00175329" w:rsidRDefault="00414576"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,,საკონსტიტუციო სამართალწარმოების შესახებ” საქართველოს კანონის მე-14</w:t>
      </w:r>
      <w:r w:rsidRPr="00175329">
        <w:rPr>
          <w:rFonts w:ascii="Sylfaen" w:hAnsi="Sylfaen"/>
          <w:noProof/>
          <w:sz w:val="24"/>
          <w:szCs w:val="24"/>
          <w:vertAlign w:val="superscript"/>
          <w:lang w:val="ka-GE"/>
        </w:rPr>
        <w:t xml:space="preserve">1 </w:t>
      </w:r>
      <w:r w:rsidRPr="00175329">
        <w:rPr>
          <w:rFonts w:ascii="Sylfaen" w:hAnsi="Sylfaen"/>
          <w:noProof/>
          <w:sz w:val="24"/>
          <w:szCs w:val="24"/>
          <w:lang w:val="ka-GE"/>
        </w:rPr>
        <w:t>მუხლის მე-3 პუნქტით დადგენილი წესით გამოიყენოთ საქართველოს ახალგაზრდა იურისტთა ასოციაციის წერილობითი მოსაზრება.</w:t>
      </w:r>
    </w:p>
    <w:p w:rsidR="00414576" w:rsidRPr="00175329" w:rsidRDefault="00414576" w:rsidP="00175329">
      <w:pPr>
        <w:spacing w:after="0"/>
        <w:ind w:right="149"/>
        <w:jc w:val="both"/>
        <w:rPr>
          <w:rFonts w:ascii="Sylfaen" w:hAnsi="Sylfaen"/>
          <w:noProof/>
          <w:sz w:val="24"/>
          <w:szCs w:val="24"/>
          <w:lang w:val="ka-GE"/>
        </w:rPr>
      </w:pPr>
    </w:p>
    <w:p w:rsidR="00414576" w:rsidRPr="00175329" w:rsidRDefault="00414576" w:rsidP="00175329">
      <w:pPr>
        <w:spacing w:after="0"/>
        <w:ind w:right="149"/>
        <w:jc w:val="both"/>
        <w:rPr>
          <w:rFonts w:ascii="Sylfaen" w:hAnsi="Sylfaen"/>
          <w:noProof/>
          <w:sz w:val="24"/>
          <w:szCs w:val="24"/>
          <w:lang w:val="ka-GE"/>
        </w:rPr>
      </w:pPr>
    </w:p>
    <w:p w:rsidR="00414576" w:rsidRPr="00175329" w:rsidRDefault="00414576" w:rsidP="00175329">
      <w:pPr>
        <w:spacing w:after="0"/>
        <w:ind w:right="149"/>
        <w:jc w:val="both"/>
        <w:rPr>
          <w:rFonts w:ascii="Sylfaen" w:hAnsi="Sylfaen"/>
          <w:noProof/>
          <w:sz w:val="24"/>
          <w:szCs w:val="24"/>
          <w:lang w:val="ka-GE"/>
        </w:rPr>
      </w:pPr>
      <w:r w:rsidRPr="00175329">
        <w:rPr>
          <w:rFonts w:ascii="Sylfaen" w:hAnsi="Sylfaen"/>
          <w:noProof/>
          <w:sz w:val="24"/>
          <w:szCs w:val="24"/>
          <w:lang w:val="ka-GE"/>
        </w:rPr>
        <w:t>თამარ ხიდაშელი</w:t>
      </w:r>
    </w:p>
    <w:p w:rsidR="00414576" w:rsidRPr="00175329" w:rsidRDefault="00414576" w:rsidP="0017532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49"/>
        <w:jc w:val="both"/>
        <w:rPr>
          <w:rFonts w:ascii="Sylfaen" w:hAnsi="Sylfaen" w:cs="Sylfaen"/>
          <w:noProof/>
          <w:lang w:val="ka-GE"/>
        </w:rPr>
      </w:pPr>
      <w:r w:rsidRPr="00175329">
        <w:rPr>
          <w:rFonts w:ascii="Sylfaen" w:hAnsi="Sylfaen" w:cs="Sylfaen"/>
          <w:noProof/>
          <w:lang w:val="ka-GE"/>
        </w:rPr>
        <w:t xml:space="preserve">საქართველოს ახალგაზრდა იურისტთა </w:t>
      </w:r>
    </w:p>
    <w:p w:rsidR="00FB59DC" w:rsidRPr="00175329" w:rsidRDefault="00414576" w:rsidP="00175329">
      <w:pPr>
        <w:spacing w:after="0"/>
        <w:ind w:right="149"/>
        <w:jc w:val="both"/>
        <w:rPr>
          <w:rFonts w:ascii="Sylfaen" w:hAnsi="Sylfaen"/>
          <w:noProof/>
          <w:sz w:val="24"/>
          <w:szCs w:val="24"/>
          <w:lang w:val="ka-GE"/>
        </w:rPr>
      </w:pPr>
      <w:r w:rsidRPr="00175329">
        <w:rPr>
          <w:rFonts w:ascii="Sylfaen" w:hAnsi="Sylfaen" w:cs="Sylfaen"/>
          <w:noProof/>
          <w:sz w:val="24"/>
          <w:szCs w:val="24"/>
          <w:lang w:val="ka-GE"/>
        </w:rPr>
        <w:t>ასოციაციის თავმჯდომარე</w:t>
      </w:r>
      <w:r w:rsidR="00AA2F21" w:rsidRPr="00175329">
        <w:rPr>
          <w:rFonts w:ascii="Sylfaen" w:hAnsi="Sylfaen" w:cs="Sylfaen"/>
          <w:noProof/>
          <w:sz w:val="24"/>
          <w:szCs w:val="24"/>
          <w:lang w:val="ka-GE"/>
        </w:rPr>
        <w:t xml:space="preserve"> </w:t>
      </w:r>
      <w:r w:rsidR="00AD3FDF" w:rsidRPr="00175329">
        <w:rPr>
          <w:rFonts w:ascii="Sylfaen" w:hAnsi="Sylfaen" w:cs="Sylfaen"/>
          <w:noProof/>
          <w:sz w:val="24"/>
          <w:szCs w:val="24"/>
          <w:lang w:val="ka-GE"/>
        </w:rPr>
        <w:t xml:space="preserve"> </w:t>
      </w:r>
      <w:r w:rsidR="0012689E" w:rsidRPr="00175329">
        <w:rPr>
          <w:rFonts w:ascii="Sylfaen" w:hAnsi="Sylfaen" w:cs="Sylfaen"/>
          <w:noProof/>
          <w:sz w:val="24"/>
          <w:szCs w:val="24"/>
          <w:lang w:val="ka-GE"/>
        </w:rPr>
        <w:t xml:space="preserve">  </w:t>
      </w:r>
      <w:r w:rsidR="00936CD1" w:rsidRPr="00175329">
        <w:rPr>
          <w:rFonts w:ascii="Sylfaen" w:hAnsi="Sylfaen" w:cs="Sylfaen"/>
          <w:noProof/>
          <w:sz w:val="24"/>
          <w:szCs w:val="24"/>
          <w:lang w:val="ka-GE"/>
        </w:rPr>
        <w:t xml:space="preserve">  </w:t>
      </w:r>
      <w:r w:rsidR="00FB59DC" w:rsidRPr="00175329">
        <w:rPr>
          <w:rFonts w:ascii="Sylfaen" w:hAnsi="Sylfaen" w:cs="Sylfaen"/>
          <w:noProof/>
          <w:sz w:val="24"/>
          <w:szCs w:val="24"/>
          <w:lang w:val="ka-GE"/>
        </w:rPr>
        <w:t xml:space="preserve"> </w:t>
      </w:r>
    </w:p>
    <w:p w:rsidR="00FB59DC" w:rsidRPr="00175329" w:rsidRDefault="00FB59DC" w:rsidP="00175329">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149" w:firstLine="720"/>
        <w:jc w:val="both"/>
        <w:rPr>
          <w:rFonts w:ascii="Sylfaen" w:hAnsi="Sylfaen" w:cs="Sylfaen"/>
          <w:noProof/>
          <w:lang w:val="ka-GE"/>
        </w:rPr>
      </w:pPr>
    </w:p>
    <w:bookmarkEnd w:id="0"/>
    <w:p w:rsidR="005D6D18" w:rsidRPr="00175329" w:rsidRDefault="005D6D18" w:rsidP="00175329">
      <w:pPr>
        <w:spacing w:after="0"/>
        <w:ind w:right="149"/>
        <w:jc w:val="both"/>
        <w:rPr>
          <w:rFonts w:ascii="Sylfaen" w:hAnsi="Sylfaen"/>
          <w:noProof/>
          <w:sz w:val="24"/>
          <w:szCs w:val="24"/>
          <w:lang w:val="ka-GE"/>
        </w:rPr>
      </w:pPr>
    </w:p>
    <w:sectPr w:rsidR="005D6D18" w:rsidRPr="00175329" w:rsidSect="00175329">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F53" w:rsidRDefault="00566F53" w:rsidP="00E719CD">
      <w:pPr>
        <w:spacing w:after="0" w:line="240" w:lineRule="auto"/>
      </w:pPr>
      <w:r>
        <w:separator/>
      </w:r>
    </w:p>
  </w:endnote>
  <w:endnote w:type="continuationSeparator" w:id="0">
    <w:p w:rsidR="00566F53" w:rsidRDefault="00566F53" w:rsidP="00E7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9329"/>
      <w:docPartObj>
        <w:docPartGallery w:val="Page Numbers (Bottom of Page)"/>
        <w:docPartUnique/>
      </w:docPartObj>
    </w:sdtPr>
    <w:sdtEndPr/>
    <w:sdtContent>
      <w:p w:rsidR="007D0011" w:rsidRDefault="00566F53">
        <w:pPr>
          <w:pStyle w:val="Footer"/>
          <w:jc w:val="center"/>
        </w:pPr>
        <w:r>
          <w:rPr>
            <w:noProof/>
          </w:rPr>
          <w:fldChar w:fldCharType="begin"/>
        </w:r>
        <w:r>
          <w:rPr>
            <w:noProof/>
          </w:rPr>
          <w:instrText xml:space="preserve"> PAGE   \* MERGEFORMAT </w:instrText>
        </w:r>
        <w:r>
          <w:rPr>
            <w:noProof/>
          </w:rPr>
          <w:fldChar w:fldCharType="separate"/>
        </w:r>
        <w:r w:rsidR="00175329">
          <w:rPr>
            <w:noProof/>
          </w:rPr>
          <w:t>1</w:t>
        </w:r>
        <w:r>
          <w:rPr>
            <w:noProof/>
          </w:rPr>
          <w:fldChar w:fldCharType="end"/>
        </w:r>
      </w:p>
    </w:sdtContent>
  </w:sdt>
  <w:p w:rsidR="007D0011" w:rsidRDefault="007D0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F53" w:rsidRDefault="00566F53" w:rsidP="00E719CD">
      <w:pPr>
        <w:spacing w:after="0" w:line="240" w:lineRule="auto"/>
      </w:pPr>
      <w:r>
        <w:separator/>
      </w:r>
    </w:p>
  </w:footnote>
  <w:footnote w:type="continuationSeparator" w:id="0">
    <w:p w:rsidR="00566F53" w:rsidRDefault="00566F53" w:rsidP="00E719CD">
      <w:pPr>
        <w:spacing w:after="0" w:line="240" w:lineRule="auto"/>
      </w:pPr>
      <w:r>
        <w:continuationSeparator/>
      </w:r>
    </w:p>
  </w:footnote>
  <w:footnote w:id="1">
    <w:p w:rsidR="00E719CD" w:rsidRPr="00E719CD" w:rsidRDefault="00E719CD">
      <w:pPr>
        <w:pStyle w:val="FootnoteText"/>
        <w:rPr>
          <w:rFonts w:ascii="Sylfaen" w:hAnsi="Sylfaen"/>
          <w:lang w:val="ka-GE"/>
        </w:rPr>
      </w:pPr>
      <w:r>
        <w:rPr>
          <w:rStyle w:val="FootnoteReference"/>
        </w:rPr>
        <w:footnoteRef/>
      </w:r>
      <w:hyperlink r:id="rId1" w:history="1">
        <w:r>
          <w:rPr>
            <w:rStyle w:val="Hyperlink"/>
          </w:rPr>
          <w:t>http://cmiskp.echr.coe.int/tkp197/view.asp?item=7&amp;portal=hbkm&amp;action=html&amp;highlight=AUSTRIA%20|%2010&amp;sessionid=51942268&amp;skin=hudoc-en</w:t>
        </w:r>
      </w:hyperlink>
    </w:p>
  </w:footnote>
  <w:footnote w:id="2">
    <w:p w:rsidR="0004172A" w:rsidRDefault="0004172A">
      <w:pPr>
        <w:pStyle w:val="FootnoteText"/>
        <w:rPr>
          <w:rFonts w:ascii="Sylfaen" w:hAnsi="Sylfaen"/>
          <w:lang w:val="ka-GE"/>
        </w:rPr>
      </w:pPr>
      <w:r>
        <w:rPr>
          <w:rStyle w:val="FootnoteReference"/>
        </w:rPr>
        <w:footnoteRef/>
      </w:r>
      <w:hyperlink r:id="rId2" w:history="1">
        <w:r>
          <w:rPr>
            <w:rStyle w:val="Hyperlink"/>
          </w:rPr>
          <w:t>http://cmiskp.echr.coe.int/tkp197/view.asp?item=1&amp;portal=hbkm&amp;action=html&amp;highlight=10%20|%20cable%20|%20broadcasting&amp;sessionid=52081285&amp;skin=hudoc-en</w:t>
        </w:r>
      </w:hyperlink>
    </w:p>
    <w:p w:rsidR="0004172A" w:rsidRDefault="0004172A" w:rsidP="0004172A">
      <w:pPr>
        <w:pStyle w:val="ju-005fpara"/>
        <w:spacing w:before="0" w:beforeAutospacing="0" w:after="0" w:afterAutospacing="0"/>
        <w:ind w:firstLine="280"/>
        <w:jc w:val="both"/>
        <w:rPr>
          <w:color w:val="000000"/>
        </w:rPr>
      </w:pPr>
      <w:r>
        <w:rPr>
          <w:color w:val="000000"/>
        </w:rPr>
        <w:t>60.  The insertion of the sentence in issue, at an advanced stage of the preparatory work on the Convention, was clearly due to technical or practical considerations such as the limited number of available frequencies and the major capital investment required for building transmitters. It also reflected a political concern on the part of several States, namely that</w:t>
      </w:r>
      <w:r>
        <w:rPr>
          <w:rStyle w:val="apple-converted-space"/>
          <w:color w:val="000000"/>
        </w:rPr>
        <w:t> </w:t>
      </w:r>
      <w:bookmarkStart w:id="1" w:name="HIT76"/>
      <w:bookmarkEnd w:id="1"/>
      <w:r>
        <w:rPr>
          <w:b/>
          <w:bCs/>
          <w:color w:val="FF0000"/>
        </w:rPr>
        <w:t>broadcasting</w:t>
      </w:r>
      <w:r>
        <w:rPr>
          <w:rStyle w:val="apple-converted-space"/>
          <w:color w:val="000000"/>
        </w:rPr>
        <w:t> </w:t>
      </w:r>
      <w:r>
        <w:rPr>
          <w:color w:val="000000"/>
        </w:rPr>
        <w:t>should be the preserve of the State. Since then, changed views and technical progress, particularly the appearance of</w:t>
      </w:r>
      <w:r>
        <w:rPr>
          <w:rStyle w:val="apple-converted-space"/>
          <w:color w:val="000000"/>
        </w:rPr>
        <w:t> </w:t>
      </w:r>
      <w:bookmarkStart w:id="2" w:name="HIT77"/>
      <w:bookmarkEnd w:id="2"/>
      <w:r>
        <w:rPr>
          <w:b/>
          <w:bCs/>
          <w:color w:val="FF0000"/>
        </w:rPr>
        <w:t>cable</w:t>
      </w:r>
      <w:r>
        <w:rPr>
          <w:rStyle w:val="apple-converted-space"/>
          <w:color w:val="000000"/>
        </w:rPr>
        <w:t> </w:t>
      </w:r>
      <w:r>
        <w:rPr>
          <w:color w:val="000000"/>
        </w:rPr>
        <w:t>transmission, have resulted in the abolition of State monopolies in many European countries and the establishment of private radio stations - often local ones - in addition to the public services. Furthermore, national licensing systems are required not only for the orderly regulation of</w:t>
      </w:r>
      <w:r>
        <w:rPr>
          <w:rStyle w:val="apple-converted-space"/>
          <w:color w:val="000000"/>
        </w:rPr>
        <w:t> </w:t>
      </w:r>
      <w:bookmarkStart w:id="3" w:name="HIT78"/>
      <w:bookmarkEnd w:id="3"/>
      <w:r>
        <w:rPr>
          <w:b/>
          <w:bCs/>
          <w:color w:val="FF0000"/>
        </w:rPr>
        <w:t>broadcasting</w:t>
      </w:r>
      <w:r>
        <w:rPr>
          <w:rStyle w:val="apple-converted-space"/>
          <w:color w:val="000000"/>
        </w:rPr>
        <w:t> </w:t>
      </w:r>
      <w:r>
        <w:rPr>
          <w:color w:val="000000"/>
        </w:rPr>
        <w:t>enterprises at the national level but also in large part to give effect to international rules, including in particular number 2020 of the Radio Regulations (see paragraph 35 above).</w:t>
      </w:r>
    </w:p>
    <w:p w:rsidR="0004172A" w:rsidRDefault="0004172A" w:rsidP="0004172A">
      <w:pPr>
        <w:pStyle w:val="ju-005fpara"/>
        <w:spacing w:before="0" w:beforeAutospacing="0" w:after="0" w:afterAutospacing="0"/>
        <w:ind w:firstLine="280"/>
        <w:jc w:val="both"/>
        <w:rPr>
          <w:color w:val="000000"/>
        </w:rPr>
      </w:pPr>
      <w:r>
        <w:rPr>
          <w:color w:val="000000"/>
        </w:rPr>
        <w:t>61.  The object and purpose of the third sentence of Article</w:t>
      </w:r>
      <w:r>
        <w:rPr>
          <w:rStyle w:val="apple-converted-space"/>
          <w:color w:val="000000"/>
        </w:rPr>
        <w:t> </w:t>
      </w:r>
      <w:bookmarkStart w:id="4" w:name="HIT79"/>
      <w:bookmarkEnd w:id="4"/>
      <w:r>
        <w:rPr>
          <w:b/>
          <w:bCs/>
          <w:color w:val="FF0000"/>
        </w:rPr>
        <w:t>10</w:t>
      </w:r>
      <w:r>
        <w:rPr>
          <w:rStyle w:val="apple-converted-space"/>
          <w:color w:val="000000"/>
        </w:rPr>
        <w:t> </w:t>
      </w:r>
      <w:r>
        <w:rPr>
          <w:color w:val="000000"/>
        </w:rPr>
        <w:t>§ 1 (art. 10-1) and the scope of its application must however be considered in the context of the Article as a whole and in particular in relation to the requirements of paragraph 2 (art. 10-2).</w:t>
      </w:r>
    </w:p>
    <w:p w:rsidR="0004172A" w:rsidRDefault="0004172A" w:rsidP="0004172A">
      <w:pPr>
        <w:pStyle w:val="ju-005fpara"/>
        <w:spacing w:before="0" w:beforeAutospacing="0" w:after="0" w:afterAutospacing="0"/>
        <w:ind w:firstLine="280"/>
        <w:jc w:val="both"/>
        <w:rPr>
          <w:color w:val="000000"/>
        </w:rPr>
      </w:pPr>
      <w:r>
        <w:rPr>
          <w:color w:val="000000"/>
        </w:rPr>
        <w:t>There is no equivalent of the sentence under consideration in the first paragraph of Articles 8, 9 and 11 (art. 8, art. 9, art. 11), although their structure is in general very similar to that of Article</w:t>
      </w:r>
      <w:r>
        <w:rPr>
          <w:rStyle w:val="apple-converted-space"/>
          <w:color w:val="000000"/>
        </w:rPr>
        <w:t> </w:t>
      </w:r>
      <w:bookmarkStart w:id="5" w:name="HIT80"/>
      <w:bookmarkEnd w:id="5"/>
      <w:r>
        <w:rPr>
          <w:b/>
          <w:bCs/>
          <w:color w:val="FF0000"/>
        </w:rPr>
        <w:t>10</w:t>
      </w:r>
      <w:r>
        <w:rPr>
          <w:rStyle w:val="apple-converted-space"/>
          <w:color w:val="000000"/>
        </w:rPr>
        <w:t> </w:t>
      </w:r>
      <w:r>
        <w:rPr>
          <w:color w:val="000000"/>
        </w:rPr>
        <w:t>(art.</w:t>
      </w:r>
      <w:r>
        <w:rPr>
          <w:rStyle w:val="apple-converted-space"/>
          <w:color w:val="000000"/>
        </w:rPr>
        <w:t> </w:t>
      </w:r>
      <w:bookmarkStart w:id="6" w:name="HIT81"/>
      <w:bookmarkEnd w:id="6"/>
      <w:r>
        <w:rPr>
          <w:b/>
          <w:bCs/>
          <w:color w:val="FF0000"/>
        </w:rPr>
        <w:t>10</w:t>
      </w:r>
      <w:r>
        <w:rPr>
          <w:color w:val="000000"/>
        </w:rPr>
        <w:t>). Its wording is not unlike that of the last sentence of Article 11 § 2 (art. 11-2). In this respect, however, the two Articles (art.</w:t>
      </w:r>
      <w:r>
        <w:rPr>
          <w:rStyle w:val="apple-converted-space"/>
          <w:color w:val="000000"/>
        </w:rPr>
        <w:t> </w:t>
      </w:r>
      <w:bookmarkStart w:id="7" w:name="HIT82"/>
      <w:bookmarkEnd w:id="7"/>
      <w:r>
        <w:rPr>
          <w:b/>
          <w:bCs/>
          <w:color w:val="FF0000"/>
        </w:rPr>
        <w:t>10</w:t>
      </w:r>
      <w:r>
        <w:rPr>
          <w:color w:val="000000"/>
        </w:rPr>
        <w:t>, art. 11) differ in their structure. Article</w:t>
      </w:r>
      <w:r>
        <w:rPr>
          <w:rStyle w:val="apple-converted-space"/>
          <w:color w:val="000000"/>
        </w:rPr>
        <w:t> </w:t>
      </w:r>
      <w:bookmarkStart w:id="8" w:name="HIT83"/>
      <w:bookmarkEnd w:id="8"/>
      <w:r>
        <w:rPr>
          <w:b/>
          <w:bCs/>
          <w:color w:val="FF0000"/>
        </w:rPr>
        <w:t>10</w:t>
      </w:r>
      <w:r>
        <w:rPr>
          <w:rStyle w:val="apple-converted-space"/>
          <w:color w:val="000000"/>
        </w:rPr>
        <w:t> </w:t>
      </w:r>
      <w:r>
        <w:rPr>
          <w:color w:val="000000"/>
        </w:rPr>
        <w:t>(art.</w:t>
      </w:r>
      <w:r>
        <w:rPr>
          <w:rStyle w:val="apple-converted-space"/>
          <w:color w:val="000000"/>
        </w:rPr>
        <w:t> </w:t>
      </w:r>
      <w:bookmarkStart w:id="9" w:name="HIT84"/>
      <w:bookmarkEnd w:id="9"/>
      <w:r>
        <w:rPr>
          <w:b/>
          <w:bCs/>
          <w:color w:val="FF0000"/>
        </w:rPr>
        <w:t>10</w:t>
      </w:r>
      <w:r>
        <w:rPr>
          <w:color w:val="000000"/>
        </w:rPr>
        <w:t>) sets out some of the permitted restrictions even in paragraph 1 (art. 10-1). Article 11 (art. 11), on the other hand, provides only in paragraph 2 (art. 11-2) for the possibility of special restrictions on the exercise of the freedom of association by members of the armed forces, the police and the administration of the State, and it could be inferred from this that those restrictions are not covered by the requirements in the first sentence of paragraph 2 (art. 11-2), except for that of lawfulness ("lawful"/"légitimes"). A comparison of the two Articles (art.</w:t>
      </w:r>
      <w:r>
        <w:rPr>
          <w:rStyle w:val="apple-converted-space"/>
          <w:color w:val="000000"/>
        </w:rPr>
        <w:t> </w:t>
      </w:r>
      <w:bookmarkStart w:id="10" w:name="HIT85"/>
      <w:bookmarkEnd w:id="10"/>
      <w:r>
        <w:rPr>
          <w:b/>
          <w:bCs/>
          <w:color w:val="FF0000"/>
        </w:rPr>
        <w:t>10</w:t>
      </w:r>
      <w:r>
        <w:rPr>
          <w:color w:val="000000"/>
        </w:rPr>
        <w:t>, art. 11) thus indicates that the third sentence of Article</w:t>
      </w:r>
      <w:r>
        <w:rPr>
          <w:rStyle w:val="apple-converted-space"/>
          <w:color w:val="000000"/>
        </w:rPr>
        <w:t> </w:t>
      </w:r>
      <w:bookmarkStart w:id="11" w:name="HIT86"/>
      <w:bookmarkEnd w:id="11"/>
      <w:r>
        <w:rPr>
          <w:b/>
          <w:bCs/>
          <w:color w:val="FF0000"/>
        </w:rPr>
        <w:t>10</w:t>
      </w:r>
      <w:r>
        <w:rPr>
          <w:rStyle w:val="apple-converted-space"/>
          <w:color w:val="000000"/>
        </w:rPr>
        <w:t> </w:t>
      </w:r>
      <w:r>
        <w:rPr>
          <w:color w:val="000000"/>
        </w:rPr>
        <w:t>§ 1 (art. 10-1), in so far as it amounts to an exception to the principle set forth in the first and second sentences, is of limited scope.</w:t>
      </w:r>
    </w:p>
    <w:p w:rsidR="0004172A" w:rsidRDefault="0004172A" w:rsidP="0004172A">
      <w:pPr>
        <w:pStyle w:val="ju-005fpara"/>
        <w:spacing w:before="0" w:beforeAutospacing="0" w:after="0" w:afterAutospacing="0"/>
        <w:ind w:firstLine="280"/>
        <w:jc w:val="both"/>
        <w:rPr>
          <w:color w:val="000000"/>
        </w:rPr>
      </w:pPr>
      <w:r>
        <w:rPr>
          <w:color w:val="000000"/>
        </w:rPr>
        <w:t>The Court observes that Article 19 of the 1966 International Covenant on Civil and Political Rights does not include a provision corresponding to the third sentence of Article</w:t>
      </w:r>
      <w:r>
        <w:rPr>
          <w:rStyle w:val="apple-converted-space"/>
          <w:color w:val="000000"/>
        </w:rPr>
        <w:t> </w:t>
      </w:r>
      <w:bookmarkStart w:id="12" w:name="HIT87"/>
      <w:bookmarkEnd w:id="12"/>
      <w:r>
        <w:rPr>
          <w:b/>
          <w:bCs/>
          <w:color w:val="FF0000"/>
        </w:rPr>
        <w:t>10</w:t>
      </w:r>
      <w:r>
        <w:rPr>
          <w:rStyle w:val="apple-converted-space"/>
          <w:color w:val="000000"/>
        </w:rPr>
        <w:t> </w:t>
      </w:r>
      <w:r>
        <w:rPr>
          <w:color w:val="000000"/>
        </w:rPr>
        <w:t>§ 1 (art. 10-1). The negotiating history of Article 19 shows that the inclusion of such a provision in that Article had been proposed with a view to the licensing not of the information imparted but rather of the technical means of</w:t>
      </w:r>
      <w:bookmarkStart w:id="13" w:name="HIT88"/>
      <w:bookmarkEnd w:id="13"/>
      <w:r>
        <w:rPr>
          <w:b/>
          <w:bCs/>
          <w:color w:val="FF0000"/>
        </w:rPr>
        <w:t>broadcasting</w:t>
      </w:r>
      <w:r>
        <w:rPr>
          <w:rStyle w:val="apple-converted-space"/>
          <w:color w:val="000000"/>
        </w:rPr>
        <w:t> </w:t>
      </w:r>
      <w:r>
        <w:rPr>
          <w:color w:val="000000"/>
        </w:rPr>
        <w:t>in order to prevent chaos in the use of frequencies. However, its inclusion was opposed on the ground that it might be utilised to hamper free expression, and it was decided that such a provision was not necessary because licensing in the sense intended was deemed to be covered by the reference to "public order" in paragraph 3 of the Article (see Document A/5000 of the sixteenth session of the United Nations General Assembly, 5 December 1961, paragraph 23).</w:t>
      </w:r>
    </w:p>
    <w:p w:rsidR="0004172A" w:rsidRDefault="0004172A" w:rsidP="0004172A">
      <w:pPr>
        <w:pStyle w:val="ju-005fpara"/>
        <w:spacing w:before="0" w:beforeAutospacing="0" w:after="0" w:afterAutospacing="0"/>
        <w:ind w:firstLine="280"/>
        <w:jc w:val="both"/>
        <w:rPr>
          <w:color w:val="000000"/>
        </w:rPr>
      </w:pPr>
      <w:r>
        <w:rPr>
          <w:color w:val="000000"/>
        </w:rPr>
        <w:t>This supports the conclusion that the purpose of the third sentence of Article</w:t>
      </w:r>
      <w:r>
        <w:rPr>
          <w:rStyle w:val="apple-converted-space"/>
          <w:color w:val="000000"/>
        </w:rPr>
        <w:t> </w:t>
      </w:r>
      <w:bookmarkStart w:id="14" w:name="HIT89"/>
      <w:bookmarkEnd w:id="14"/>
      <w:r>
        <w:rPr>
          <w:b/>
          <w:bCs/>
          <w:color w:val="FF0000"/>
        </w:rPr>
        <w:t>10</w:t>
      </w:r>
      <w:r>
        <w:rPr>
          <w:rStyle w:val="apple-converted-space"/>
          <w:color w:val="000000"/>
        </w:rPr>
        <w:t> </w:t>
      </w:r>
      <w:r>
        <w:rPr>
          <w:color w:val="000000"/>
        </w:rPr>
        <w:t>§ 1 (art. 10-1) of the Convention is to make it clear that States are permitted to control by a licensing system the way in which</w:t>
      </w:r>
      <w:r>
        <w:rPr>
          <w:rStyle w:val="apple-converted-space"/>
          <w:color w:val="000000"/>
        </w:rPr>
        <w:t> </w:t>
      </w:r>
      <w:bookmarkStart w:id="15" w:name="HIT90"/>
      <w:bookmarkEnd w:id="15"/>
      <w:r>
        <w:rPr>
          <w:b/>
          <w:bCs/>
          <w:color w:val="FF0000"/>
        </w:rPr>
        <w:t>broadcasting</w:t>
      </w:r>
      <w:r>
        <w:rPr>
          <w:rStyle w:val="apple-converted-space"/>
          <w:color w:val="000000"/>
        </w:rPr>
        <w:t> </w:t>
      </w:r>
      <w:r>
        <w:rPr>
          <w:color w:val="000000"/>
        </w:rPr>
        <w:t>is organised in their territories, particularly in its technical aspects. It does not, however, provide that licensing measures shall not otherwise be subject to the requirements of paragraph 2 (art. 10-2), for that would lead to a result contrary to the object and purpose of Article</w:t>
      </w:r>
      <w:r>
        <w:rPr>
          <w:rStyle w:val="apple-converted-space"/>
          <w:color w:val="000000"/>
        </w:rPr>
        <w:t> </w:t>
      </w:r>
      <w:bookmarkStart w:id="16" w:name="HIT91"/>
      <w:bookmarkEnd w:id="16"/>
      <w:r>
        <w:rPr>
          <w:b/>
          <w:bCs/>
          <w:color w:val="FF0000"/>
        </w:rPr>
        <w:t>10</w:t>
      </w:r>
      <w:r>
        <w:rPr>
          <w:rStyle w:val="apple-converted-space"/>
          <w:color w:val="000000"/>
        </w:rPr>
        <w:t> </w:t>
      </w:r>
      <w:r>
        <w:rPr>
          <w:color w:val="000000"/>
        </w:rPr>
        <w:t>(art. 10) taken as a whole.</w:t>
      </w:r>
    </w:p>
    <w:p w:rsidR="0004172A" w:rsidRPr="0004172A" w:rsidRDefault="0004172A">
      <w:pPr>
        <w:pStyle w:val="FootnoteText"/>
        <w:rPr>
          <w:rFonts w:ascii="Sylfaen" w:hAnsi="Sylfaen"/>
          <w:lang w:val="ka-GE"/>
        </w:rPr>
      </w:pPr>
    </w:p>
  </w:footnote>
  <w:footnote w:id="3">
    <w:p w:rsidR="00227A24" w:rsidRPr="00227A24" w:rsidRDefault="00227A24">
      <w:pPr>
        <w:pStyle w:val="FootnoteText"/>
        <w:rPr>
          <w:rFonts w:ascii="Sylfaen" w:hAnsi="Sylfaen"/>
          <w:lang w:val="ka-GE"/>
        </w:rPr>
      </w:pPr>
      <w:r>
        <w:rPr>
          <w:rStyle w:val="FootnoteReference"/>
        </w:rPr>
        <w:footnoteRef/>
      </w:r>
      <w:r>
        <w:t xml:space="preserve"> </w:t>
      </w:r>
      <w:hyperlink r:id="rId3" w:history="1">
        <w:r>
          <w:rPr>
            <w:rStyle w:val="Hyperlink"/>
          </w:rPr>
          <w:t>http://assembly.coe.int/main.asp?Link=/documents/workingdocs/doc08/edoc11775.htm</w:t>
        </w:r>
      </w:hyperlink>
    </w:p>
  </w:footnote>
  <w:footnote w:id="4">
    <w:p w:rsidR="00B737F0" w:rsidRDefault="00227A24" w:rsidP="00B737F0">
      <w:pPr>
        <w:pStyle w:val="NormalWeb"/>
        <w:rPr>
          <w:rFonts w:ascii="Verdana" w:hAnsi="Verdana"/>
          <w:color w:val="000000"/>
          <w:sz w:val="17"/>
          <w:szCs w:val="17"/>
        </w:rPr>
      </w:pPr>
      <w:r>
        <w:rPr>
          <w:rStyle w:val="FootnoteReference"/>
        </w:rPr>
        <w:footnoteRef/>
      </w:r>
      <w:r>
        <w:t xml:space="preserve"> </w:t>
      </w:r>
      <w:r w:rsidR="00B737F0">
        <w:rPr>
          <w:rFonts w:ascii="Verdana" w:hAnsi="Verdana"/>
          <w:color w:val="000000"/>
          <w:sz w:val="17"/>
          <w:szCs w:val="17"/>
        </w:rPr>
        <w:t>3.       Traditional audiovisual media and print media are increasingly converging into new forms of electronic media for images, sound and text which are accessible via different fixed or mobile platforms using analogue or digital terrestrial transmissions, satellite or cable. Much of what is now considered broadcasting may in future be delivered over the Internet, where the user controls his or her access to countless sources of content which know no geographic boundaries.</w:t>
      </w:r>
    </w:p>
    <w:p w:rsidR="00B737F0" w:rsidRDefault="00B737F0" w:rsidP="00B737F0">
      <w:pPr>
        <w:pStyle w:val="NormalWeb"/>
        <w:rPr>
          <w:rFonts w:ascii="Verdana" w:hAnsi="Verdana"/>
          <w:color w:val="000000"/>
          <w:sz w:val="17"/>
          <w:szCs w:val="17"/>
        </w:rPr>
      </w:pPr>
      <w:r>
        <w:rPr>
          <w:rFonts w:ascii="Verdana" w:hAnsi="Verdana"/>
          <w:color w:val="000000"/>
          <w:sz w:val="17"/>
          <w:szCs w:val="17"/>
        </w:rPr>
        <w:t>4.       Article 10 (paragraph 1) of the European Convention on Human Rights permits states to require "the licensing of broadcasting, television or cinema enterprises". The Assembly believes that broadcasting and television in this sense should not include Internet radio or Web television, which should not require national authorisations. Internet radio and Web television should be treated like Internet-based newspapers or Web sites with text, images and sound.</w:t>
      </w:r>
    </w:p>
    <w:p w:rsidR="00B737F0" w:rsidRDefault="00B737F0" w:rsidP="00B737F0">
      <w:pPr>
        <w:pStyle w:val="NormalWeb"/>
        <w:rPr>
          <w:rFonts w:ascii="Verdana" w:hAnsi="Verdana"/>
          <w:color w:val="000000"/>
          <w:sz w:val="17"/>
          <w:szCs w:val="17"/>
        </w:rPr>
      </w:pPr>
      <w:r>
        <w:rPr>
          <w:rFonts w:ascii="Verdana" w:hAnsi="Verdana"/>
          <w:color w:val="000000"/>
          <w:sz w:val="17"/>
          <w:szCs w:val="17"/>
        </w:rPr>
        <w:t>5.       Technological progress is increasing the number of channels, programmes and services accessible through audiovisual media. This provides viewers and listeners with a wider choice, comprising linear and on-demand services. However, more audiovisual content does not necessarily mean greater plurality, diversity and quality of content, which remain priorities for audiovisual policies.</w:t>
      </w:r>
    </w:p>
    <w:p w:rsidR="00B737F0" w:rsidRDefault="00B737F0" w:rsidP="00B737F0">
      <w:pPr>
        <w:pStyle w:val="NormalWeb"/>
        <w:rPr>
          <w:rFonts w:ascii="Verdana" w:hAnsi="Verdana"/>
          <w:color w:val="000000"/>
          <w:sz w:val="17"/>
          <w:szCs w:val="17"/>
        </w:rPr>
      </w:pPr>
      <w:r>
        <w:rPr>
          <w:rFonts w:ascii="Verdana" w:hAnsi="Verdana"/>
          <w:color w:val="000000"/>
          <w:sz w:val="17"/>
          <w:szCs w:val="17"/>
        </w:rPr>
        <w:t>6.       The viewer, listener or reader of new audiovisual media services is having to bear greater responsibility for the content he or she may select and potentially even contribute to, while content regulation through national regulatory authorities is becoming less feasible. National legislators are, therefore, compelled to review their existing regulation and set up new means for achieving their objectives regarding audiovisual media policy, with the latter objectives still remaining valid also in the new media environment.</w:t>
      </w:r>
    </w:p>
    <w:p w:rsidR="00227A24" w:rsidRPr="00227A24" w:rsidRDefault="00227A24">
      <w:pPr>
        <w:pStyle w:val="FootnoteText"/>
        <w:rPr>
          <w:rFonts w:ascii="Sylfaen" w:hAnsi="Sylfaen"/>
          <w:lang w:val="ka-GE"/>
        </w:rPr>
      </w:pPr>
    </w:p>
  </w:footnote>
  <w:footnote w:id="5">
    <w:p w:rsidR="00DD49CF" w:rsidRDefault="00DD49CF" w:rsidP="00DD49CF">
      <w:pPr>
        <w:autoSpaceDE w:val="0"/>
        <w:autoSpaceDN w:val="0"/>
        <w:adjustRightInd w:val="0"/>
        <w:spacing w:after="0" w:line="240" w:lineRule="auto"/>
        <w:rPr>
          <w:rFonts w:ascii="Sylfaen" w:hAnsi="Sylfaen"/>
          <w:lang w:val="ka-GE"/>
        </w:rPr>
      </w:pPr>
      <w:r>
        <w:rPr>
          <w:rStyle w:val="FootnoteReference"/>
        </w:rPr>
        <w:footnoteRef/>
      </w:r>
      <w:r>
        <w:t xml:space="preserve"> </w:t>
      </w:r>
      <w:hyperlink r:id="rId4" w:history="1">
        <w:r>
          <w:rPr>
            <w:rStyle w:val="Hyperlink"/>
          </w:rPr>
          <w:t>http://www.rtr.at/en/rf/PrTV-G/PrTV-G%20english.pdf</w:t>
        </w:r>
      </w:hyperlink>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The authorization under statutory broadcasting and telecommunications</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provisions for the emission of a broadcasting program in a coverage area, using the</w:t>
      </w:r>
    </w:p>
    <w:p w:rsidR="00DD49CF" w:rsidRDefault="00DD49CF" w:rsidP="00DD49CF">
      <w:pPr>
        <w:autoSpaceDE w:val="0"/>
        <w:autoSpaceDN w:val="0"/>
        <w:adjustRightInd w:val="0"/>
        <w:spacing w:after="0" w:line="240" w:lineRule="auto"/>
        <w:rPr>
          <w:rFonts w:ascii="Sylfaen" w:hAnsi="Sylfaen" w:cs="Times New Roman"/>
          <w:sz w:val="24"/>
          <w:szCs w:val="24"/>
          <w:lang w:val="ka-GE"/>
        </w:rPr>
      </w:pPr>
      <w:r>
        <w:rPr>
          <w:rFonts w:ascii="Times New Roman" w:hAnsi="Times New Roman" w:cs="Times New Roman"/>
          <w:sz w:val="24"/>
          <w:szCs w:val="24"/>
        </w:rPr>
        <w:t>assigned transmission capacities;</w:t>
      </w:r>
    </w:p>
    <w:p w:rsidR="00DD49CF" w:rsidRDefault="00DD49CF" w:rsidP="00DD49CF">
      <w:pPr>
        <w:autoSpaceDE w:val="0"/>
        <w:autoSpaceDN w:val="0"/>
        <w:adjustRightInd w:val="0"/>
        <w:spacing w:after="0" w:line="240" w:lineRule="auto"/>
        <w:rPr>
          <w:rFonts w:ascii="Sylfaen" w:hAnsi="Sylfaen" w:cs="Times New Roman"/>
          <w:sz w:val="24"/>
          <w:szCs w:val="24"/>
          <w:lang w:val="ka-GE"/>
        </w:rPr>
      </w:pP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Transmission capacity: The technical parameters, such as transmitting location,</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frequency, transmitting power and antenna characteristics for the analog terrestrial</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emission of television programs, or, in case of satellite transmission, the technical</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parameters of the satellite and the earth-satellite transmitting stations, or, in case of the</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digital terrestrial emission of television programs and additional services, the technical</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parameters for the digital dissemination by the multiplex operator, such as transmitting</w:t>
      </w:r>
    </w:p>
    <w:p w:rsidR="00DD49CF" w:rsidRDefault="00DD49CF" w:rsidP="00DD49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locations, frequencies, transmitting power, data rates and data volumes;</w:t>
      </w:r>
    </w:p>
    <w:p w:rsidR="00DD49CF" w:rsidRPr="00DD49CF" w:rsidRDefault="00DD49CF" w:rsidP="00DD49CF">
      <w:pPr>
        <w:autoSpaceDE w:val="0"/>
        <w:autoSpaceDN w:val="0"/>
        <w:adjustRightInd w:val="0"/>
        <w:spacing w:after="0" w:line="240" w:lineRule="auto"/>
        <w:rPr>
          <w:rFonts w:ascii="Sylfaen" w:hAnsi="Sylfaen" w:cs="Times New Roman"/>
          <w:sz w:val="20"/>
          <w:szCs w:val="20"/>
          <w:lang w:val="ka-GE"/>
        </w:rPr>
      </w:pPr>
    </w:p>
    <w:p w:rsidR="00DD49CF" w:rsidRPr="00DD49CF" w:rsidRDefault="00DD49CF">
      <w:pPr>
        <w:pStyle w:val="FootnoteText"/>
        <w:rPr>
          <w:rFonts w:ascii="Sylfaen" w:hAnsi="Sylfaen"/>
          <w:lang w:val="ka-GE"/>
        </w:rPr>
      </w:pPr>
    </w:p>
  </w:footnote>
  <w:footnote w:id="6">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14. Cable network: A cable infrastructure that is used for dissemination and redissemination;</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Dissemination: The presentation of programs or additional services, addressed to a</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general public, via wireless terrestrial transmission or via a cable network or via</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satellite;</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Re-dissemination: To receive and, at the same time, to transmit (in full and unchanged)</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television programs which the general public can receive via wireless terrestrial</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transmission, or radio or television programs broadcast via cable networks or via</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satellite. The transmission of a framework program is also considered to be a redissemination,</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 duration of the window programs inserted into the framework does</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 exceed a total period of 120 minutes per day. The same shall apply when a cable</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operator inserts regional program features of the Austrian Broadcasting</w:t>
      </w:r>
    </w:p>
    <w:p w:rsidR="00DD49CF" w:rsidRDefault="00DD49CF" w:rsidP="00DD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Corporation (§ 3 (2) of the ORF Act) into ORF programs with nationwide</w:t>
      </w:r>
    </w:p>
    <w:p w:rsidR="00DD49CF" w:rsidRDefault="00DD49CF" w:rsidP="00DD49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dissemination;</w:t>
      </w:r>
    </w:p>
    <w:p w:rsidR="00DD49CF" w:rsidRPr="00DD49CF" w:rsidRDefault="00DD49CF">
      <w:pPr>
        <w:pStyle w:val="FootnoteText"/>
        <w:rPr>
          <w:rFonts w:ascii="Sylfaen" w:hAnsi="Sylfaen"/>
          <w:lang w:val="ka-GE"/>
        </w:rPr>
      </w:pPr>
    </w:p>
  </w:footnote>
  <w:footnote w:id="7">
    <w:p w:rsidR="00624F14" w:rsidRDefault="00624F14" w:rsidP="00624F14">
      <w:pPr>
        <w:autoSpaceDE w:val="0"/>
        <w:autoSpaceDN w:val="0"/>
        <w:adjustRightInd w:val="0"/>
        <w:spacing w:after="0" w:line="24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(5) A broadcasting organizer who does not fall under the definitions of paragraphs 2 to</w:t>
      </w:r>
    </w:p>
    <w:p w:rsidR="00624F14" w:rsidRDefault="00624F14" w:rsidP="00624F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shall require a license according to the present law if he lawfully uses a transmission</w:t>
      </w:r>
    </w:p>
    <w:p w:rsidR="00624F14" w:rsidRDefault="00624F14" w:rsidP="00624F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assigned to Austria by means of international telecommunications law, or if signals</w:t>
      </w:r>
    </w:p>
    <w:p w:rsidR="00624F14" w:rsidRDefault="00624F14" w:rsidP="00624F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 transmitted from an earth-satellite transmitting station in Austria.</w:t>
      </w:r>
    </w:p>
    <w:p w:rsidR="00624F14" w:rsidRDefault="00624F14" w:rsidP="00624F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The re-dissemination of cable broadcasting programs via satellite, provided</w:t>
      </w:r>
    </w:p>
    <w:p w:rsidR="00624F14" w:rsidRDefault="00624F14" w:rsidP="00624F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according to the present law, shall also require a license.</w:t>
      </w:r>
    </w:p>
    <w:p w:rsidR="00624F14" w:rsidRPr="00624F14" w:rsidRDefault="00624F14">
      <w:pPr>
        <w:pStyle w:val="FootnoteText"/>
        <w:rPr>
          <w:rFonts w:ascii="Sylfaen" w:hAnsi="Sylfaen"/>
          <w:lang w:val="ka-GE"/>
        </w:rPr>
      </w:pPr>
    </w:p>
  </w:footnote>
  <w:footnote w:id="8">
    <w:p w:rsidR="0037552A" w:rsidRDefault="0037552A" w:rsidP="0037552A">
      <w:pPr>
        <w:autoSpaceDE w:val="0"/>
        <w:autoSpaceDN w:val="0"/>
        <w:adjustRightInd w:val="0"/>
        <w:spacing w:after="0" w:line="240" w:lineRule="auto"/>
        <w:rPr>
          <w:rFonts w:ascii="Times New Roman" w:hAnsi="Times New Roman" w:cs="Times New Roman"/>
          <w:b/>
          <w:bCs/>
          <w:sz w:val="24"/>
          <w:szCs w:val="24"/>
        </w:rPr>
      </w:pPr>
      <w:r>
        <w:rPr>
          <w:rStyle w:val="FootnoteReference"/>
        </w:rPr>
        <w:footnoteRef/>
      </w:r>
      <w:r>
        <w:t xml:space="preserve"> </w:t>
      </w:r>
      <w:r>
        <w:rPr>
          <w:rFonts w:ascii="Times New Roman" w:hAnsi="Times New Roman" w:cs="Times New Roman"/>
          <w:b/>
          <w:bCs/>
          <w:sz w:val="24"/>
          <w:szCs w:val="24"/>
        </w:rPr>
        <w:t>Reporting the Organization of Cable Broadcasting Services</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9. </w:t>
      </w:r>
      <w:r>
        <w:rPr>
          <w:rFonts w:ascii="Times New Roman" w:hAnsi="Times New Roman" w:cs="Times New Roman"/>
          <w:sz w:val="24"/>
          <w:szCs w:val="24"/>
        </w:rPr>
        <w:t>(1) One week before commencing dissemination, cable broadcasters shall report to the</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regulatory authority, as well as to the federal provinces and local communities concerned that</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they will provide cable broadcasting. In a like manner, cable network operators shall report</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that they will re-disseminate programs.</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The report shall contain the name, address as well as possible representatives or</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agents of the cable broadcaster authorized to receive the service of documents, in addition to</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evidence of compliance with the requirements of §§ 10 and 11. Moreover, it shall be</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explained whether the program is a full-range program, a format, window or framework</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program, as well as the maximum duration of the program, and the number and time scope of</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window programs, together with coverage of the cable broadcasting programs.</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Paragraphs 1 and 2 shall not apply to cable networks that provide services to fewer</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than one hundred households.</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Cable broadcasting organizers shall update the data listed in paragraph 2 on an</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annual basis and communicate them to the regulatory authority by 31 December of every</w:t>
      </w:r>
    </w:p>
    <w:p w:rsidR="0037552A" w:rsidRDefault="0037552A" w:rsidP="00375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The regulatory authority shall keep an up-to-date list of the cable broadcasting</w:t>
      </w:r>
    </w:p>
    <w:p w:rsidR="0037552A" w:rsidRDefault="0037552A" w:rsidP="003755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organizers which it shall publish in suitable form.</w:t>
      </w:r>
    </w:p>
    <w:p w:rsidR="0037552A" w:rsidRPr="0037552A" w:rsidRDefault="0037552A">
      <w:pPr>
        <w:pStyle w:val="FootnoteText"/>
        <w:rPr>
          <w:rFonts w:ascii="Sylfaen" w:hAnsi="Sylfaen"/>
          <w:lang w:val="ka-GE"/>
        </w:rPr>
      </w:pPr>
    </w:p>
  </w:footnote>
  <w:footnote w:id="9">
    <w:p w:rsidR="0037552A" w:rsidRPr="0037552A" w:rsidRDefault="0037552A">
      <w:pPr>
        <w:pStyle w:val="FootnoteText"/>
        <w:rPr>
          <w:rFonts w:ascii="Sylfaen" w:hAnsi="Sylfaen"/>
          <w:lang w:val="ka-GE"/>
        </w:rPr>
      </w:pPr>
      <w:r>
        <w:rPr>
          <w:rStyle w:val="FootnoteReference"/>
        </w:rPr>
        <w:footnoteRef/>
      </w:r>
      <w:r>
        <w:t xml:space="preserve"> </w:t>
      </w:r>
      <w:hyperlink r:id="rId5" w:history="1">
        <w:r>
          <w:rPr>
            <w:rStyle w:val="Hyperlink"/>
          </w:rPr>
          <w:t>http://www.gncc.ge/index.php?lang_id=GEO&amp;sec_id=7070&amp;info_id=5778</w:t>
        </w:r>
      </w:hyperlink>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36B0D"/>
    <w:multiLevelType w:val="hybridMultilevel"/>
    <w:tmpl w:val="5518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F1B2C"/>
    <w:multiLevelType w:val="hybridMultilevel"/>
    <w:tmpl w:val="497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6D18"/>
    <w:rsid w:val="0004172A"/>
    <w:rsid w:val="000475CF"/>
    <w:rsid w:val="00054840"/>
    <w:rsid w:val="000B7A64"/>
    <w:rsid w:val="001009ED"/>
    <w:rsid w:val="00111EFB"/>
    <w:rsid w:val="00112B20"/>
    <w:rsid w:val="00117BAC"/>
    <w:rsid w:val="0012689E"/>
    <w:rsid w:val="00175329"/>
    <w:rsid w:val="001E055D"/>
    <w:rsid w:val="002160DA"/>
    <w:rsid w:val="00227A24"/>
    <w:rsid w:val="002B3EB2"/>
    <w:rsid w:val="002C07E7"/>
    <w:rsid w:val="002F2027"/>
    <w:rsid w:val="003320F3"/>
    <w:rsid w:val="0037552A"/>
    <w:rsid w:val="003B74F3"/>
    <w:rsid w:val="003D785E"/>
    <w:rsid w:val="00402801"/>
    <w:rsid w:val="00414576"/>
    <w:rsid w:val="004166C6"/>
    <w:rsid w:val="004412EC"/>
    <w:rsid w:val="004649E3"/>
    <w:rsid w:val="00465D5F"/>
    <w:rsid w:val="004965E7"/>
    <w:rsid w:val="004A6F42"/>
    <w:rsid w:val="00500722"/>
    <w:rsid w:val="00502CC6"/>
    <w:rsid w:val="005110D3"/>
    <w:rsid w:val="0054280F"/>
    <w:rsid w:val="00566F53"/>
    <w:rsid w:val="005D1DA2"/>
    <w:rsid w:val="005D6D18"/>
    <w:rsid w:val="005E7A5F"/>
    <w:rsid w:val="00611BE4"/>
    <w:rsid w:val="00624F14"/>
    <w:rsid w:val="00652B00"/>
    <w:rsid w:val="00671183"/>
    <w:rsid w:val="0069724C"/>
    <w:rsid w:val="006B7980"/>
    <w:rsid w:val="006D2F2F"/>
    <w:rsid w:val="0070435E"/>
    <w:rsid w:val="007231A5"/>
    <w:rsid w:val="00750119"/>
    <w:rsid w:val="00792053"/>
    <w:rsid w:val="007A64B0"/>
    <w:rsid w:val="007D0011"/>
    <w:rsid w:val="007D4F75"/>
    <w:rsid w:val="00810EDF"/>
    <w:rsid w:val="008774AF"/>
    <w:rsid w:val="008C3A13"/>
    <w:rsid w:val="00935211"/>
    <w:rsid w:val="00935408"/>
    <w:rsid w:val="00936CD1"/>
    <w:rsid w:val="00971386"/>
    <w:rsid w:val="009B44B6"/>
    <w:rsid w:val="00A11817"/>
    <w:rsid w:val="00A34F47"/>
    <w:rsid w:val="00A41B86"/>
    <w:rsid w:val="00A62673"/>
    <w:rsid w:val="00AA2F21"/>
    <w:rsid w:val="00AA3727"/>
    <w:rsid w:val="00AA5F87"/>
    <w:rsid w:val="00AB0FA9"/>
    <w:rsid w:val="00AD3FDF"/>
    <w:rsid w:val="00B26914"/>
    <w:rsid w:val="00B42048"/>
    <w:rsid w:val="00B60708"/>
    <w:rsid w:val="00B61CB8"/>
    <w:rsid w:val="00B66F18"/>
    <w:rsid w:val="00B737F0"/>
    <w:rsid w:val="00B8650B"/>
    <w:rsid w:val="00BB6362"/>
    <w:rsid w:val="00BE25AD"/>
    <w:rsid w:val="00C132F7"/>
    <w:rsid w:val="00C305FB"/>
    <w:rsid w:val="00C30AE7"/>
    <w:rsid w:val="00C34C2F"/>
    <w:rsid w:val="00C43E5D"/>
    <w:rsid w:val="00C6173A"/>
    <w:rsid w:val="00D0516B"/>
    <w:rsid w:val="00D340E8"/>
    <w:rsid w:val="00D621A8"/>
    <w:rsid w:val="00D846CD"/>
    <w:rsid w:val="00DD49CF"/>
    <w:rsid w:val="00E512A7"/>
    <w:rsid w:val="00E719CD"/>
    <w:rsid w:val="00E761CD"/>
    <w:rsid w:val="00EA78E7"/>
    <w:rsid w:val="00ED4882"/>
    <w:rsid w:val="00EE13BE"/>
    <w:rsid w:val="00FA3FB8"/>
    <w:rsid w:val="00FB59DC"/>
    <w:rsid w:val="00FB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77844-8F65-44A0-BEF4-3996EC49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005fpara">
    <w:name w:val="ju-005fpara"/>
    <w:basedOn w:val="Normal"/>
    <w:rsid w:val="00D05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D0516B"/>
  </w:style>
  <w:style w:type="paragraph" w:styleId="FootnoteText">
    <w:name w:val="footnote text"/>
    <w:basedOn w:val="Normal"/>
    <w:link w:val="FootnoteTextChar"/>
    <w:uiPriority w:val="99"/>
    <w:semiHidden/>
    <w:unhideWhenUsed/>
    <w:rsid w:val="00E71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9CD"/>
    <w:rPr>
      <w:sz w:val="20"/>
      <w:szCs w:val="20"/>
    </w:rPr>
  </w:style>
  <w:style w:type="character" w:styleId="FootnoteReference">
    <w:name w:val="footnote reference"/>
    <w:basedOn w:val="DefaultParagraphFont"/>
    <w:uiPriority w:val="99"/>
    <w:semiHidden/>
    <w:unhideWhenUsed/>
    <w:rsid w:val="00E719CD"/>
    <w:rPr>
      <w:vertAlign w:val="superscript"/>
    </w:rPr>
  </w:style>
  <w:style w:type="character" w:styleId="Hyperlink">
    <w:name w:val="Hyperlink"/>
    <w:basedOn w:val="DefaultParagraphFont"/>
    <w:uiPriority w:val="99"/>
    <w:semiHidden/>
    <w:unhideWhenUsed/>
    <w:rsid w:val="00E719CD"/>
    <w:rPr>
      <w:color w:val="0000FF"/>
      <w:u w:val="single"/>
    </w:rPr>
  </w:style>
  <w:style w:type="paragraph" w:customStyle="1" w:styleId="Normal0">
    <w:name w:val="[Normal]"/>
    <w:uiPriority w:val="99"/>
    <w:rsid w:val="00FB59DC"/>
    <w:pPr>
      <w:widowControl w:val="0"/>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DefaultParagraphFont"/>
    <w:rsid w:val="0004172A"/>
  </w:style>
  <w:style w:type="paragraph" w:styleId="NormalWeb">
    <w:name w:val="Normal (Web)"/>
    <w:basedOn w:val="Normal"/>
    <w:uiPriority w:val="99"/>
    <w:semiHidden/>
    <w:unhideWhenUsed/>
    <w:rsid w:val="00B737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D001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7D0011"/>
  </w:style>
  <w:style w:type="paragraph" w:styleId="Footer">
    <w:name w:val="footer"/>
    <w:basedOn w:val="Normal"/>
    <w:link w:val="FooterChar"/>
    <w:uiPriority w:val="99"/>
    <w:unhideWhenUsed/>
    <w:rsid w:val="007D0011"/>
    <w:pPr>
      <w:tabs>
        <w:tab w:val="center" w:pos="4844"/>
        <w:tab w:val="right" w:pos="9689"/>
      </w:tabs>
      <w:spacing w:after="0" w:line="240" w:lineRule="auto"/>
    </w:pPr>
  </w:style>
  <w:style w:type="character" w:customStyle="1" w:styleId="FooterChar">
    <w:name w:val="Footer Char"/>
    <w:basedOn w:val="DefaultParagraphFont"/>
    <w:link w:val="Footer"/>
    <w:uiPriority w:val="99"/>
    <w:rsid w:val="007D0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49038">
      <w:bodyDiv w:val="1"/>
      <w:marLeft w:val="0"/>
      <w:marRight w:val="0"/>
      <w:marTop w:val="0"/>
      <w:marBottom w:val="0"/>
      <w:divBdr>
        <w:top w:val="none" w:sz="0" w:space="0" w:color="auto"/>
        <w:left w:val="none" w:sz="0" w:space="0" w:color="auto"/>
        <w:bottom w:val="none" w:sz="0" w:space="0" w:color="auto"/>
        <w:right w:val="none" w:sz="0" w:space="0" w:color="auto"/>
      </w:divBdr>
    </w:div>
    <w:div w:id="765923527">
      <w:bodyDiv w:val="1"/>
      <w:marLeft w:val="0"/>
      <w:marRight w:val="0"/>
      <w:marTop w:val="0"/>
      <w:marBottom w:val="0"/>
      <w:divBdr>
        <w:top w:val="none" w:sz="0" w:space="0" w:color="auto"/>
        <w:left w:val="none" w:sz="0" w:space="0" w:color="auto"/>
        <w:bottom w:val="none" w:sz="0" w:space="0" w:color="auto"/>
        <w:right w:val="none" w:sz="0" w:space="0" w:color="auto"/>
      </w:divBdr>
    </w:div>
    <w:div w:id="19728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ssembly.coe.int/main.asp?Link=/documents/workingdocs/doc08/edoc11775.htm" TargetMode="External"/><Relationship Id="rId2" Type="http://schemas.openxmlformats.org/officeDocument/2006/relationships/hyperlink" Target="http://cmiskp.echr.coe.int/tkp197/view.asp?item=1&amp;portal=hbkm&amp;action=html&amp;highlight=10%20|%20cable%20|%20broadcasting&amp;sessionid=52081285&amp;skin=hudoc-en" TargetMode="External"/><Relationship Id="rId1" Type="http://schemas.openxmlformats.org/officeDocument/2006/relationships/hyperlink" Target="http://cmiskp.echr.coe.int/tkp197/view.asp?item=7&amp;portal=hbkm&amp;action=html&amp;highlight=AUSTRIA%20|%2010&amp;sessionid=51942268&amp;skin=hudoc-en" TargetMode="External"/><Relationship Id="rId5" Type="http://schemas.openxmlformats.org/officeDocument/2006/relationships/hyperlink" Target="http://www.gncc.ge/index.php?lang_id=GEO&amp;sec_id=7070&amp;info_id=5778" TargetMode="External"/><Relationship Id="rId4" Type="http://schemas.openxmlformats.org/officeDocument/2006/relationships/hyperlink" Target="http://www.rtr.at/en/rf/PrTV-G/PrTV-G%20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87E8-681A-4736-83D7-0985D460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15</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GYLA</Company>
  <LinksUpToDate>false</LinksUpToDate>
  <CharactersWithSpaces>25655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Kvinikadze</dc:creator>
  <cp:keywords/>
  <dc:description/>
  <cp:lastModifiedBy>tornike toloraia</cp:lastModifiedBy>
  <cp:revision>25</cp:revision>
  <cp:lastPrinted>2010-04-26T13:26:00Z</cp:lastPrinted>
  <dcterms:created xsi:type="dcterms:W3CDTF">2010-04-23T13:10:00Z</dcterms:created>
  <dcterms:modified xsi:type="dcterms:W3CDTF">2019-12-19T14:14:00Z</dcterms:modified>
</cp:coreProperties>
</file>