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sz w:val="24"/>
          <w:szCs w:val="24"/>
          <w:lang w:val="ka-GE"/>
        </w:rPr>
      </w:pPr>
      <w:r w:rsidRPr="00CC241E">
        <w:rPr>
          <w:b/>
          <w:sz w:val="24"/>
          <w:szCs w:val="24"/>
          <w:lang w:val="ka-GE"/>
        </w:rPr>
        <w:t>№2/</w:t>
      </w:r>
      <w:r w:rsidR="0000730C" w:rsidRPr="00CC241E">
        <w:rPr>
          <w:b/>
          <w:sz w:val="24"/>
          <w:szCs w:val="24"/>
          <w:lang w:val="ka-GE"/>
        </w:rPr>
        <w:t>20</w:t>
      </w:r>
      <w:r w:rsidRPr="00CC241E">
        <w:rPr>
          <w:b/>
          <w:sz w:val="24"/>
          <w:szCs w:val="24"/>
          <w:lang w:val="ka-GE"/>
        </w:rPr>
        <w:t>/852</w:t>
      </w:r>
      <w:r w:rsidR="0000730C" w:rsidRPr="00CC241E">
        <w:rPr>
          <w:b/>
          <w:sz w:val="24"/>
          <w:szCs w:val="24"/>
          <w:lang w:val="ka-GE"/>
        </w:rPr>
        <w:tab/>
      </w:r>
      <w:r w:rsidR="0000730C" w:rsidRPr="00CC241E">
        <w:rPr>
          <w:b/>
          <w:sz w:val="24"/>
          <w:szCs w:val="24"/>
          <w:lang w:val="ka-GE"/>
        </w:rPr>
        <w:tab/>
      </w:r>
      <w:r w:rsidR="0000730C" w:rsidRPr="00CC241E">
        <w:rPr>
          <w:b/>
          <w:sz w:val="24"/>
          <w:szCs w:val="24"/>
          <w:lang w:val="ka-GE"/>
        </w:rPr>
        <w:tab/>
      </w:r>
      <w:r w:rsidR="0000730C" w:rsidRPr="00CC241E">
        <w:rPr>
          <w:b/>
          <w:sz w:val="24"/>
          <w:szCs w:val="24"/>
          <w:lang w:val="ka-GE"/>
        </w:rPr>
        <w:tab/>
      </w:r>
      <w:r w:rsidR="0000730C" w:rsidRPr="00CC241E">
        <w:rPr>
          <w:b/>
          <w:sz w:val="24"/>
          <w:szCs w:val="24"/>
          <w:lang w:val="ka-GE"/>
        </w:rPr>
        <w:tab/>
      </w:r>
      <w:r w:rsidRPr="00CC241E">
        <w:rPr>
          <w:b/>
          <w:sz w:val="24"/>
          <w:szCs w:val="24"/>
          <w:lang w:val="ka-GE"/>
        </w:rPr>
        <w:t xml:space="preserve">ბათუმი, 2017 </w:t>
      </w:r>
      <w:r w:rsidRPr="00CC241E">
        <w:rPr>
          <w:rFonts w:cs="Sylfaen"/>
          <w:b/>
          <w:sz w:val="24"/>
          <w:szCs w:val="24"/>
          <w:lang w:val="ka-GE"/>
        </w:rPr>
        <w:t>წლის</w:t>
      </w:r>
      <w:r w:rsidRPr="00CC241E">
        <w:rPr>
          <w:b/>
          <w:sz w:val="24"/>
          <w:szCs w:val="24"/>
          <w:lang w:val="ka-GE"/>
        </w:rPr>
        <w:t xml:space="preserve"> </w:t>
      </w:r>
      <w:r w:rsidR="0000730C" w:rsidRPr="00CC241E">
        <w:rPr>
          <w:b/>
          <w:sz w:val="24"/>
          <w:szCs w:val="24"/>
          <w:lang w:val="ka-GE"/>
        </w:rPr>
        <w:t>28 დეკემბერი</w:t>
      </w:r>
    </w:p>
    <w:p w:rsidR="00C40654" w:rsidRPr="00CC241E" w:rsidRDefault="00C40654" w:rsidP="002E71AA">
      <w:pPr>
        <w:pStyle w:val="abzacixml"/>
        <w:spacing w:line="276" w:lineRule="auto"/>
        <w:ind w:firstLine="360"/>
        <w:rPr>
          <w:b/>
          <w:sz w:val="24"/>
          <w:szCs w:val="24"/>
          <w:lang w:val="ka-GE"/>
        </w:rPr>
      </w:pPr>
    </w:p>
    <w:p w:rsidR="00C40654" w:rsidRPr="00CC241E" w:rsidRDefault="00C40654" w:rsidP="002E71AA">
      <w:pPr>
        <w:pStyle w:val="abzacixml"/>
        <w:spacing w:line="276" w:lineRule="auto"/>
        <w:ind w:firstLine="360"/>
        <w:rPr>
          <w:b/>
          <w:sz w:val="24"/>
          <w:szCs w:val="24"/>
          <w:lang w:val="ka-GE"/>
        </w:rPr>
      </w:pPr>
      <w:r w:rsidRPr="00CC241E">
        <w:rPr>
          <w:b/>
          <w:sz w:val="24"/>
          <w:szCs w:val="24"/>
          <w:lang w:val="ka-GE"/>
        </w:rPr>
        <w:t>კოლეგიის შემადგენლობა:</w:t>
      </w:r>
    </w:p>
    <w:p w:rsidR="00C40654" w:rsidRPr="00CC241E" w:rsidRDefault="00C40654" w:rsidP="002E71AA">
      <w:pPr>
        <w:pStyle w:val="abzacixml"/>
        <w:spacing w:line="276" w:lineRule="auto"/>
        <w:ind w:firstLine="360"/>
        <w:rPr>
          <w:sz w:val="24"/>
          <w:szCs w:val="24"/>
          <w:lang w:val="ka-GE"/>
        </w:rPr>
      </w:pPr>
      <w:r w:rsidRPr="00CC241E">
        <w:rPr>
          <w:sz w:val="24"/>
          <w:szCs w:val="24"/>
          <w:lang w:val="ka-GE"/>
        </w:rPr>
        <w:t>თეიმურაზ ტუღუში – სხდომის თავმჯდომარე;</w:t>
      </w:r>
    </w:p>
    <w:p w:rsidR="00C40654" w:rsidRPr="00CC241E" w:rsidRDefault="00C40654" w:rsidP="002E71AA">
      <w:pPr>
        <w:pStyle w:val="abzacixml"/>
        <w:spacing w:line="276" w:lineRule="auto"/>
        <w:ind w:firstLine="360"/>
        <w:rPr>
          <w:sz w:val="24"/>
          <w:szCs w:val="24"/>
          <w:lang w:val="ka-GE"/>
        </w:rPr>
      </w:pPr>
      <w:r w:rsidRPr="00CC241E">
        <w:rPr>
          <w:sz w:val="24"/>
          <w:szCs w:val="24"/>
          <w:lang w:val="ka-GE"/>
        </w:rPr>
        <w:t>ირინე იმერლიშვილი – წევრი;</w:t>
      </w:r>
    </w:p>
    <w:p w:rsidR="00C40654" w:rsidRPr="00CC241E" w:rsidRDefault="00C40654" w:rsidP="002E71AA">
      <w:pPr>
        <w:pStyle w:val="abzacixml"/>
        <w:spacing w:line="276" w:lineRule="auto"/>
        <w:ind w:firstLine="360"/>
        <w:rPr>
          <w:sz w:val="24"/>
          <w:szCs w:val="24"/>
          <w:lang w:val="ka-GE"/>
        </w:rPr>
      </w:pPr>
      <w:r w:rsidRPr="00CC241E">
        <w:rPr>
          <w:sz w:val="24"/>
          <w:szCs w:val="24"/>
          <w:lang w:val="ka-GE"/>
        </w:rPr>
        <w:t>მანანა კობახიძე</w:t>
      </w:r>
      <w:r w:rsidR="001272B8" w:rsidRPr="00CC241E">
        <w:rPr>
          <w:sz w:val="24"/>
          <w:szCs w:val="24"/>
          <w:lang w:val="ka-GE"/>
        </w:rPr>
        <w:t xml:space="preserve"> –</w:t>
      </w:r>
      <w:r w:rsidRPr="00CC241E">
        <w:rPr>
          <w:sz w:val="24"/>
          <w:szCs w:val="24"/>
          <w:lang w:val="ka-GE"/>
        </w:rPr>
        <w:t xml:space="preserve"> წევრი, მომხსენებელი მოსამართლე;</w:t>
      </w:r>
    </w:p>
    <w:p w:rsidR="00C40654" w:rsidRPr="00CC241E" w:rsidRDefault="00C40654" w:rsidP="002E71AA">
      <w:pPr>
        <w:pStyle w:val="abzacixml"/>
        <w:spacing w:line="276" w:lineRule="auto"/>
        <w:ind w:firstLine="360"/>
        <w:rPr>
          <w:sz w:val="24"/>
          <w:szCs w:val="24"/>
          <w:lang w:val="ka-GE"/>
        </w:rPr>
      </w:pPr>
      <w:r w:rsidRPr="00CC241E">
        <w:rPr>
          <w:sz w:val="24"/>
          <w:szCs w:val="24"/>
          <w:lang w:val="ka-GE"/>
        </w:rPr>
        <w:t>თამაზ ცაბუტაშვილი – წევრი.</w:t>
      </w:r>
    </w:p>
    <w:p w:rsidR="00C40654" w:rsidRPr="00CC241E" w:rsidRDefault="00C40654" w:rsidP="002E71AA">
      <w:pPr>
        <w:pStyle w:val="abzacixml"/>
        <w:spacing w:line="276" w:lineRule="auto"/>
        <w:ind w:firstLine="360"/>
        <w:rPr>
          <w:sz w:val="24"/>
          <w:szCs w:val="24"/>
          <w:lang w:val="ka-GE"/>
        </w:rPr>
      </w:pPr>
    </w:p>
    <w:p w:rsidR="00C40654" w:rsidRPr="00CC241E" w:rsidRDefault="00C40654" w:rsidP="002E71AA">
      <w:pPr>
        <w:pStyle w:val="abzacixml"/>
        <w:spacing w:line="276" w:lineRule="auto"/>
        <w:ind w:firstLine="360"/>
        <w:rPr>
          <w:sz w:val="24"/>
          <w:szCs w:val="24"/>
          <w:lang w:val="ka-GE"/>
        </w:rPr>
      </w:pPr>
      <w:r w:rsidRPr="00CC241E">
        <w:rPr>
          <w:b/>
          <w:sz w:val="24"/>
          <w:szCs w:val="24"/>
          <w:lang w:val="ka-GE"/>
        </w:rPr>
        <w:t>სხდომის მდივანი:</w:t>
      </w:r>
      <w:r w:rsidRPr="00CC241E">
        <w:rPr>
          <w:sz w:val="24"/>
          <w:szCs w:val="24"/>
          <w:lang w:val="ka-GE"/>
        </w:rPr>
        <w:t xml:space="preserve"> </w:t>
      </w:r>
      <w:r w:rsidR="00F72015" w:rsidRPr="00CC241E">
        <w:rPr>
          <w:sz w:val="24"/>
          <w:szCs w:val="24"/>
          <w:lang w:val="ka-GE"/>
        </w:rPr>
        <w:t>მანანა ლომთათიძე.</w:t>
      </w:r>
    </w:p>
    <w:p w:rsidR="00C40654" w:rsidRPr="00CC241E" w:rsidRDefault="00C40654" w:rsidP="002E71AA">
      <w:pPr>
        <w:pStyle w:val="abzacixml"/>
        <w:spacing w:line="276" w:lineRule="auto"/>
        <w:ind w:firstLine="360"/>
        <w:rPr>
          <w:sz w:val="24"/>
          <w:szCs w:val="24"/>
          <w:lang w:val="ka-GE"/>
        </w:rPr>
      </w:pPr>
    </w:p>
    <w:p w:rsidR="00C40654" w:rsidRPr="00CC241E" w:rsidRDefault="00C40654" w:rsidP="002E71AA">
      <w:pPr>
        <w:pStyle w:val="abzacixml"/>
        <w:spacing w:line="276" w:lineRule="auto"/>
        <w:ind w:firstLine="360"/>
        <w:rPr>
          <w:sz w:val="24"/>
          <w:szCs w:val="24"/>
          <w:lang w:val="ka-GE"/>
        </w:rPr>
      </w:pPr>
      <w:r w:rsidRPr="00CC241E">
        <w:rPr>
          <w:b/>
          <w:sz w:val="24"/>
          <w:szCs w:val="24"/>
          <w:lang w:val="ka-GE"/>
        </w:rPr>
        <w:t>საქმის დასახელება:</w:t>
      </w:r>
      <w:r w:rsidRPr="00CC241E">
        <w:rPr>
          <w:sz w:val="24"/>
          <w:szCs w:val="24"/>
          <w:lang w:val="ka-GE"/>
        </w:rPr>
        <w:t xml:space="preserve"> საქართველოს მოქალაქე პაატა ბაკურაძე საქართველოს პარლამენტის წინააღმდეგ.</w:t>
      </w:r>
    </w:p>
    <w:p w:rsidR="00C40654" w:rsidRPr="00CC241E" w:rsidRDefault="00C40654" w:rsidP="002E71AA">
      <w:pPr>
        <w:pStyle w:val="abzacixml"/>
        <w:spacing w:line="276" w:lineRule="auto"/>
        <w:ind w:firstLine="360"/>
        <w:rPr>
          <w:sz w:val="24"/>
          <w:szCs w:val="24"/>
          <w:lang w:val="ka-GE"/>
        </w:rPr>
      </w:pPr>
    </w:p>
    <w:p w:rsidR="00C40654" w:rsidRPr="00CC241E" w:rsidRDefault="00C40654" w:rsidP="002E71AA">
      <w:pPr>
        <w:pStyle w:val="abzacixml"/>
        <w:spacing w:line="276" w:lineRule="auto"/>
        <w:ind w:firstLine="360"/>
        <w:rPr>
          <w:sz w:val="24"/>
          <w:szCs w:val="24"/>
          <w:lang w:val="ka-GE"/>
        </w:rPr>
      </w:pPr>
      <w:r w:rsidRPr="00CC241E">
        <w:rPr>
          <w:b/>
          <w:sz w:val="24"/>
          <w:szCs w:val="24"/>
          <w:lang w:val="ka-GE"/>
        </w:rPr>
        <w:t>დავის საგანი:</w:t>
      </w:r>
      <w:r w:rsidRPr="00CC241E">
        <w:rPr>
          <w:sz w:val="24"/>
          <w:szCs w:val="24"/>
          <w:lang w:val="ka-GE"/>
        </w:rPr>
        <w:t xml:space="preserve"> „სამხედრო ვალდებულებისა და სამხედრო სამსახურის შესახებ“ საქართველოს კანონის 46</w:t>
      </w:r>
      <w:r w:rsidRPr="00CC241E">
        <w:rPr>
          <w:position w:val="6"/>
          <w:sz w:val="24"/>
          <w:szCs w:val="24"/>
          <w:vertAlign w:val="superscript"/>
          <w:lang w:val="ka-GE"/>
        </w:rPr>
        <w:t>3</w:t>
      </w:r>
      <w:r w:rsidRPr="00CC241E">
        <w:rPr>
          <w:sz w:val="24"/>
          <w:szCs w:val="24"/>
          <w:lang w:val="ka-GE"/>
        </w:rPr>
        <w:t xml:space="preserve"> მუხლის მე-3 პუნქტის კონსტიტუციურობა საქართველოს კონსტიტუციის მე-14 მუხლთან მიმართებით.</w:t>
      </w:r>
    </w:p>
    <w:p w:rsidR="00C40654" w:rsidRPr="00CC241E" w:rsidRDefault="00C40654" w:rsidP="002E71AA">
      <w:pPr>
        <w:pStyle w:val="abzacixml"/>
        <w:spacing w:line="276" w:lineRule="auto"/>
        <w:ind w:firstLine="360"/>
        <w:rPr>
          <w:sz w:val="24"/>
          <w:szCs w:val="24"/>
          <w:lang w:val="ka-GE"/>
        </w:rPr>
      </w:pPr>
    </w:p>
    <w:p w:rsidR="00C40654" w:rsidRPr="00CC241E" w:rsidRDefault="00C40654" w:rsidP="002E71AA">
      <w:pPr>
        <w:pStyle w:val="abzacixml"/>
        <w:spacing w:line="276" w:lineRule="auto"/>
        <w:ind w:firstLine="360"/>
        <w:rPr>
          <w:sz w:val="24"/>
          <w:szCs w:val="24"/>
          <w:lang w:val="ka-GE"/>
        </w:rPr>
      </w:pPr>
      <w:r w:rsidRPr="00CC241E">
        <w:rPr>
          <w:b/>
          <w:sz w:val="24"/>
          <w:szCs w:val="24"/>
          <w:lang w:val="ka-GE"/>
        </w:rPr>
        <w:t xml:space="preserve">საქმის განხილვის მონაწილეები: </w:t>
      </w:r>
      <w:r w:rsidRPr="00CC241E">
        <w:rPr>
          <w:sz w:val="24"/>
          <w:szCs w:val="24"/>
          <w:lang w:val="ka-GE"/>
        </w:rPr>
        <w:t>მოსარჩელე მხარის წარმომადგენელი - გიორგი გოცირიძე; საქართველოს პარლამენტის წარმომადგენლები - გიორგი ჩიფჩიური და თინათინ ერქვანია.</w:t>
      </w:r>
    </w:p>
    <w:p w:rsidR="00C40654" w:rsidRPr="00CC241E" w:rsidRDefault="00C40654" w:rsidP="002E71AA">
      <w:pPr>
        <w:pStyle w:val="abzacixml"/>
        <w:spacing w:line="276" w:lineRule="auto"/>
        <w:ind w:firstLine="360"/>
        <w:rPr>
          <w:sz w:val="24"/>
          <w:szCs w:val="24"/>
          <w:lang w:val="ka-GE"/>
        </w:rPr>
      </w:pPr>
    </w:p>
    <w:p w:rsidR="00C40654" w:rsidRPr="00CC241E" w:rsidRDefault="00C40654" w:rsidP="002E71AA">
      <w:pPr>
        <w:pStyle w:val="abzacixml"/>
        <w:spacing w:line="276" w:lineRule="auto"/>
        <w:ind w:firstLine="360"/>
        <w:jc w:val="center"/>
        <w:rPr>
          <w:b/>
          <w:sz w:val="24"/>
          <w:szCs w:val="24"/>
          <w:lang w:val="ka-GE"/>
        </w:rPr>
      </w:pPr>
      <w:r w:rsidRPr="00CC241E">
        <w:rPr>
          <w:b/>
          <w:sz w:val="24"/>
          <w:szCs w:val="24"/>
          <w:lang w:val="ka-GE"/>
        </w:rPr>
        <w:t>I</w:t>
      </w:r>
    </w:p>
    <w:p w:rsidR="00C40654" w:rsidRPr="00CC241E" w:rsidRDefault="00C40654" w:rsidP="002E71AA">
      <w:pPr>
        <w:pStyle w:val="Heading1"/>
        <w:tabs>
          <w:tab w:val="clear" w:pos="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360"/>
        <w:rPr>
          <w:lang w:val="ka-GE"/>
        </w:rPr>
      </w:pPr>
      <w:r w:rsidRPr="00CC241E">
        <w:rPr>
          <w:lang w:val="ka-GE"/>
        </w:rPr>
        <w:t>აღწერილობითი ნაწილი</w:t>
      </w:r>
    </w:p>
    <w:p w:rsidR="00C40654" w:rsidRPr="00CC241E" w:rsidRDefault="00C40654" w:rsidP="002E71AA">
      <w:pPr>
        <w:pStyle w:val="abzacixml"/>
        <w:spacing w:line="276" w:lineRule="auto"/>
        <w:ind w:firstLine="360"/>
        <w:jc w:val="center"/>
        <w:rPr>
          <w:b/>
          <w:sz w:val="24"/>
          <w:szCs w:val="24"/>
          <w:lang w:val="ka-GE"/>
        </w:rPr>
      </w:pPr>
    </w:p>
    <w:p w:rsidR="00C40654" w:rsidRPr="00CC241E" w:rsidRDefault="00C40654" w:rsidP="002E71AA">
      <w:pPr>
        <w:pStyle w:val="abzacixml"/>
        <w:numPr>
          <w:ilvl w:val="0"/>
          <w:numId w:val="1"/>
        </w:numPr>
        <w:spacing w:line="276" w:lineRule="auto"/>
        <w:ind w:left="0" w:firstLine="360"/>
        <w:rPr>
          <w:sz w:val="24"/>
          <w:szCs w:val="24"/>
          <w:lang w:val="ka-GE"/>
        </w:rPr>
      </w:pPr>
      <w:r w:rsidRPr="00CC241E">
        <w:rPr>
          <w:sz w:val="24"/>
          <w:szCs w:val="24"/>
          <w:lang w:val="ka-GE"/>
        </w:rPr>
        <w:t>საქართველოს საკონსტიტუციო სასამართლოს 2016 წლის 10 ოქტომბერს კონსტიტუციური სარჩელით (რეგისტრაციის №852) მომართა საქართველოს მოქალაქე პაატა ბაკურაძემ</w:t>
      </w:r>
      <w:r w:rsidR="008E445C" w:rsidRPr="00CC241E">
        <w:rPr>
          <w:sz w:val="24"/>
          <w:szCs w:val="24"/>
          <w:lang w:val="ka-GE"/>
        </w:rPr>
        <w:t xml:space="preserve">. </w:t>
      </w:r>
      <w:r w:rsidRPr="00CC241E">
        <w:rPr>
          <w:sz w:val="24"/>
          <w:szCs w:val="24"/>
          <w:lang w:val="ka-GE"/>
        </w:rPr>
        <w:t>№852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გადმოეცა 2016 წლის 11 ოქტომბერს.</w:t>
      </w:r>
      <w:r w:rsidR="005D53C0" w:rsidRPr="00CC241E">
        <w:rPr>
          <w:sz w:val="24"/>
          <w:szCs w:val="24"/>
          <w:lang w:val="ka-GE"/>
        </w:rPr>
        <w:t xml:space="preserve"> 2017 წლის 17 მაისის №2/7/852 საოქმო ჩანაწერით №852 კონსტიტუციური სარჩელი მიღებულ იქნა არსებითად განსახილველად. საკონსტიტუციო სასამართლოს მეორე კოლეგიის მიერ საქმის არსებითი განხილვის სხდომა, ზეპირი მოსმენით, გაიმართა 2017 წლის 2 ნოემბერს.</w:t>
      </w:r>
    </w:p>
    <w:p w:rsidR="005D53C0" w:rsidRPr="00CC241E" w:rsidRDefault="005D53C0" w:rsidP="002E71AA">
      <w:pPr>
        <w:pStyle w:val="abzacixml"/>
        <w:numPr>
          <w:ilvl w:val="0"/>
          <w:numId w:val="1"/>
        </w:numPr>
        <w:spacing w:line="276" w:lineRule="auto"/>
        <w:ind w:left="0" w:firstLine="360"/>
        <w:rPr>
          <w:sz w:val="24"/>
          <w:szCs w:val="24"/>
          <w:lang w:val="ka-GE"/>
        </w:rPr>
      </w:pPr>
      <w:r w:rsidRPr="00CC241E">
        <w:rPr>
          <w:sz w:val="24"/>
          <w:szCs w:val="24"/>
          <w:lang w:val="ka-GE"/>
        </w:rPr>
        <w:t>№852 კონსტიტუციურ სარჩელში საკონსტიტუციო სასამართლოსათვის მომართვის 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5D53C0" w:rsidRPr="00CC241E" w:rsidRDefault="005D53C0" w:rsidP="002E71AA">
      <w:pPr>
        <w:pStyle w:val="abzacixml"/>
        <w:numPr>
          <w:ilvl w:val="0"/>
          <w:numId w:val="1"/>
        </w:numPr>
        <w:spacing w:line="276" w:lineRule="auto"/>
        <w:ind w:left="0" w:firstLine="360"/>
        <w:rPr>
          <w:sz w:val="24"/>
          <w:szCs w:val="24"/>
          <w:lang w:val="ka-GE"/>
        </w:rPr>
      </w:pPr>
      <w:r w:rsidRPr="00CC241E">
        <w:rPr>
          <w:sz w:val="24"/>
          <w:szCs w:val="24"/>
          <w:lang w:val="ka-GE"/>
        </w:rPr>
        <w:t>„სამხედრო ვალდებულებისა და სამხედრო სამსახურის შესახებ“ საქართველოს კანონის 46</w:t>
      </w:r>
      <w:r w:rsidRPr="00CC241E">
        <w:rPr>
          <w:sz w:val="24"/>
          <w:szCs w:val="24"/>
          <w:vertAlign w:val="superscript"/>
          <w:lang w:val="ka-GE"/>
        </w:rPr>
        <w:t>3</w:t>
      </w:r>
      <w:r w:rsidRPr="00CC241E">
        <w:rPr>
          <w:sz w:val="24"/>
          <w:szCs w:val="24"/>
          <w:lang w:val="ka-GE"/>
        </w:rPr>
        <w:t xml:space="preserve"> მუხლის პირველი და მე-2 პუნქტები ადგენს, რომ საქართველოს შინაგან საქმეთა სამინისტროს სისტემიდან საქართველოს შეიარაღებულ ძალებში 2008 წლის 1 დეკემბრიდან 2009 წლის 1 თებერვლამდე გადასულ პირებს, რომელთა ვინაობაც განისაზღვრება საქართველოს თავდაცვის და შინაგან საქმეთა მინისტრების ერთობლივი ბრძანებით, მიენიჭებათ მათი სპეციალური წოდების შესაბამისი სამხედრო წოდება. ხოლო სადავო მე-3 პუნქტის თანახმად, „ამ მუხლით გათვალისწინებულ პირთა სპეციალური წოდების შესაბამის სამხედრო წოდებასთან გათანაბრების შემთხვევაში სპეციალური წოდებით ნამსახურები წლები ჩაითვლება სამხედრო სამსახურის სტაჟში“.</w:t>
      </w:r>
    </w:p>
    <w:p w:rsidR="00750A3F" w:rsidRPr="00CC241E" w:rsidRDefault="00750A3F" w:rsidP="002E71AA">
      <w:pPr>
        <w:pStyle w:val="abzacixml"/>
        <w:numPr>
          <w:ilvl w:val="0"/>
          <w:numId w:val="1"/>
        </w:numPr>
        <w:spacing w:line="276" w:lineRule="auto"/>
        <w:ind w:left="0" w:firstLine="360"/>
        <w:rPr>
          <w:sz w:val="24"/>
          <w:szCs w:val="24"/>
          <w:lang w:val="ka-GE"/>
        </w:rPr>
      </w:pPr>
      <w:r w:rsidRPr="00CC241E">
        <w:rPr>
          <w:sz w:val="24"/>
          <w:szCs w:val="24"/>
          <w:lang w:val="ka-GE"/>
        </w:rPr>
        <w:t>საქართველოს კონსტიტუციის მე-14 მუხლი ადგენს კანონის წინაშე თანასწორობის კონსტიტუციურ უფლებას.</w:t>
      </w:r>
    </w:p>
    <w:p w:rsidR="00750A3F" w:rsidRPr="00CC241E" w:rsidRDefault="00390D3D" w:rsidP="002E71AA">
      <w:pPr>
        <w:pStyle w:val="abzacixml"/>
        <w:numPr>
          <w:ilvl w:val="0"/>
          <w:numId w:val="1"/>
        </w:numPr>
        <w:spacing w:line="276" w:lineRule="auto"/>
        <w:ind w:left="0" w:firstLine="360"/>
        <w:rPr>
          <w:sz w:val="24"/>
          <w:szCs w:val="24"/>
          <w:lang w:val="ka-GE"/>
        </w:rPr>
      </w:pPr>
      <w:r w:rsidRPr="00CC241E">
        <w:rPr>
          <w:sz w:val="24"/>
          <w:szCs w:val="24"/>
          <w:lang w:val="ka-GE"/>
        </w:rPr>
        <w:t xml:space="preserve">კონსტიტუციური სარჩელის თანახმად, მოსარჩელე 1994-2004 წლებში მუშაობდა უშიშროების სამინისტროს კონტრდაზვერვის სამმართველოში სხვადასხვა თანამდებობებზე. მას აქვს სამხედრო წოდება ვიცე-პოლკოვნიკი. სამინისტროს გაუქმების შემდეგ მუშაობდა საქართველოს შინაგან საქმეთა ორგანოებში, სადაც მისი </w:t>
      </w:r>
      <w:r w:rsidRPr="00CC241E">
        <w:rPr>
          <w:sz w:val="24"/>
          <w:szCs w:val="24"/>
          <w:lang w:val="ka-GE"/>
        </w:rPr>
        <w:lastRenderedPageBreak/>
        <w:t>ნამსახურობის სტაჟი შეადგენს 5 თვესა და 26 დღეს. 2005 წლის 1 ოქტომბრიდან დასაქმებული იყო სამხედრო პოლიციის დეპარტამენტში, საგამოძიებო დანაყოფების ორგანიზაციული კონტროლის სამმართველოს საგამოძიებო განყოფილების უფროსი გამომძიებლის მოვალეობის შემსრულებლად, გაწვეული იქნა საქართველოს შეიარაღებული ძალების რიგებში. 2007 წლის 24 ივლისიდან დათხოვნილი იქნა შეიარაღებული ძალების რიგებიდან, სადაც მისი ნამსახურობის პერიოდმა შეადგინა 1 წელი 9 თვე და 23 დღე. 2009 წლის 24 აგვისტოდან იგი სამხედრო პოლიციის დეპარტამენტში სამხედრო პოლიციის კახეთის, ქვემო ქართლის რეგიონული სამმართველოს პატრულის განყოფილების პატრულად დაინიშნა, საიდანაც 2011 წლის 4 იანვრიდან დათხოვნილი იქნა ზღვრული ასაკის მიღწევის გამო. ნამსახურობის პერიოდი შეადგენს 1 წელს, 4 თვეს და 22 დღეს.</w:t>
      </w:r>
    </w:p>
    <w:p w:rsidR="00390D3D" w:rsidRPr="00CC241E" w:rsidRDefault="00390D3D" w:rsidP="002E71AA">
      <w:pPr>
        <w:pStyle w:val="abzacixml"/>
        <w:numPr>
          <w:ilvl w:val="0"/>
          <w:numId w:val="1"/>
        </w:numPr>
        <w:spacing w:line="276" w:lineRule="auto"/>
        <w:ind w:left="0" w:firstLine="360"/>
        <w:rPr>
          <w:sz w:val="24"/>
          <w:szCs w:val="24"/>
          <w:lang w:val="ka-GE"/>
        </w:rPr>
      </w:pPr>
      <w:r w:rsidRPr="00CC241E">
        <w:rPr>
          <w:sz w:val="24"/>
          <w:szCs w:val="24"/>
          <w:lang w:val="ka-GE"/>
        </w:rPr>
        <w:t xml:space="preserve">2013 წლის </w:t>
      </w:r>
      <w:r w:rsidR="0084473A" w:rsidRPr="00CC241E">
        <w:rPr>
          <w:sz w:val="24"/>
          <w:szCs w:val="24"/>
          <w:lang w:val="ka-GE"/>
        </w:rPr>
        <w:t>პირველ</w:t>
      </w:r>
      <w:r w:rsidRPr="00CC241E">
        <w:rPr>
          <w:sz w:val="24"/>
          <w:szCs w:val="24"/>
          <w:lang w:val="ka-GE"/>
        </w:rPr>
        <w:t xml:space="preserve"> აგვისტოს მოსარჩელემ განცხადებით მიმართა საქართველოს თავდაცვის სამინისტროს ჯ-1 პირადი შემადგენლობის დეპარტამენტის უფროსს და მოითხოვა სახელმწიფო კომპენსაციის დანიშვნა „სახელმწიფო კომპენსაციისა და სახელმწიფო აკადემიური სტიპენდიების შესახებ“ საქართველოს კანონის მე-8 მუხლის მე-2 პუნქტის საფუძველზე, რაზეც მიიღო უარი. თავდაცვის სამინისტროს აღნიშნული გადაწყვეტილება მოსარჩელემ გაასაჩივრა საერთო სასამართლოების სამივე ინსტანციაში, თუმცა უშედეგოდ. საქართველოს უზენაესმა სასამართლომ გაიზიარა ქვედა ინსტანციის სასამართლოთა და თავდაცვის სამინისტროს არგუმენტაცია იმასთან დაკავშირებით, რომ მოსარჩელე ვერ აკმაყოფილებდა სახელმწიფო კომპენსაციის მისაღებად აუცილებელ ერთ-ერთ პირობას. კერძოდ, დადგინდა, რომ მოსარჩელემ შეიარაღებულ ძალებში, საერთო ჯამში, იმსახურა</w:t>
      </w:r>
      <w:r w:rsidR="00013D2A" w:rsidRPr="00CC241E">
        <w:rPr>
          <w:sz w:val="24"/>
          <w:szCs w:val="24"/>
          <w:lang w:val="ka-GE"/>
        </w:rPr>
        <w:t xml:space="preserve"> </w:t>
      </w:r>
      <w:r w:rsidRPr="00CC241E">
        <w:rPr>
          <w:sz w:val="24"/>
          <w:szCs w:val="24"/>
          <w:lang w:val="ka-GE"/>
        </w:rPr>
        <w:t>3 წელი, 2 თვე და 13 დღე, ხოლო კანონმდებლობის თანახმად, სახელმწიფო კომპენსაციის მისაღებად, მოცემულ შემთხვევაში, აუცილებელი იყო შეიარაღებულ ძალებში სამსახურის არანაკლებ 10 წლიანი სტაჟი.</w:t>
      </w:r>
    </w:p>
    <w:p w:rsidR="009B4B0A" w:rsidRPr="00CC241E" w:rsidRDefault="009B4B0A" w:rsidP="002E71AA">
      <w:pPr>
        <w:pStyle w:val="abzacixml"/>
        <w:numPr>
          <w:ilvl w:val="0"/>
          <w:numId w:val="1"/>
        </w:numPr>
        <w:spacing w:line="276" w:lineRule="auto"/>
        <w:ind w:left="0" w:firstLine="360"/>
        <w:rPr>
          <w:sz w:val="24"/>
          <w:szCs w:val="24"/>
          <w:lang w:val="ka-GE"/>
        </w:rPr>
      </w:pPr>
      <w:r w:rsidRPr="00CC241E">
        <w:rPr>
          <w:sz w:val="24"/>
          <w:szCs w:val="24"/>
          <w:lang w:val="ka-GE"/>
        </w:rPr>
        <w:t>მოსარჩელე ხაზს უსვამს იმ გარემოებას, რომ სასამართლომ შეიარაღებული ძალების რიგებში სამსახურის პერიოდის გამოთვლისას მხედველობაში არ მიიღო მის მიერ უშიშროების სამინისტროში მუშაობის 10 წლიანი და შინაგან საქმეთა სამინისტროში მუშაობის 5 თვიანი სტაჟი იმ მიზეზით, რომ აღნიშნული ორგანოები არ შედიოდა შეიარაღებული ძალების შემადგენლობაში.</w:t>
      </w:r>
      <w:r w:rsidR="00013D2A" w:rsidRPr="00CC241E">
        <w:rPr>
          <w:sz w:val="24"/>
          <w:szCs w:val="24"/>
          <w:lang w:val="ka-GE"/>
        </w:rPr>
        <w:t xml:space="preserve"> </w:t>
      </w:r>
      <w:r w:rsidRPr="00CC241E">
        <w:rPr>
          <w:sz w:val="24"/>
          <w:szCs w:val="24"/>
          <w:lang w:val="ka-GE"/>
        </w:rPr>
        <w:t xml:space="preserve">მოსარჩელე აპელირებს სადავო ნორმებზე და აღნიშნავს, რომ მათზე დაყრდნობით, იმ პირებს, რომლებიც მოსარჩელის მსგავსად მუშაობდნენ შინაგან საქმეთა სამინისტროს სისტემაში, ხოლო 2008 წლის 1 დეკემბრიდან 2009 წლის 1 თებერვლამდე გადავიდნენ საქართველოს შეიარაღებულ ძალებში, ზემოხსენებულ სამსახურში ნამსახურობის სტაჟი ეთვლებათ </w:t>
      </w:r>
      <w:r w:rsidRPr="00CC241E">
        <w:rPr>
          <w:sz w:val="24"/>
          <w:szCs w:val="24"/>
          <w:lang w:val="ka-GE"/>
        </w:rPr>
        <w:lastRenderedPageBreak/>
        <w:t>შეიარაღებულ ძალებში მუშაობის სტაჟად და აქვთ შესაძლებლობა, მიიღონ სახელმწიფო კომპენსაცია.</w:t>
      </w:r>
    </w:p>
    <w:p w:rsidR="009B4B0A" w:rsidRPr="00CC241E" w:rsidRDefault="009B4B0A" w:rsidP="002E71AA">
      <w:pPr>
        <w:pStyle w:val="abzacixml"/>
        <w:numPr>
          <w:ilvl w:val="0"/>
          <w:numId w:val="1"/>
        </w:numPr>
        <w:spacing w:line="276" w:lineRule="auto"/>
        <w:ind w:left="0" w:firstLine="360"/>
        <w:rPr>
          <w:sz w:val="24"/>
          <w:szCs w:val="24"/>
          <w:lang w:val="ka-GE"/>
        </w:rPr>
      </w:pPr>
      <w:r w:rsidRPr="00CC241E">
        <w:rPr>
          <w:sz w:val="24"/>
          <w:szCs w:val="24"/>
          <w:lang w:val="ka-GE"/>
        </w:rPr>
        <w:t>კონსტიტუციური სარჩელის თანახმად,</w:t>
      </w:r>
      <w:r w:rsidR="00013D2A" w:rsidRPr="00CC241E">
        <w:rPr>
          <w:sz w:val="24"/>
          <w:szCs w:val="24"/>
          <w:lang w:val="ka-GE"/>
        </w:rPr>
        <w:t xml:space="preserve"> </w:t>
      </w:r>
      <w:r w:rsidRPr="00CC241E">
        <w:rPr>
          <w:sz w:val="24"/>
          <w:szCs w:val="24"/>
          <w:lang w:val="ka-GE"/>
        </w:rPr>
        <w:t>სადავო ნორმა ადგენს არსებითად თანასწორ პირთა მიმართ უთანასწორო მოპყრობას, ხოლო</w:t>
      </w:r>
      <w:r w:rsidR="00013D2A" w:rsidRPr="00CC241E">
        <w:rPr>
          <w:sz w:val="24"/>
          <w:szCs w:val="24"/>
          <w:lang w:val="ka-GE"/>
        </w:rPr>
        <w:t xml:space="preserve"> </w:t>
      </w:r>
      <w:r w:rsidRPr="00CC241E">
        <w:rPr>
          <w:sz w:val="24"/>
          <w:szCs w:val="24"/>
          <w:lang w:val="ka-GE"/>
        </w:rPr>
        <w:t>დიფერენცირების ნიშანს წარმოადგენს</w:t>
      </w:r>
      <w:r w:rsidR="00013D2A" w:rsidRPr="00CC241E">
        <w:rPr>
          <w:sz w:val="24"/>
          <w:szCs w:val="24"/>
          <w:lang w:val="ka-GE"/>
        </w:rPr>
        <w:t xml:space="preserve"> </w:t>
      </w:r>
      <w:r w:rsidRPr="00CC241E">
        <w:rPr>
          <w:sz w:val="24"/>
          <w:szCs w:val="24"/>
          <w:lang w:val="ka-GE"/>
        </w:rPr>
        <w:t>შინაგან საქმეთა სამინისტროდან თავდაცვის სამინისტროში გადასვლის დრო. იმის გამო, რომ მოსარჩელემ აღნიშნული ქმედება განახორციელა</w:t>
      </w:r>
      <w:r w:rsidR="00013D2A" w:rsidRPr="00CC241E">
        <w:rPr>
          <w:sz w:val="24"/>
          <w:szCs w:val="24"/>
          <w:lang w:val="ka-GE"/>
        </w:rPr>
        <w:t xml:space="preserve"> </w:t>
      </w:r>
      <w:r w:rsidRPr="00CC241E">
        <w:rPr>
          <w:sz w:val="24"/>
          <w:szCs w:val="24"/>
          <w:lang w:val="ka-GE"/>
        </w:rPr>
        <w:t>არა სადავო რეგულაციებით დადგენილ პერიოდში, არამედ უფრო ადრე - 2005 წელს, იგი არ ექცევა კომპენსაციის მიმღებ პირთა წრეში.</w:t>
      </w:r>
      <w:r w:rsidR="00013D2A" w:rsidRPr="00CC241E">
        <w:rPr>
          <w:sz w:val="24"/>
          <w:szCs w:val="24"/>
          <w:lang w:val="ka-GE"/>
        </w:rPr>
        <w:t xml:space="preserve"> </w:t>
      </w:r>
      <w:r w:rsidRPr="00CC241E">
        <w:rPr>
          <w:sz w:val="24"/>
          <w:szCs w:val="24"/>
          <w:lang w:val="ka-GE"/>
        </w:rPr>
        <w:t>ამასთან, მიუხედავად იმისა, რომ ზემოხსენებული</w:t>
      </w:r>
      <w:r w:rsidR="00013D2A" w:rsidRPr="00CC241E">
        <w:rPr>
          <w:sz w:val="24"/>
          <w:szCs w:val="24"/>
          <w:lang w:val="ka-GE"/>
        </w:rPr>
        <w:t xml:space="preserve"> </w:t>
      </w:r>
      <w:r w:rsidRPr="00CC241E">
        <w:rPr>
          <w:sz w:val="24"/>
          <w:szCs w:val="24"/>
          <w:lang w:val="ka-GE"/>
        </w:rPr>
        <w:t xml:space="preserve"> ნიშანი არ წარმოადგენს დიფერენცირების კლასიკურ ნიშანს, მოსარჩელე მიიჩნევს, რომ სადავო ნორმების კონსტიტუციურობა უნდა შეფასდეს მკაცრი ტესტით, რადგან უფლებაში ჩარევას აქვს ინტენსივობის მაღალი ხარისხი. აღნიშნულის მტკიცებისას იგი აპელირებს იმ გარემოებაზე, რომ მის მსგავს მდგომარეობაში მყოფი პირები სრულიად გამორიცხულნი არიან სახელმწიფო კომპენსაციის მიმღებ პირთა წრიდან. ამასთან, იმის გათვალისწინებით, რომ საქართველოს კანონმდებლობის თანახმად, მამაკაცს სახელმწიფო პენსია ენიშნება 65 წლის ასაკის მიღწევისას, უმუშევრად დარჩენილ მოსარჩელეს შესაძლოა</w:t>
      </w:r>
      <w:r w:rsidR="00013D2A" w:rsidRPr="00CC241E">
        <w:rPr>
          <w:sz w:val="24"/>
          <w:szCs w:val="24"/>
          <w:lang w:val="ka-GE"/>
        </w:rPr>
        <w:t xml:space="preserve"> </w:t>
      </w:r>
      <w:r w:rsidRPr="00CC241E">
        <w:rPr>
          <w:sz w:val="24"/>
          <w:szCs w:val="24"/>
          <w:lang w:val="ka-GE"/>
        </w:rPr>
        <w:t>15 წლის განმავლობაში მოუწიოს რეალური შემოსავლის გარეშე არსებობა.</w:t>
      </w:r>
    </w:p>
    <w:p w:rsidR="00CA11E5" w:rsidRPr="00CC241E" w:rsidRDefault="00CA11E5" w:rsidP="002E71AA">
      <w:pPr>
        <w:pStyle w:val="abzacixml"/>
        <w:numPr>
          <w:ilvl w:val="0"/>
          <w:numId w:val="1"/>
        </w:numPr>
        <w:spacing w:line="276" w:lineRule="auto"/>
        <w:ind w:left="0" w:firstLine="360"/>
        <w:rPr>
          <w:sz w:val="24"/>
          <w:szCs w:val="24"/>
          <w:lang w:val="ka-GE"/>
        </w:rPr>
      </w:pPr>
      <w:r w:rsidRPr="00CC241E">
        <w:rPr>
          <w:sz w:val="24"/>
          <w:szCs w:val="24"/>
          <w:lang w:val="ka-GE"/>
        </w:rPr>
        <w:t>მოსარჩელის წარმომადგენლის განმარტებით, მოსარჩელე</w:t>
      </w:r>
      <w:r w:rsidR="000D4E7E" w:rsidRPr="00CC241E">
        <w:rPr>
          <w:sz w:val="24"/>
          <w:szCs w:val="24"/>
          <w:lang w:val="ka-GE"/>
        </w:rPr>
        <w:t>ს</w:t>
      </w:r>
      <w:r w:rsidRPr="00CC241E">
        <w:rPr>
          <w:sz w:val="24"/>
          <w:szCs w:val="24"/>
          <w:lang w:val="ka-GE"/>
        </w:rPr>
        <w:t xml:space="preserve"> სურვილი აქვს, თავადაც მიიღოს კომპენსაცია, მაგრამ საკონსტიტუციო სასამართლო ამ უფლებას ვერ მიანიჭებს. თუმცა, სასამართლოს შეუძლია არაკონსტიტუციურად ცნოს სადავო ნორმა და გადაწყვეტილების აღსრულებ</w:t>
      </w:r>
      <w:r w:rsidR="000D4E7E" w:rsidRPr="00CC241E">
        <w:rPr>
          <w:sz w:val="24"/>
          <w:szCs w:val="24"/>
          <w:lang w:val="ka-GE"/>
        </w:rPr>
        <w:t>ა</w:t>
      </w:r>
      <w:r w:rsidRPr="00CC241E">
        <w:rPr>
          <w:sz w:val="24"/>
          <w:szCs w:val="24"/>
          <w:lang w:val="ka-GE"/>
        </w:rPr>
        <w:t xml:space="preserve"> გადა</w:t>
      </w:r>
      <w:r w:rsidR="000D4E7E" w:rsidRPr="00CC241E">
        <w:rPr>
          <w:sz w:val="24"/>
          <w:szCs w:val="24"/>
          <w:lang w:val="ka-GE"/>
        </w:rPr>
        <w:t>ა</w:t>
      </w:r>
      <w:r w:rsidRPr="00CC241E">
        <w:rPr>
          <w:sz w:val="24"/>
          <w:szCs w:val="24"/>
          <w:lang w:val="ka-GE"/>
        </w:rPr>
        <w:t>ვად</w:t>
      </w:r>
      <w:r w:rsidR="000D4E7E" w:rsidRPr="00CC241E">
        <w:rPr>
          <w:sz w:val="24"/>
          <w:szCs w:val="24"/>
          <w:lang w:val="ka-GE"/>
        </w:rPr>
        <w:t>ოს,</w:t>
      </w:r>
      <w:r w:rsidRPr="00CC241E">
        <w:rPr>
          <w:sz w:val="24"/>
          <w:szCs w:val="24"/>
          <w:lang w:val="ka-GE"/>
        </w:rPr>
        <w:t xml:space="preserve"> რაც საქართველოს პარლამენტს შესაძლებლობას მისცემს</w:t>
      </w:r>
      <w:r w:rsidR="00863C23" w:rsidRPr="00CC241E">
        <w:rPr>
          <w:sz w:val="24"/>
          <w:szCs w:val="24"/>
          <w:lang w:val="ka-GE"/>
        </w:rPr>
        <w:t>,</w:t>
      </w:r>
      <w:r w:rsidRPr="00CC241E">
        <w:rPr>
          <w:sz w:val="24"/>
          <w:szCs w:val="24"/>
          <w:lang w:val="ka-GE"/>
        </w:rPr>
        <w:t xml:space="preserve"> </w:t>
      </w:r>
      <w:r w:rsidR="000D4E7E" w:rsidRPr="00CC241E">
        <w:rPr>
          <w:sz w:val="24"/>
          <w:szCs w:val="24"/>
          <w:lang w:val="ka-GE"/>
        </w:rPr>
        <w:t xml:space="preserve">სადავო რეგულირების მოქმედება გაავრცელოს </w:t>
      </w:r>
      <w:r w:rsidRPr="00CC241E">
        <w:rPr>
          <w:sz w:val="24"/>
          <w:szCs w:val="24"/>
          <w:lang w:val="ka-GE"/>
        </w:rPr>
        <w:t>მოსარჩელის კატეგორიის პირებზეც</w:t>
      </w:r>
      <w:r w:rsidR="00C44205" w:rsidRPr="00CC241E">
        <w:rPr>
          <w:sz w:val="24"/>
          <w:szCs w:val="24"/>
          <w:lang w:val="ka-GE"/>
        </w:rPr>
        <w:t>.</w:t>
      </w:r>
    </w:p>
    <w:p w:rsidR="00020583" w:rsidRPr="00CC241E" w:rsidRDefault="00020583" w:rsidP="002E71AA">
      <w:pPr>
        <w:pStyle w:val="abzacixml"/>
        <w:numPr>
          <w:ilvl w:val="0"/>
          <w:numId w:val="1"/>
        </w:numPr>
        <w:spacing w:line="276" w:lineRule="auto"/>
        <w:ind w:left="0" w:firstLine="360"/>
        <w:rPr>
          <w:sz w:val="24"/>
          <w:szCs w:val="24"/>
          <w:lang w:val="ka-GE"/>
        </w:rPr>
      </w:pPr>
      <w:r w:rsidRPr="00CC241E">
        <w:rPr>
          <w:sz w:val="24"/>
          <w:szCs w:val="24"/>
          <w:lang w:val="ka-GE"/>
        </w:rPr>
        <w:t>მოსარჩელე მხარემ შესადარებელ პირთა წრედ განსაზღვრა</w:t>
      </w:r>
      <w:r w:rsidR="000D4E7E" w:rsidRPr="00CC241E">
        <w:rPr>
          <w:sz w:val="24"/>
          <w:szCs w:val="24"/>
          <w:lang w:val="ka-GE"/>
        </w:rPr>
        <w:t>,</w:t>
      </w:r>
      <w:r w:rsidRPr="00CC241E">
        <w:rPr>
          <w:sz w:val="24"/>
          <w:szCs w:val="24"/>
          <w:lang w:val="ka-GE"/>
        </w:rPr>
        <w:t xml:space="preserve"> ერთი მხრივ, პირები, რომელთაც 1991 წლიდან 1995 წლამდე დაიწყეს სამხედრო სამსახური</w:t>
      </w:r>
      <w:r w:rsidR="007A54AF" w:rsidRPr="00CC241E">
        <w:rPr>
          <w:sz w:val="24"/>
          <w:szCs w:val="24"/>
          <w:lang w:val="ka-GE"/>
        </w:rPr>
        <w:t>, დათხოვნილი იქნენ ზღვრული ასაკის გამო,</w:t>
      </w:r>
      <w:r w:rsidRPr="00CC241E">
        <w:rPr>
          <w:sz w:val="24"/>
          <w:szCs w:val="24"/>
          <w:lang w:val="ka-GE"/>
        </w:rPr>
        <w:t xml:space="preserve"> შრომის საერთო სტაჟი აქვთ მინიმუმ 20 წელი</w:t>
      </w:r>
      <w:r w:rsidR="007A54AF" w:rsidRPr="00CC241E">
        <w:rPr>
          <w:sz w:val="24"/>
          <w:szCs w:val="24"/>
          <w:lang w:val="ka-GE"/>
        </w:rPr>
        <w:t xml:space="preserve"> და 2008 წლის </w:t>
      </w:r>
      <w:r w:rsidR="002C7225" w:rsidRPr="00CC241E">
        <w:rPr>
          <w:sz w:val="24"/>
          <w:szCs w:val="24"/>
          <w:lang w:val="ka-GE"/>
        </w:rPr>
        <w:t>1</w:t>
      </w:r>
      <w:r w:rsidR="007A54AF" w:rsidRPr="00CC241E">
        <w:rPr>
          <w:sz w:val="24"/>
          <w:szCs w:val="24"/>
          <w:lang w:val="ka-GE"/>
        </w:rPr>
        <w:t xml:space="preserve"> დეკემბრიდან 2009 წლის </w:t>
      </w:r>
      <w:r w:rsidR="002C7225" w:rsidRPr="00CC241E">
        <w:rPr>
          <w:sz w:val="24"/>
          <w:szCs w:val="24"/>
          <w:lang w:val="ka-GE"/>
        </w:rPr>
        <w:t>1</w:t>
      </w:r>
      <w:r w:rsidR="007A54AF" w:rsidRPr="00CC241E">
        <w:rPr>
          <w:sz w:val="24"/>
          <w:szCs w:val="24"/>
          <w:lang w:val="ka-GE"/>
        </w:rPr>
        <w:t xml:space="preserve"> თებერვლამდე პერიოდში გადავიდნენ საქართველოს შინაგან საქმეთა სამინისტროს სისტემიდან საქართველოს შეიარაღებულ ძალებში</w:t>
      </w:r>
      <w:r w:rsidR="00C34014" w:rsidRPr="00CC241E">
        <w:rPr>
          <w:sz w:val="24"/>
          <w:szCs w:val="24"/>
          <w:lang w:val="ka-GE"/>
        </w:rPr>
        <w:t xml:space="preserve"> და,</w:t>
      </w:r>
      <w:r w:rsidRPr="00CC241E">
        <w:rPr>
          <w:sz w:val="24"/>
          <w:szCs w:val="24"/>
          <w:lang w:val="ka-GE"/>
        </w:rPr>
        <w:t xml:space="preserve"> მეორე მხრივ, </w:t>
      </w:r>
      <w:r w:rsidR="001C6DDA" w:rsidRPr="00CC241E">
        <w:rPr>
          <w:sz w:val="24"/>
          <w:szCs w:val="24"/>
          <w:lang w:val="ka-GE"/>
        </w:rPr>
        <w:t>პირები, რომ</w:t>
      </w:r>
      <w:r w:rsidR="007A54AF" w:rsidRPr="00CC241E">
        <w:rPr>
          <w:sz w:val="24"/>
          <w:szCs w:val="24"/>
          <w:lang w:val="ka-GE"/>
        </w:rPr>
        <w:t>ლებიც მოსარჩელის მსგავსად</w:t>
      </w:r>
      <w:r w:rsidR="002C7225" w:rsidRPr="00CC241E">
        <w:rPr>
          <w:sz w:val="24"/>
          <w:szCs w:val="24"/>
          <w:lang w:val="ka-GE"/>
        </w:rPr>
        <w:t>,</w:t>
      </w:r>
      <w:r w:rsidR="007A54AF" w:rsidRPr="00CC241E">
        <w:rPr>
          <w:sz w:val="24"/>
          <w:szCs w:val="24"/>
          <w:lang w:val="ka-GE"/>
        </w:rPr>
        <w:t xml:space="preserve"> აკმაყოფილებენ ზემოთ ჩამოთვლილ ყველა კრიტერიუმს, გარდა</w:t>
      </w:r>
      <w:r w:rsidR="001C6DDA" w:rsidRPr="00CC241E">
        <w:rPr>
          <w:sz w:val="24"/>
          <w:szCs w:val="24"/>
          <w:lang w:val="ka-GE"/>
        </w:rPr>
        <w:t xml:space="preserve"> </w:t>
      </w:r>
      <w:r w:rsidR="007A54AF" w:rsidRPr="00CC241E">
        <w:rPr>
          <w:sz w:val="24"/>
          <w:szCs w:val="24"/>
          <w:lang w:val="ka-GE"/>
        </w:rPr>
        <w:t xml:space="preserve">იმისა, რომ ისინი </w:t>
      </w:r>
      <w:r w:rsidR="00D666C7" w:rsidRPr="00CC241E">
        <w:rPr>
          <w:sz w:val="24"/>
          <w:szCs w:val="24"/>
          <w:lang w:val="ka-GE"/>
        </w:rPr>
        <w:t>სადავო რეგულირებით დადგენილ</w:t>
      </w:r>
      <w:r w:rsidR="001C6DDA" w:rsidRPr="00CC241E">
        <w:rPr>
          <w:sz w:val="24"/>
          <w:szCs w:val="24"/>
          <w:lang w:val="ka-GE"/>
        </w:rPr>
        <w:t xml:space="preserve"> პერიოდში </w:t>
      </w:r>
      <w:r w:rsidR="007A54AF" w:rsidRPr="00CC241E">
        <w:rPr>
          <w:sz w:val="24"/>
          <w:szCs w:val="24"/>
          <w:lang w:val="ka-GE"/>
        </w:rPr>
        <w:t>არ გადასულან</w:t>
      </w:r>
      <w:r w:rsidR="001C6DDA" w:rsidRPr="00CC241E">
        <w:rPr>
          <w:sz w:val="24"/>
          <w:szCs w:val="24"/>
          <w:lang w:val="ka-GE"/>
        </w:rPr>
        <w:t xml:space="preserve"> საქართველოს შინაგან საქმეთა სამინისტროს სისტემიდან საქართველოს შეიარაღებულ ძალებში.</w:t>
      </w:r>
    </w:p>
    <w:p w:rsidR="00020583" w:rsidRPr="00CC241E" w:rsidRDefault="004E6F97" w:rsidP="002E71AA">
      <w:pPr>
        <w:pStyle w:val="abzacixml"/>
        <w:numPr>
          <w:ilvl w:val="0"/>
          <w:numId w:val="1"/>
        </w:numPr>
        <w:spacing w:line="276" w:lineRule="auto"/>
        <w:ind w:left="0" w:firstLine="360"/>
        <w:rPr>
          <w:sz w:val="24"/>
          <w:szCs w:val="24"/>
          <w:lang w:val="ka-GE"/>
        </w:rPr>
      </w:pPr>
      <w:r w:rsidRPr="00CC241E">
        <w:rPr>
          <w:sz w:val="24"/>
          <w:szCs w:val="24"/>
          <w:lang w:val="ka-GE"/>
        </w:rPr>
        <w:t xml:space="preserve">მოსარჩელის წარმომადგენელმა აღნიშნა, რომ განსახილველ შემთხვევაში არ არსებობდა სახელმწიფოს მხრიდან რაიმე პრივილეგიის მიღების მოლოდინის საფუძველი იმ პირთა მხრიდან, რომელთაც სადავო რეგულირება ანიჭებს აღნიშნულ </w:t>
      </w:r>
      <w:r w:rsidRPr="00CC241E">
        <w:rPr>
          <w:sz w:val="24"/>
          <w:szCs w:val="24"/>
          <w:lang w:val="ka-GE"/>
        </w:rPr>
        <w:lastRenderedPageBreak/>
        <w:t>პრივილეგიებს. შესაბამისად, ხსენებულ პირთა ინტერესებზე მითითებით გამართლებული ვერ იქნება დიფერენცირებული მოპყრობა.</w:t>
      </w:r>
      <w:r w:rsidR="00C34014" w:rsidRPr="00CC241E">
        <w:rPr>
          <w:sz w:val="24"/>
          <w:szCs w:val="24"/>
          <w:lang w:val="ka-GE"/>
        </w:rPr>
        <w:t xml:space="preserve"> </w:t>
      </w:r>
      <w:r w:rsidR="00020583" w:rsidRPr="00CC241E">
        <w:rPr>
          <w:sz w:val="24"/>
          <w:szCs w:val="24"/>
          <w:lang w:val="ka-GE"/>
        </w:rPr>
        <w:t xml:space="preserve">მოსარჩელის წარმომადგენელმა არსებითი განხილვის სხდომაზე მიუთითა, რომ გაუგებარია რა ლეგიტიმურ მიზანს შეიძლება ემსახურებოდეს სადავო ნორმით დაწესებული განსხვავებული მოპყრობა. აღნიშნული მეტყველებს დიფერენცირების გაუმართლებელ ხასიათსა და გასაჩივრებული რეგულაციების </w:t>
      </w:r>
      <w:r w:rsidR="00C34014" w:rsidRPr="00CC241E">
        <w:rPr>
          <w:sz w:val="24"/>
          <w:szCs w:val="24"/>
          <w:lang w:val="ka-GE"/>
        </w:rPr>
        <w:t xml:space="preserve">არაკონსტიტუციურობაზე </w:t>
      </w:r>
      <w:r w:rsidR="00020583" w:rsidRPr="00CC241E">
        <w:rPr>
          <w:sz w:val="24"/>
          <w:szCs w:val="24"/>
          <w:lang w:val="ka-GE"/>
        </w:rPr>
        <w:t>საქართველოს კონსტიტუციის მე-14 მუხლთან მიმართებით.</w:t>
      </w:r>
    </w:p>
    <w:p w:rsidR="00C3346A" w:rsidRPr="00CC241E" w:rsidRDefault="00207188" w:rsidP="002E71AA">
      <w:pPr>
        <w:pStyle w:val="abzacixml"/>
        <w:numPr>
          <w:ilvl w:val="0"/>
          <w:numId w:val="1"/>
        </w:numPr>
        <w:spacing w:line="276" w:lineRule="auto"/>
        <w:ind w:left="0" w:firstLine="360"/>
        <w:rPr>
          <w:sz w:val="24"/>
          <w:szCs w:val="24"/>
          <w:lang w:val="ka-GE"/>
        </w:rPr>
      </w:pPr>
      <w:r w:rsidRPr="00CC241E">
        <w:rPr>
          <w:sz w:val="24"/>
          <w:szCs w:val="24"/>
          <w:lang w:val="ka-GE"/>
        </w:rPr>
        <w:t xml:space="preserve">მოპასუხის წარმომადგენლის განმარტებით, 2008 წლის </w:t>
      </w:r>
      <w:r w:rsidR="008D5675" w:rsidRPr="00CC241E">
        <w:rPr>
          <w:sz w:val="24"/>
          <w:szCs w:val="24"/>
          <w:lang w:val="ka-GE"/>
        </w:rPr>
        <w:t>1</w:t>
      </w:r>
      <w:r w:rsidRPr="00CC241E">
        <w:rPr>
          <w:sz w:val="24"/>
          <w:szCs w:val="24"/>
          <w:lang w:val="ka-GE"/>
        </w:rPr>
        <w:t xml:space="preserve"> დეკემბრიდან 2009 წლის </w:t>
      </w:r>
      <w:r w:rsidR="008D5675" w:rsidRPr="00CC241E">
        <w:rPr>
          <w:sz w:val="24"/>
          <w:szCs w:val="24"/>
          <w:lang w:val="ka-GE"/>
        </w:rPr>
        <w:t>1</w:t>
      </w:r>
      <w:r w:rsidRPr="00CC241E">
        <w:rPr>
          <w:sz w:val="24"/>
          <w:szCs w:val="24"/>
          <w:lang w:val="ka-GE"/>
        </w:rPr>
        <w:t xml:space="preserve"> თებერვლამდე განხორციელდა რეფორმა, რომლის შედეგად თავდაცვისა და შინაგან საქმეთა სამინისტროებში მოხდა გარკვეული სახის უწყებრივი ცვლილებები. სადავო ნორმის ლეგიტიმური მიზანს წარმოადგენდა უწყებრივი ცვლილებების შედეგად ერთი სამინისტროდან მეორეში გადასული თანამშრომლებისათვის სტაჟისა და სამხედრო წოდებების შენარჩუნება.</w:t>
      </w:r>
      <w:r w:rsidR="009E0E3F" w:rsidRPr="00CC241E">
        <w:rPr>
          <w:sz w:val="24"/>
          <w:szCs w:val="24"/>
          <w:lang w:val="ka-GE"/>
        </w:rPr>
        <w:t xml:space="preserve"> </w:t>
      </w:r>
      <w:r w:rsidR="00EC7875" w:rsidRPr="00CC241E">
        <w:rPr>
          <w:sz w:val="24"/>
          <w:szCs w:val="24"/>
          <w:lang w:val="ka-GE"/>
        </w:rPr>
        <w:t>საქართველოს პარლამენტის წარმომადგენლებმა არსებითი განხილვის სხდომაზე აღნიშნეს, რომ ზემოაღნიშნულ რეფორმასთან დაკავშირე</w:t>
      </w:r>
      <w:r w:rsidR="009E0E3F" w:rsidRPr="00CC241E">
        <w:rPr>
          <w:sz w:val="24"/>
          <w:szCs w:val="24"/>
          <w:lang w:val="ka-GE"/>
        </w:rPr>
        <w:t>ბით</w:t>
      </w:r>
      <w:r w:rsidR="00EC7875" w:rsidRPr="00CC241E">
        <w:rPr>
          <w:sz w:val="24"/>
          <w:szCs w:val="24"/>
          <w:lang w:val="ka-GE"/>
        </w:rPr>
        <w:t xml:space="preserve"> დეტალური </w:t>
      </w:r>
      <w:r w:rsidR="009E0E3F" w:rsidRPr="00CC241E">
        <w:rPr>
          <w:sz w:val="24"/>
          <w:szCs w:val="24"/>
          <w:lang w:val="ka-GE"/>
        </w:rPr>
        <w:t xml:space="preserve">მონაცემები </w:t>
      </w:r>
      <w:r w:rsidR="00EC7875" w:rsidRPr="00CC241E">
        <w:rPr>
          <w:sz w:val="24"/>
          <w:szCs w:val="24"/>
          <w:lang w:val="ka-GE"/>
        </w:rPr>
        <w:t>მათთვის არ არის ხელმისაწვდომი, რადგან ეს წარმოადგენს სახელმწიფო საიდუმლოებას. თავად საკონსტიტუციო სასამართლოს აქვს წვდომა ხსენებულ საიდუმლო ინფორმაციაზე და დაინტერესების შემთხვევაში, სასამართლოს შესაძლებლობა ექნება, მიიღოს დეტალური ინფორმაცია რეფორმის და მათ შორის</w:t>
      </w:r>
      <w:r w:rsidR="008D5675" w:rsidRPr="00CC241E">
        <w:rPr>
          <w:sz w:val="24"/>
          <w:szCs w:val="24"/>
          <w:lang w:val="ka-GE"/>
        </w:rPr>
        <w:t>,</w:t>
      </w:r>
      <w:r w:rsidR="00EC7875" w:rsidRPr="00CC241E">
        <w:rPr>
          <w:sz w:val="24"/>
          <w:szCs w:val="24"/>
          <w:lang w:val="ka-GE"/>
        </w:rPr>
        <w:t xml:space="preserve"> სადავო რეგულირების მიზნებთან დაკავშირებით.</w:t>
      </w:r>
    </w:p>
    <w:p w:rsidR="00C3346A" w:rsidRPr="00CC241E" w:rsidRDefault="00C3346A" w:rsidP="002E71AA">
      <w:pPr>
        <w:pStyle w:val="abzacixml"/>
        <w:numPr>
          <w:ilvl w:val="0"/>
          <w:numId w:val="1"/>
        </w:numPr>
        <w:spacing w:line="276" w:lineRule="auto"/>
        <w:ind w:left="0" w:firstLine="360"/>
        <w:rPr>
          <w:sz w:val="24"/>
          <w:szCs w:val="24"/>
          <w:lang w:val="ka-GE"/>
        </w:rPr>
      </w:pPr>
      <w:r w:rsidRPr="00CC241E">
        <w:rPr>
          <w:sz w:val="24"/>
          <w:szCs w:val="24"/>
          <w:lang w:val="ka-GE"/>
        </w:rPr>
        <w:t xml:space="preserve">მოპასუხის წარმომადგენლის განცხადებით, </w:t>
      </w:r>
      <w:r w:rsidR="00CE5C9B" w:rsidRPr="00CC241E">
        <w:rPr>
          <w:sz w:val="24"/>
          <w:szCs w:val="24"/>
          <w:lang w:val="ka-GE"/>
        </w:rPr>
        <w:t xml:space="preserve">დიფერენცირების კონსტიტუციურობა უნდა შეფასდეს რაციონალური დიფერენციაციის ტესტით, რადგან მოსარჩელე </w:t>
      </w:r>
      <w:r w:rsidR="009E0E3F" w:rsidRPr="00CC241E">
        <w:rPr>
          <w:sz w:val="24"/>
          <w:szCs w:val="24"/>
          <w:lang w:val="ka-GE"/>
        </w:rPr>
        <w:t xml:space="preserve">არ არის მოკლებული </w:t>
      </w:r>
      <w:r w:rsidR="00CE5C9B" w:rsidRPr="00CC241E">
        <w:rPr>
          <w:sz w:val="24"/>
          <w:szCs w:val="24"/>
          <w:lang w:val="ka-GE"/>
        </w:rPr>
        <w:t>სოციალურ დაცვას.</w:t>
      </w:r>
      <w:r w:rsidR="001D6A86" w:rsidRPr="00CC241E">
        <w:rPr>
          <w:sz w:val="24"/>
          <w:szCs w:val="24"/>
          <w:lang w:val="ka-GE"/>
        </w:rPr>
        <w:t xml:space="preserve"> ამასთან, აღმასრულებელ ხელისუფლებას თავად შეუძლია განსაზღვროს შიდა პოლიტიკა თავდაცვისა და უშიშროების საკითხებში. შესაბამისად, საკანონმდებლო ხელისუფლება </w:t>
      </w:r>
      <w:r w:rsidR="00D666C7" w:rsidRPr="00CC241E">
        <w:rPr>
          <w:sz w:val="24"/>
          <w:szCs w:val="24"/>
          <w:lang w:val="ka-GE"/>
        </w:rPr>
        <w:t xml:space="preserve">მას </w:t>
      </w:r>
      <w:r w:rsidR="00840DDD" w:rsidRPr="00CC241E">
        <w:rPr>
          <w:sz w:val="24"/>
          <w:szCs w:val="24"/>
          <w:lang w:val="ka-GE"/>
        </w:rPr>
        <w:t xml:space="preserve">ამ მხრივ მკაცრს ფარგლებს </w:t>
      </w:r>
      <w:r w:rsidR="00D666C7" w:rsidRPr="00CC241E">
        <w:rPr>
          <w:sz w:val="24"/>
          <w:szCs w:val="24"/>
          <w:lang w:val="ka-GE"/>
        </w:rPr>
        <w:t>ვერ დაუდგენს</w:t>
      </w:r>
      <w:r w:rsidR="001D6A86" w:rsidRPr="00CC241E">
        <w:rPr>
          <w:sz w:val="24"/>
          <w:szCs w:val="24"/>
          <w:lang w:val="ka-GE"/>
        </w:rPr>
        <w:t>.</w:t>
      </w:r>
    </w:p>
    <w:p w:rsidR="003F6745" w:rsidRPr="00CC241E" w:rsidRDefault="00A34E62" w:rsidP="002E71AA">
      <w:pPr>
        <w:pStyle w:val="abzacixml"/>
        <w:numPr>
          <w:ilvl w:val="0"/>
          <w:numId w:val="1"/>
        </w:numPr>
        <w:spacing w:line="276" w:lineRule="auto"/>
        <w:ind w:left="0" w:firstLine="360"/>
        <w:rPr>
          <w:sz w:val="24"/>
          <w:szCs w:val="24"/>
          <w:lang w:val="ka-GE"/>
        </w:rPr>
      </w:pPr>
      <w:r w:rsidRPr="00CC241E">
        <w:rPr>
          <w:sz w:val="24"/>
          <w:szCs w:val="24"/>
          <w:lang w:val="ka-GE"/>
        </w:rPr>
        <w:t xml:space="preserve">მოპასუხის წარმომადგენელმა მიუთითა, რომ სადავო ნორმის არაკონსტიტუციურად ცნობა გამოიწვევს </w:t>
      </w:r>
      <w:r w:rsidR="009E0E3F" w:rsidRPr="00CC241E">
        <w:rPr>
          <w:sz w:val="24"/>
          <w:szCs w:val="24"/>
          <w:lang w:val="ka-GE"/>
        </w:rPr>
        <w:t xml:space="preserve">სტაჟისა და დამსახურების მიხედვით პენსიის მოხსნას </w:t>
      </w:r>
      <w:r w:rsidRPr="00CC241E">
        <w:rPr>
          <w:sz w:val="24"/>
          <w:szCs w:val="24"/>
          <w:lang w:val="ka-GE"/>
        </w:rPr>
        <w:t xml:space="preserve">იმ ადამიანთათვის, რომლებიც ხსენებული რეფორმის დროს </w:t>
      </w:r>
      <w:r w:rsidR="009E0E3F" w:rsidRPr="00CC241E">
        <w:rPr>
          <w:sz w:val="24"/>
          <w:szCs w:val="24"/>
          <w:lang w:val="ka-GE"/>
        </w:rPr>
        <w:t xml:space="preserve">ერთი სამინისტროდან მეორეში </w:t>
      </w:r>
      <w:r w:rsidRPr="00CC241E">
        <w:rPr>
          <w:sz w:val="24"/>
          <w:szCs w:val="24"/>
          <w:lang w:val="ka-GE"/>
        </w:rPr>
        <w:t xml:space="preserve">გადავიდნენ და შეინარჩუნეს </w:t>
      </w:r>
      <w:r w:rsidR="009E0E3F" w:rsidRPr="00CC241E">
        <w:rPr>
          <w:sz w:val="24"/>
          <w:szCs w:val="24"/>
          <w:lang w:val="ka-GE"/>
        </w:rPr>
        <w:t xml:space="preserve">რეფორმის განხორციელებამდე არსებული </w:t>
      </w:r>
      <w:r w:rsidRPr="00CC241E">
        <w:rPr>
          <w:sz w:val="24"/>
          <w:szCs w:val="24"/>
          <w:lang w:val="ka-GE"/>
        </w:rPr>
        <w:t>სტაჟი.</w:t>
      </w:r>
      <w:r w:rsidR="009E0E3F" w:rsidRPr="00CC241E">
        <w:rPr>
          <w:sz w:val="24"/>
          <w:szCs w:val="24"/>
          <w:lang w:val="ka-GE"/>
        </w:rPr>
        <w:t xml:space="preserve"> </w:t>
      </w:r>
      <w:r w:rsidR="00C670F6" w:rsidRPr="00CC241E">
        <w:rPr>
          <w:sz w:val="24"/>
          <w:szCs w:val="24"/>
          <w:lang w:val="ka-GE"/>
        </w:rPr>
        <w:t>საქართველოს პარლამენტის წარმომადგენელმა არსებითი განხილვის სხდომაზე განმარტა, რომ სადავო ნორმის ლეგიტიმური მიზანი რეფორმის პერიოდში ერთი სამინისტროდან მეორეში გადასული თანამდებობის პირების უფლებები</w:t>
      </w:r>
      <w:r w:rsidR="009E0E3F" w:rsidRPr="00CC241E">
        <w:rPr>
          <w:sz w:val="24"/>
          <w:szCs w:val="24"/>
          <w:lang w:val="ka-GE"/>
        </w:rPr>
        <w:t xml:space="preserve">ს დარღვევის თავიდან აცილება. </w:t>
      </w:r>
      <w:r w:rsidR="00C670F6" w:rsidRPr="00CC241E">
        <w:rPr>
          <w:sz w:val="24"/>
          <w:szCs w:val="24"/>
          <w:lang w:val="ka-GE"/>
        </w:rPr>
        <w:lastRenderedPageBreak/>
        <w:t>კერძოდ, აღნიშნულ პირებს გააჩნდათ კანონიერი მოლოდინი, რომ მათი წოდება და სტაჟი შენარჩუნებული იქნებოდა, რადგან ეს ადამიანები სხვა სამინისტროში საკუთარი ნებით არ გადასულან</w:t>
      </w:r>
      <w:r w:rsidR="009E0E3F" w:rsidRPr="00CC241E">
        <w:rPr>
          <w:sz w:val="24"/>
          <w:szCs w:val="24"/>
          <w:lang w:val="ka-GE"/>
        </w:rPr>
        <w:t xml:space="preserve">. ეს გამოიწვია </w:t>
      </w:r>
      <w:r w:rsidR="00C670F6" w:rsidRPr="00CC241E">
        <w:rPr>
          <w:sz w:val="24"/>
          <w:szCs w:val="24"/>
          <w:lang w:val="ka-GE"/>
        </w:rPr>
        <w:t xml:space="preserve">რეფორმის შედეგად </w:t>
      </w:r>
      <w:r w:rsidR="009E0E3F" w:rsidRPr="00CC241E">
        <w:rPr>
          <w:sz w:val="24"/>
          <w:szCs w:val="24"/>
          <w:lang w:val="ka-GE"/>
        </w:rPr>
        <w:t xml:space="preserve">წარმოშობილმა </w:t>
      </w:r>
      <w:r w:rsidR="00C670F6" w:rsidRPr="00CC241E">
        <w:rPr>
          <w:sz w:val="24"/>
          <w:szCs w:val="24"/>
          <w:lang w:val="ka-GE"/>
        </w:rPr>
        <w:t xml:space="preserve">უწყებრივმა ცვლილებებმა. შესაბამისად, ამ პირებს ჰქონდათ წოდებისა და სტაჟის შენარჩუნების ლეგიტიმური მოლოდინი, </w:t>
      </w:r>
      <w:r w:rsidR="009E0E3F" w:rsidRPr="00CC241E">
        <w:rPr>
          <w:sz w:val="24"/>
          <w:szCs w:val="24"/>
          <w:lang w:val="ka-GE"/>
        </w:rPr>
        <w:t>ერთი უწყებიდან მეორეში რეფორმამდე გადასული პირებისაგან განსხვავებით</w:t>
      </w:r>
      <w:r w:rsidR="00C670F6" w:rsidRPr="00CC241E">
        <w:rPr>
          <w:sz w:val="24"/>
          <w:szCs w:val="24"/>
          <w:lang w:val="ka-GE"/>
        </w:rPr>
        <w:t xml:space="preserve">, </w:t>
      </w:r>
      <w:r w:rsidR="008D5675" w:rsidRPr="00CC241E">
        <w:rPr>
          <w:sz w:val="24"/>
          <w:szCs w:val="24"/>
          <w:lang w:val="ka-GE"/>
        </w:rPr>
        <w:t>რომელთ</w:t>
      </w:r>
      <w:r w:rsidR="00C670F6" w:rsidRPr="00CC241E">
        <w:rPr>
          <w:sz w:val="24"/>
          <w:szCs w:val="24"/>
          <w:lang w:val="ka-GE"/>
        </w:rPr>
        <w:t>აც ასეთი მოლოდინი ვერ ექნებოდა</w:t>
      </w:r>
      <w:r w:rsidR="008D5675" w:rsidRPr="00CC241E">
        <w:rPr>
          <w:sz w:val="24"/>
          <w:szCs w:val="24"/>
          <w:lang w:val="ka-GE"/>
        </w:rPr>
        <w:t>თ</w:t>
      </w:r>
      <w:r w:rsidR="00C670F6" w:rsidRPr="00CC241E">
        <w:rPr>
          <w:sz w:val="24"/>
          <w:szCs w:val="24"/>
          <w:lang w:val="ka-GE"/>
        </w:rPr>
        <w:t>.</w:t>
      </w:r>
    </w:p>
    <w:p w:rsidR="002075DB" w:rsidRPr="00CC241E" w:rsidRDefault="002075DB" w:rsidP="002E71AA">
      <w:pPr>
        <w:pStyle w:val="abzacixml"/>
        <w:numPr>
          <w:ilvl w:val="0"/>
          <w:numId w:val="1"/>
        </w:numPr>
        <w:spacing w:line="276" w:lineRule="auto"/>
        <w:ind w:left="0" w:firstLine="360"/>
        <w:rPr>
          <w:sz w:val="24"/>
          <w:szCs w:val="24"/>
          <w:lang w:val="ka-GE"/>
        </w:rPr>
      </w:pPr>
      <w:r w:rsidRPr="00CC241E">
        <w:rPr>
          <w:sz w:val="24"/>
          <w:szCs w:val="24"/>
          <w:lang w:val="ka-GE"/>
        </w:rPr>
        <w:t>ყოველივე ზემოაღნიშნულიდან გამომდინარე, მოპასუხე მხარე მიიჩნევს, რომ სადავო ნორმით დადგენილი განსხვავებული მოპყრობა სრულ შესაბამისობაშია საქართველოს კონსტიტუციის მე-14 მუხლთან.</w:t>
      </w:r>
    </w:p>
    <w:p w:rsidR="009E0E3F" w:rsidRPr="00CC241E" w:rsidRDefault="00A91C69" w:rsidP="002E71AA">
      <w:pPr>
        <w:numPr>
          <w:ilvl w:val="0"/>
          <w:numId w:val="1"/>
        </w:numPr>
        <w:spacing w:after="0" w:line="276" w:lineRule="auto"/>
        <w:ind w:left="0" w:firstLine="360"/>
        <w:contextualSpacing/>
        <w:jc w:val="both"/>
        <w:rPr>
          <w:rFonts w:ascii="Sylfaen" w:eastAsiaTheme="minorHAnsi" w:hAnsi="Sylfaen" w:cstheme="minorBidi"/>
          <w:sz w:val="24"/>
          <w:szCs w:val="24"/>
          <w:lang w:val="ka-GE"/>
        </w:rPr>
      </w:pPr>
      <w:r w:rsidRPr="00CC241E">
        <w:rPr>
          <w:rFonts w:ascii="Sylfaen" w:eastAsiaTheme="minorHAnsi" w:hAnsi="Sylfaen" w:cstheme="minorBidi"/>
          <w:sz w:val="24"/>
          <w:szCs w:val="24"/>
          <w:lang w:val="ka-GE"/>
        </w:rPr>
        <w:t xml:space="preserve">2017 წლის 16 ნოემბერს </w:t>
      </w:r>
      <w:r w:rsidR="009E0E3F" w:rsidRPr="00CC241E">
        <w:rPr>
          <w:rFonts w:ascii="Sylfaen" w:eastAsiaTheme="minorHAnsi" w:hAnsi="Sylfaen" w:cstheme="minorBidi"/>
          <w:sz w:val="24"/>
          <w:szCs w:val="24"/>
          <w:lang w:val="ka-GE"/>
        </w:rPr>
        <w:t xml:space="preserve">მოსარჩელე პაატა </w:t>
      </w:r>
      <w:r w:rsidRPr="00CC241E">
        <w:rPr>
          <w:rFonts w:ascii="Sylfaen" w:eastAsiaTheme="minorHAnsi" w:hAnsi="Sylfaen" w:cstheme="minorBidi"/>
          <w:sz w:val="24"/>
          <w:szCs w:val="24"/>
          <w:lang w:val="ka-GE"/>
        </w:rPr>
        <w:t>ბაკურაძის წარმომადგენელმა, გიორგი გოცირიძემ</w:t>
      </w:r>
      <w:r w:rsidR="009E0E3F" w:rsidRPr="00CC241E">
        <w:rPr>
          <w:rFonts w:ascii="Sylfaen" w:eastAsiaTheme="minorHAnsi" w:hAnsi="Sylfaen" w:cstheme="minorBidi"/>
          <w:sz w:val="24"/>
          <w:szCs w:val="24"/>
          <w:lang w:val="ka-GE"/>
        </w:rPr>
        <w:t xml:space="preserve"> </w:t>
      </w:r>
      <w:r w:rsidRPr="00CC241E">
        <w:rPr>
          <w:rFonts w:ascii="Sylfaen" w:eastAsiaTheme="minorHAnsi" w:hAnsi="Sylfaen" w:cstheme="minorBidi"/>
          <w:sz w:val="24"/>
          <w:szCs w:val="24"/>
          <w:lang w:val="ka-GE"/>
        </w:rPr>
        <w:t xml:space="preserve">მომართა </w:t>
      </w:r>
      <w:r w:rsidR="009E0E3F" w:rsidRPr="00CC241E">
        <w:rPr>
          <w:rFonts w:ascii="Sylfaen" w:eastAsiaTheme="minorHAnsi" w:hAnsi="Sylfaen" w:cstheme="minorBidi"/>
          <w:sz w:val="24"/>
          <w:szCs w:val="24"/>
          <w:lang w:val="ka-GE"/>
        </w:rPr>
        <w:t>საქართველოს საკონსტიტუციო სასამართლოს განცხადებით და უარი თქვა სასარჩელო მოთხოვნაზე.</w:t>
      </w:r>
    </w:p>
    <w:p w:rsidR="009E0E3F" w:rsidRPr="00CC241E" w:rsidRDefault="009E0E3F" w:rsidP="002E71AA">
      <w:pPr>
        <w:pStyle w:val="abzacixml"/>
        <w:spacing w:line="276" w:lineRule="auto"/>
        <w:ind w:left="720" w:firstLine="360"/>
        <w:rPr>
          <w:sz w:val="24"/>
          <w:szCs w:val="24"/>
          <w:lang w:val="ka-GE"/>
        </w:rPr>
      </w:pPr>
    </w:p>
    <w:p w:rsidR="003F6745" w:rsidRPr="00CC241E" w:rsidRDefault="003F6745" w:rsidP="002E71AA">
      <w:pPr>
        <w:spacing w:after="0" w:line="276" w:lineRule="auto"/>
        <w:ind w:firstLine="360"/>
        <w:jc w:val="center"/>
        <w:rPr>
          <w:rFonts w:ascii="Sylfaen" w:hAnsi="Sylfaen"/>
          <w:b/>
          <w:sz w:val="24"/>
          <w:szCs w:val="24"/>
          <w:lang w:val="ka-GE"/>
        </w:rPr>
      </w:pPr>
      <w:r w:rsidRPr="00CC241E">
        <w:rPr>
          <w:rFonts w:ascii="Sylfaen" w:hAnsi="Sylfaen"/>
          <w:b/>
          <w:sz w:val="24"/>
          <w:szCs w:val="24"/>
          <w:lang w:val="ka-GE"/>
        </w:rPr>
        <w:t>II</w:t>
      </w:r>
    </w:p>
    <w:p w:rsidR="003F6745" w:rsidRPr="00CC241E" w:rsidRDefault="003F6745" w:rsidP="002E71AA">
      <w:pPr>
        <w:pStyle w:val="Heading1"/>
        <w:tabs>
          <w:tab w:val="clear" w:pos="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360"/>
        <w:rPr>
          <w:b w:val="0"/>
          <w:lang w:val="ka-GE"/>
        </w:rPr>
      </w:pPr>
      <w:r w:rsidRPr="00CC241E">
        <w:rPr>
          <w:lang w:val="ka-GE"/>
        </w:rPr>
        <w:t>სამოტივაციო ნაწილი</w:t>
      </w:r>
    </w:p>
    <w:p w:rsidR="00B11F63" w:rsidRPr="00CC241E" w:rsidRDefault="00B11F63" w:rsidP="002E71AA">
      <w:pPr>
        <w:spacing w:after="0" w:line="276" w:lineRule="auto"/>
        <w:ind w:firstLine="360"/>
        <w:rPr>
          <w:rFonts w:ascii="Sylfaen" w:eastAsiaTheme="minorHAnsi" w:hAnsi="Sylfaen" w:cstheme="minorBidi"/>
          <w:sz w:val="24"/>
          <w:szCs w:val="24"/>
          <w:lang w:val="ka-GE"/>
        </w:rPr>
      </w:pPr>
    </w:p>
    <w:p w:rsidR="003F6745" w:rsidRPr="00CC241E" w:rsidRDefault="007965B2" w:rsidP="002E71AA">
      <w:pPr>
        <w:numPr>
          <w:ilvl w:val="0"/>
          <w:numId w:val="2"/>
        </w:numPr>
        <w:spacing w:after="0" w:line="276" w:lineRule="auto"/>
        <w:ind w:left="0" w:firstLine="360"/>
        <w:contextualSpacing/>
        <w:jc w:val="both"/>
        <w:rPr>
          <w:rFonts w:ascii="Sylfaen" w:eastAsiaTheme="minorHAnsi" w:hAnsi="Sylfaen" w:cstheme="minorBidi"/>
          <w:sz w:val="24"/>
          <w:szCs w:val="24"/>
          <w:lang w:val="ka-GE"/>
        </w:rPr>
      </w:pPr>
      <w:r w:rsidRPr="00CC241E">
        <w:rPr>
          <w:rFonts w:ascii="Sylfaen" w:eastAsiaTheme="minorHAnsi" w:hAnsi="Sylfaen" w:cstheme="minorBidi"/>
          <w:sz w:val="24"/>
          <w:szCs w:val="24"/>
          <w:lang w:val="ka-GE"/>
        </w:rPr>
        <w:t>„საკონსტიტუციო სამართალწარმოების შესახებ“ საქართველოს კანონის მე-13 მუხლის მე-2 პუნქტის</w:t>
      </w:r>
      <w:r w:rsidR="00013D2A" w:rsidRPr="00CC241E">
        <w:rPr>
          <w:rFonts w:ascii="Sylfaen" w:eastAsiaTheme="minorHAnsi" w:hAnsi="Sylfaen" w:cstheme="minorBidi"/>
          <w:sz w:val="24"/>
          <w:szCs w:val="24"/>
          <w:lang w:val="ka-GE"/>
        </w:rPr>
        <w:t xml:space="preserve"> </w:t>
      </w:r>
      <w:r w:rsidRPr="00CC241E">
        <w:rPr>
          <w:rFonts w:ascii="Sylfaen" w:eastAsiaTheme="minorHAnsi" w:hAnsi="Sylfaen" w:cstheme="minorBidi"/>
          <w:sz w:val="24"/>
          <w:szCs w:val="24"/>
          <w:lang w:val="ka-GE"/>
        </w:rPr>
        <w:t xml:space="preserve">მიხედვით, მოსარჩელეს უფლება აქვს, უარი თქვას სასარჩელო მოთხოვნაზე. </w:t>
      </w:r>
      <w:r w:rsidR="00D07AD7" w:rsidRPr="00CC241E">
        <w:rPr>
          <w:rFonts w:ascii="Sylfaen" w:eastAsiaTheme="minorHAnsi" w:hAnsi="Sylfaen" w:cstheme="minorBidi"/>
          <w:sz w:val="24"/>
          <w:szCs w:val="24"/>
          <w:lang w:val="ka-GE"/>
        </w:rPr>
        <w:t>ამავდროულად,</w:t>
      </w:r>
      <w:r w:rsidRPr="00CC241E">
        <w:rPr>
          <w:rFonts w:ascii="Sylfaen" w:eastAsiaTheme="minorHAnsi" w:hAnsi="Sylfaen" w:cstheme="minorBidi"/>
          <w:sz w:val="24"/>
          <w:szCs w:val="24"/>
          <w:lang w:val="ka-GE"/>
        </w:rPr>
        <w:t xml:space="preserve"> სასარჩელო მოთხოვნაზე უარის თქმა იწვევს საკონსტიტუციო სასამართლოში საქმის შეწყვეტას</w:t>
      </w:r>
      <w:r w:rsidR="00B11F63" w:rsidRPr="00CC241E">
        <w:rPr>
          <w:rFonts w:ascii="Sylfaen" w:eastAsiaTheme="minorHAnsi" w:hAnsi="Sylfaen" w:cstheme="minorBidi"/>
          <w:sz w:val="24"/>
          <w:szCs w:val="24"/>
          <w:lang w:val="ka-GE"/>
        </w:rPr>
        <w:t>.</w:t>
      </w:r>
    </w:p>
    <w:p w:rsidR="004814B3" w:rsidRPr="00CC241E" w:rsidRDefault="007965B2" w:rsidP="002E71AA">
      <w:pPr>
        <w:numPr>
          <w:ilvl w:val="0"/>
          <w:numId w:val="2"/>
        </w:numPr>
        <w:spacing w:after="0" w:line="276" w:lineRule="auto"/>
        <w:ind w:left="0" w:firstLine="360"/>
        <w:contextualSpacing/>
        <w:jc w:val="both"/>
        <w:rPr>
          <w:rFonts w:ascii="Sylfaen" w:eastAsiaTheme="minorHAnsi" w:hAnsi="Sylfaen" w:cstheme="minorBidi"/>
          <w:sz w:val="24"/>
          <w:szCs w:val="24"/>
          <w:lang w:val="ka-GE"/>
        </w:rPr>
      </w:pPr>
      <w:r w:rsidRPr="00CC241E">
        <w:rPr>
          <w:rFonts w:ascii="Sylfaen" w:eastAsiaTheme="minorHAnsi" w:hAnsi="Sylfaen" w:cstheme="minorBidi"/>
          <w:sz w:val="24"/>
          <w:szCs w:val="24"/>
          <w:lang w:val="ka-GE"/>
        </w:rPr>
        <w:t xml:space="preserve">მოსარჩელე </w:t>
      </w:r>
      <w:r w:rsidR="00CF23CB" w:rsidRPr="00CC241E">
        <w:rPr>
          <w:rFonts w:ascii="Sylfaen" w:eastAsiaTheme="minorHAnsi" w:hAnsi="Sylfaen" w:cstheme="minorBidi"/>
          <w:sz w:val="24"/>
          <w:szCs w:val="24"/>
          <w:lang w:val="ka-GE"/>
        </w:rPr>
        <w:t>მხარემ</w:t>
      </w:r>
      <w:r w:rsidRPr="00CC241E">
        <w:rPr>
          <w:rFonts w:ascii="Sylfaen" w:eastAsiaTheme="minorHAnsi" w:hAnsi="Sylfaen" w:cstheme="minorBidi"/>
          <w:sz w:val="24"/>
          <w:szCs w:val="24"/>
          <w:lang w:val="ka-GE"/>
        </w:rPr>
        <w:t xml:space="preserve"> 2017 წლის</w:t>
      </w:r>
      <w:r w:rsidR="008B5055" w:rsidRPr="00CC241E">
        <w:rPr>
          <w:rFonts w:ascii="Sylfaen" w:eastAsiaTheme="minorHAnsi" w:hAnsi="Sylfaen" w:cstheme="minorBidi"/>
          <w:sz w:val="24"/>
          <w:szCs w:val="24"/>
          <w:lang w:val="ka-GE"/>
        </w:rPr>
        <w:t xml:space="preserve"> 16 </w:t>
      </w:r>
      <w:r w:rsidR="00372B89" w:rsidRPr="00CC241E">
        <w:rPr>
          <w:rFonts w:ascii="Sylfaen" w:eastAsiaTheme="minorHAnsi" w:hAnsi="Sylfaen" w:cstheme="minorBidi"/>
          <w:sz w:val="24"/>
          <w:szCs w:val="24"/>
          <w:lang w:val="ka-GE"/>
        </w:rPr>
        <w:t>ნოემბ</w:t>
      </w:r>
      <w:r w:rsidR="008B5055" w:rsidRPr="00CC241E">
        <w:rPr>
          <w:rFonts w:ascii="Sylfaen" w:eastAsiaTheme="minorHAnsi" w:hAnsi="Sylfaen" w:cstheme="minorBidi"/>
          <w:sz w:val="24"/>
          <w:szCs w:val="24"/>
          <w:lang w:val="ka-GE"/>
        </w:rPr>
        <w:t>რ</w:t>
      </w:r>
      <w:r w:rsidR="00372B89" w:rsidRPr="00CC241E">
        <w:rPr>
          <w:rFonts w:ascii="Sylfaen" w:eastAsiaTheme="minorHAnsi" w:hAnsi="Sylfaen" w:cstheme="minorBidi"/>
          <w:sz w:val="24"/>
          <w:szCs w:val="24"/>
          <w:lang w:val="ka-GE"/>
        </w:rPr>
        <w:t>ი</w:t>
      </w:r>
      <w:r w:rsidR="008B5055" w:rsidRPr="00CC241E">
        <w:rPr>
          <w:rFonts w:ascii="Sylfaen" w:eastAsiaTheme="minorHAnsi" w:hAnsi="Sylfaen" w:cstheme="minorBidi"/>
          <w:sz w:val="24"/>
          <w:szCs w:val="24"/>
          <w:lang w:val="ka-GE"/>
        </w:rPr>
        <w:t>ს</w:t>
      </w:r>
      <w:r w:rsidRPr="00CC241E">
        <w:rPr>
          <w:rFonts w:ascii="Sylfaen" w:eastAsiaTheme="minorHAnsi" w:hAnsi="Sylfaen" w:cstheme="minorBidi"/>
          <w:sz w:val="24"/>
          <w:szCs w:val="24"/>
          <w:lang w:val="ka-GE"/>
        </w:rPr>
        <w:t xml:space="preserve"> </w:t>
      </w:r>
      <w:r w:rsidR="00372B89" w:rsidRPr="00CC241E">
        <w:rPr>
          <w:rFonts w:ascii="Sylfaen" w:eastAsiaTheme="minorHAnsi" w:hAnsi="Sylfaen" w:cstheme="minorBidi"/>
          <w:sz w:val="24"/>
          <w:szCs w:val="24"/>
          <w:lang w:val="ka-GE"/>
        </w:rPr>
        <w:t xml:space="preserve">განცხადებით </w:t>
      </w:r>
      <w:r w:rsidRPr="00CC241E">
        <w:rPr>
          <w:rFonts w:ascii="Sylfaen" w:eastAsiaTheme="minorHAnsi" w:hAnsi="Sylfaen" w:cstheme="minorBidi"/>
          <w:sz w:val="24"/>
          <w:szCs w:val="24"/>
          <w:lang w:val="ka-GE"/>
        </w:rPr>
        <w:t>უარი თქვა სასარჩელო მოთხოვნაზე.</w:t>
      </w:r>
      <w:r w:rsidR="00CF23CB" w:rsidRPr="00CC241E">
        <w:rPr>
          <w:rFonts w:ascii="Sylfaen" w:eastAsiaTheme="minorHAnsi" w:hAnsi="Sylfaen" w:cstheme="minorBidi"/>
          <w:sz w:val="24"/>
          <w:szCs w:val="24"/>
          <w:lang w:val="ka-GE"/>
        </w:rPr>
        <w:t xml:space="preserve"> </w:t>
      </w:r>
      <w:r w:rsidR="004814B3" w:rsidRPr="00CC241E">
        <w:rPr>
          <w:rFonts w:ascii="Sylfaen" w:eastAsiaTheme="minorHAnsi" w:hAnsi="Sylfaen" w:cstheme="minorBidi"/>
          <w:sz w:val="24"/>
          <w:szCs w:val="24"/>
          <w:lang w:val="ka-GE"/>
        </w:rPr>
        <w:t>აღნიშნულიდან გამომდინარე, „საკონსტიტუციო სამართალწარმოების შესახებ“</w:t>
      </w:r>
      <w:r w:rsidR="00013D2A" w:rsidRPr="00CC241E">
        <w:rPr>
          <w:rFonts w:ascii="Sylfaen" w:eastAsiaTheme="minorHAnsi" w:hAnsi="Sylfaen" w:cstheme="minorBidi"/>
          <w:sz w:val="24"/>
          <w:szCs w:val="24"/>
          <w:lang w:val="ka-GE"/>
        </w:rPr>
        <w:t xml:space="preserve"> </w:t>
      </w:r>
      <w:r w:rsidR="004814B3" w:rsidRPr="00CC241E">
        <w:rPr>
          <w:rFonts w:ascii="Sylfaen" w:eastAsiaTheme="minorHAnsi" w:hAnsi="Sylfaen" w:cstheme="minorBidi"/>
          <w:sz w:val="24"/>
          <w:szCs w:val="24"/>
          <w:lang w:val="ka-GE"/>
        </w:rPr>
        <w:t xml:space="preserve">საქართველოს კანონის მე-13 მუხლის მე-2 პუნქტზე დაყრდნობით, </w:t>
      </w:r>
      <w:r w:rsidR="00D14BFC" w:rsidRPr="00CC241E">
        <w:rPr>
          <w:rFonts w:ascii="Sylfaen" w:eastAsiaTheme="minorHAnsi" w:hAnsi="Sylfaen" w:cstheme="minorBidi"/>
          <w:sz w:val="24"/>
          <w:szCs w:val="24"/>
          <w:lang w:val="ka-GE"/>
        </w:rPr>
        <w:t xml:space="preserve">№852 კონსტიტუციურ სარჩელზე </w:t>
      </w:r>
      <w:r w:rsidR="00CA5D60" w:rsidRPr="00CC241E">
        <w:rPr>
          <w:rFonts w:ascii="Sylfaen" w:eastAsiaTheme="minorHAnsi" w:hAnsi="Sylfaen" w:cstheme="minorBidi"/>
          <w:sz w:val="24"/>
          <w:szCs w:val="24"/>
          <w:lang w:val="ka-GE"/>
        </w:rPr>
        <w:t>უნდა შეწყდეს საქმე.</w:t>
      </w:r>
    </w:p>
    <w:p w:rsidR="00AA6253" w:rsidRPr="00CC241E" w:rsidRDefault="00AA6253" w:rsidP="002E71AA">
      <w:pPr>
        <w:spacing w:after="0" w:line="276" w:lineRule="auto"/>
        <w:ind w:firstLine="360"/>
        <w:rPr>
          <w:rFonts w:ascii="Sylfaen" w:hAnsi="Sylfaen"/>
          <w:sz w:val="24"/>
          <w:szCs w:val="24"/>
          <w:lang w:val="ka-GE"/>
        </w:rPr>
      </w:pPr>
    </w:p>
    <w:p w:rsidR="004814B3" w:rsidRPr="00CC241E" w:rsidRDefault="004814B3" w:rsidP="002E71AA">
      <w:pPr>
        <w:spacing w:after="0" w:line="276" w:lineRule="auto"/>
        <w:ind w:firstLine="360"/>
        <w:jc w:val="center"/>
        <w:rPr>
          <w:rFonts w:ascii="Sylfaen" w:hAnsi="Sylfaen"/>
          <w:b/>
          <w:noProof/>
          <w:sz w:val="24"/>
          <w:szCs w:val="24"/>
          <w:lang w:val="ka-GE"/>
        </w:rPr>
      </w:pPr>
      <w:r w:rsidRPr="00CC241E">
        <w:rPr>
          <w:rFonts w:ascii="Sylfaen" w:hAnsi="Sylfaen"/>
          <w:b/>
          <w:noProof/>
          <w:sz w:val="24"/>
          <w:szCs w:val="24"/>
          <w:lang w:val="ka-GE"/>
        </w:rPr>
        <w:t xml:space="preserve">III </w:t>
      </w:r>
    </w:p>
    <w:p w:rsidR="004814B3" w:rsidRPr="00CC241E" w:rsidRDefault="004814B3" w:rsidP="002E71AA">
      <w:pPr>
        <w:pStyle w:val="Heading1"/>
        <w:tabs>
          <w:tab w:val="clear" w:pos="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360"/>
        <w:rPr>
          <w:noProof/>
          <w:lang w:val="ka-GE"/>
        </w:rPr>
      </w:pPr>
      <w:r w:rsidRPr="00CC241E">
        <w:rPr>
          <w:noProof/>
          <w:lang w:val="ka-GE"/>
        </w:rPr>
        <w:t>სარეზოლუციო ნაწილი</w:t>
      </w:r>
    </w:p>
    <w:p w:rsidR="004814B3" w:rsidRPr="00CC241E" w:rsidRDefault="004814B3" w:rsidP="002E71AA">
      <w:pPr>
        <w:spacing w:after="0" w:line="276" w:lineRule="auto"/>
        <w:ind w:firstLine="360"/>
        <w:rPr>
          <w:rFonts w:ascii="Sylfaen" w:hAnsi="Sylfaen"/>
          <w:noProof/>
          <w:sz w:val="24"/>
          <w:szCs w:val="24"/>
          <w:lang w:val="ka-GE"/>
        </w:rPr>
      </w:pPr>
    </w:p>
    <w:p w:rsidR="004814B3" w:rsidRPr="00CC241E" w:rsidRDefault="004814B3" w:rsidP="002E71AA">
      <w:pPr>
        <w:spacing w:after="0" w:line="276" w:lineRule="auto"/>
        <w:ind w:firstLine="360"/>
        <w:jc w:val="both"/>
        <w:rPr>
          <w:rFonts w:ascii="Sylfaen" w:hAnsi="Sylfaen" w:cs="Sylfaen"/>
          <w:sz w:val="24"/>
          <w:szCs w:val="24"/>
          <w:lang w:val="ka-GE"/>
        </w:rPr>
      </w:pPr>
      <w:r w:rsidRPr="00CC241E">
        <w:rPr>
          <w:rFonts w:ascii="Sylfaen" w:hAnsi="Sylfaen" w:cs="Sylfaen"/>
          <w:sz w:val="24"/>
          <w:szCs w:val="24"/>
          <w:lang w:val="ka-GE"/>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w:t>
      </w:r>
      <w:r w:rsidR="00632446" w:rsidRPr="00CC241E">
        <w:rPr>
          <w:rFonts w:ascii="Sylfaen" w:hAnsi="Sylfaen" w:cs="Sylfaen"/>
          <w:sz w:val="24"/>
          <w:szCs w:val="24"/>
          <w:lang w:val="ka-GE"/>
        </w:rPr>
        <w:t xml:space="preserve">მე-2 </w:t>
      </w:r>
      <w:r w:rsidRPr="00CC241E">
        <w:rPr>
          <w:rFonts w:ascii="Sylfaen" w:hAnsi="Sylfaen" w:cs="Sylfaen"/>
          <w:sz w:val="24"/>
          <w:szCs w:val="24"/>
          <w:lang w:val="ka-GE"/>
        </w:rPr>
        <w:t xml:space="preserve">პუნქტის, 39-ე მუხლის პირველი პუნქტის „ა“ ქვეპუნქტის, 43-ე მუხლის პირველი, </w:t>
      </w:r>
      <w:r w:rsidRPr="00CC241E">
        <w:rPr>
          <w:rFonts w:ascii="Sylfaen" w:hAnsi="Sylfaen"/>
          <w:sz w:val="24"/>
          <w:szCs w:val="24"/>
          <w:lang w:val="ka-GE"/>
        </w:rPr>
        <w:t>მე-2, მე-7, მე-8, მე-10 და მე-13 პუნქტების</w:t>
      </w:r>
      <w:r w:rsidR="0020390E" w:rsidRPr="00CC241E">
        <w:rPr>
          <w:rFonts w:ascii="Sylfaen" w:hAnsi="Sylfaen"/>
          <w:sz w:val="24"/>
          <w:szCs w:val="24"/>
          <w:lang w:val="ka-GE"/>
        </w:rPr>
        <w:t xml:space="preserve">, </w:t>
      </w:r>
      <w:r w:rsidRPr="00CC241E">
        <w:rPr>
          <w:rFonts w:ascii="Sylfaen" w:hAnsi="Sylfaen" w:cs="Sylfaen"/>
          <w:sz w:val="24"/>
          <w:szCs w:val="24"/>
          <w:lang w:val="ka-GE"/>
        </w:rPr>
        <w:t>„საკონსტიტუციო სამართალწარმოების შესახებ“ საქართველოს კანონის მე-13 მუხლის მე-2 პუნქტის საფუძველზე,</w:t>
      </w:r>
    </w:p>
    <w:p w:rsidR="004814B3" w:rsidRPr="00CC241E" w:rsidRDefault="004814B3" w:rsidP="002E71AA">
      <w:pPr>
        <w:spacing w:after="0" w:line="276" w:lineRule="auto"/>
        <w:ind w:firstLine="360"/>
        <w:jc w:val="both"/>
        <w:rPr>
          <w:rFonts w:ascii="Sylfaen" w:hAnsi="Sylfaen" w:cs="Sylfaen"/>
          <w:sz w:val="24"/>
          <w:szCs w:val="24"/>
          <w:lang w:val="ka-GE"/>
        </w:rPr>
      </w:pPr>
    </w:p>
    <w:p w:rsidR="004814B3" w:rsidRPr="00CC241E" w:rsidRDefault="004814B3" w:rsidP="002E71AA">
      <w:pPr>
        <w:tabs>
          <w:tab w:val="left" w:pos="900"/>
        </w:tabs>
        <w:spacing w:after="0" w:line="276" w:lineRule="auto"/>
        <w:ind w:firstLine="360"/>
        <w:jc w:val="center"/>
        <w:rPr>
          <w:rFonts w:ascii="Sylfaen" w:hAnsi="Sylfaen"/>
          <w:b/>
          <w:sz w:val="24"/>
          <w:szCs w:val="24"/>
          <w:lang w:val="ka-GE"/>
        </w:rPr>
      </w:pPr>
    </w:p>
    <w:p w:rsidR="004814B3" w:rsidRPr="00CC241E" w:rsidRDefault="004814B3" w:rsidP="002E71AA">
      <w:pPr>
        <w:tabs>
          <w:tab w:val="left" w:pos="900"/>
        </w:tabs>
        <w:spacing w:after="0" w:line="276" w:lineRule="auto"/>
        <w:ind w:firstLine="360"/>
        <w:jc w:val="center"/>
        <w:rPr>
          <w:rFonts w:ascii="Sylfaen" w:hAnsi="Sylfaen"/>
          <w:b/>
          <w:sz w:val="24"/>
          <w:szCs w:val="24"/>
          <w:lang w:val="ka-GE"/>
        </w:rPr>
      </w:pPr>
    </w:p>
    <w:p w:rsidR="004814B3" w:rsidRPr="00CC241E" w:rsidRDefault="004814B3" w:rsidP="002E71AA">
      <w:pPr>
        <w:spacing w:after="0" w:line="276" w:lineRule="auto"/>
        <w:ind w:firstLine="360"/>
        <w:jc w:val="center"/>
        <w:rPr>
          <w:rFonts w:ascii="Sylfaen" w:hAnsi="Sylfaen"/>
          <w:b/>
          <w:sz w:val="24"/>
          <w:szCs w:val="24"/>
          <w:lang w:val="ka-GE"/>
        </w:rPr>
      </w:pPr>
      <w:r w:rsidRPr="00CC241E">
        <w:rPr>
          <w:rFonts w:ascii="Sylfaen" w:hAnsi="Sylfaen"/>
          <w:b/>
          <w:sz w:val="24"/>
          <w:szCs w:val="24"/>
          <w:lang w:val="ka-GE"/>
        </w:rPr>
        <w:t>საქართველოს საკონსტიტუციო სასამართლო</w:t>
      </w:r>
    </w:p>
    <w:p w:rsidR="004814B3" w:rsidRPr="00CC241E" w:rsidRDefault="004814B3" w:rsidP="002E71AA">
      <w:pPr>
        <w:spacing w:after="0" w:line="276" w:lineRule="auto"/>
        <w:ind w:firstLine="360"/>
        <w:jc w:val="center"/>
        <w:rPr>
          <w:rFonts w:ascii="Sylfaen" w:hAnsi="Sylfaen"/>
          <w:b/>
          <w:sz w:val="24"/>
          <w:szCs w:val="24"/>
          <w:lang w:val="ka-GE"/>
        </w:rPr>
      </w:pPr>
      <w:r w:rsidRPr="00CC241E">
        <w:rPr>
          <w:rFonts w:ascii="Sylfaen" w:hAnsi="Sylfaen"/>
          <w:b/>
          <w:sz w:val="24"/>
          <w:szCs w:val="24"/>
          <w:lang w:val="ka-GE"/>
        </w:rPr>
        <w:t>ა დ გ ე ნ ს:</w:t>
      </w:r>
    </w:p>
    <w:p w:rsidR="004814B3" w:rsidRPr="00CC241E" w:rsidRDefault="004814B3" w:rsidP="002E71AA">
      <w:pPr>
        <w:spacing w:after="0" w:line="276" w:lineRule="auto"/>
        <w:ind w:firstLine="360"/>
        <w:jc w:val="center"/>
        <w:rPr>
          <w:rFonts w:ascii="Sylfaen" w:hAnsi="Sylfaen"/>
          <w:b/>
          <w:sz w:val="24"/>
          <w:szCs w:val="24"/>
          <w:lang w:val="ka-GE"/>
        </w:rPr>
      </w:pPr>
    </w:p>
    <w:p w:rsidR="004814B3" w:rsidRPr="00CC241E" w:rsidRDefault="004814B3" w:rsidP="002E71AA">
      <w:pPr>
        <w:pStyle w:val="ListParagraph"/>
        <w:numPr>
          <w:ilvl w:val="0"/>
          <w:numId w:val="3"/>
        </w:numPr>
        <w:spacing w:after="0"/>
        <w:ind w:left="0" w:right="9" w:firstLine="360"/>
        <w:jc w:val="both"/>
        <w:rPr>
          <w:rFonts w:ascii="Sylfaen" w:hAnsi="Sylfaen"/>
          <w:sz w:val="24"/>
          <w:szCs w:val="24"/>
          <w:lang w:val="ka-GE"/>
        </w:rPr>
      </w:pPr>
      <w:r w:rsidRPr="00CC241E">
        <w:rPr>
          <w:rFonts w:ascii="Sylfaen" w:hAnsi="Sylfaen"/>
          <w:sz w:val="24"/>
          <w:szCs w:val="24"/>
          <w:lang w:val="ka-GE"/>
        </w:rPr>
        <w:t xml:space="preserve">შეწყდეს </w:t>
      </w:r>
      <w:r w:rsidR="009E0E3F" w:rsidRPr="00CC241E">
        <w:rPr>
          <w:rFonts w:ascii="Sylfaen" w:hAnsi="Sylfaen"/>
          <w:sz w:val="24"/>
          <w:szCs w:val="24"/>
          <w:lang w:val="ka-GE"/>
        </w:rPr>
        <w:t xml:space="preserve">საქმე </w:t>
      </w:r>
      <w:r w:rsidR="00615617" w:rsidRPr="00CC241E">
        <w:rPr>
          <w:rFonts w:ascii="Sylfaen" w:hAnsi="Sylfaen"/>
          <w:sz w:val="24"/>
          <w:szCs w:val="24"/>
          <w:lang w:val="ka-GE"/>
        </w:rPr>
        <w:t>№852</w:t>
      </w:r>
      <w:r w:rsidRPr="00CC241E">
        <w:rPr>
          <w:rFonts w:ascii="Sylfaen" w:hAnsi="Sylfaen"/>
          <w:sz w:val="24"/>
          <w:szCs w:val="24"/>
          <w:lang w:val="ka-GE"/>
        </w:rPr>
        <w:t xml:space="preserve"> კონსტიტუციურ სარჩელზე („საქართველოს მოქალაქე </w:t>
      </w:r>
      <w:r w:rsidR="00615617" w:rsidRPr="00CC241E">
        <w:rPr>
          <w:rFonts w:ascii="Sylfaen" w:hAnsi="Sylfaen"/>
          <w:sz w:val="24"/>
          <w:szCs w:val="24"/>
          <w:lang w:val="ka-GE"/>
        </w:rPr>
        <w:t>პაატა ბაკურაძე</w:t>
      </w:r>
      <w:r w:rsidRPr="00CC241E">
        <w:rPr>
          <w:rFonts w:ascii="Sylfaen" w:hAnsi="Sylfaen"/>
          <w:sz w:val="24"/>
          <w:szCs w:val="24"/>
          <w:lang w:val="ka-GE"/>
        </w:rPr>
        <w:t xml:space="preserve"> საქართველოს პარლამენტის წინააღმდეგ“).</w:t>
      </w:r>
    </w:p>
    <w:p w:rsidR="004814B3" w:rsidRPr="00CC241E" w:rsidRDefault="004814B3" w:rsidP="002E71AA">
      <w:pPr>
        <w:pStyle w:val="ListParagraph"/>
        <w:numPr>
          <w:ilvl w:val="0"/>
          <w:numId w:val="3"/>
        </w:numPr>
        <w:spacing w:after="0"/>
        <w:ind w:left="0" w:right="9" w:firstLine="360"/>
        <w:jc w:val="both"/>
        <w:rPr>
          <w:rFonts w:ascii="Sylfaen" w:hAnsi="Sylfaen"/>
          <w:sz w:val="24"/>
          <w:szCs w:val="24"/>
          <w:lang w:val="ka-GE"/>
        </w:rPr>
      </w:pPr>
      <w:r w:rsidRPr="00CC241E">
        <w:rPr>
          <w:rFonts w:ascii="Sylfaen" w:hAnsi="Sylfaen" w:cs="Sylfaen"/>
          <w:sz w:val="24"/>
          <w:szCs w:val="24"/>
          <w:lang w:val="ka-GE"/>
        </w:rPr>
        <w:t>განჩინება</w:t>
      </w:r>
      <w:r w:rsidRPr="00CC241E">
        <w:rPr>
          <w:rFonts w:ascii="Sylfaen" w:hAnsi="Sylfaen" w:cs="Calibri"/>
          <w:sz w:val="24"/>
          <w:szCs w:val="24"/>
          <w:lang w:val="ka-GE"/>
        </w:rPr>
        <w:t xml:space="preserve"> </w:t>
      </w:r>
      <w:r w:rsidRPr="00CC241E">
        <w:rPr>
          <w:rFonts w:ascii="Sylfaen" w:hAnsi="Sylfaen" w:cs="Sylfaen"/>
          <w:sz w:val="24"/>
          <w:szCs w:val="24"/>
          <w:lang w:val="ka-GE"/>
        </w:rPr>
        <w:t>საბოლოოა</w:t>
      </w:r>
      <w:r w:rsidRPr="00CC241E">
        <w:rPr>
          <w:rFonts w:ascii="Sylfaen" w:hAnsi="Sylfaen" w:cs="Calibri"/>
          <w:sz w:val="24"/>
          <w:szCs w:val="24"/>
          <w:lang w:val="ka-GE"/>
        </w:rPr>
        <w:t xml:space="preserve"> </w:t>
      </w:r>
      <w:r w:rsidRPr="00CC241E">
        <w:rPr>
          <w:rFonts w:ascii="Sylfaen" w:hAnsi="Sylfaen" w:cs="Sylfaen"/>
          <w:sz w:val="24"/>
          <w:szCs w:val="24"/>
          <w:lang w:val="ka-GE"/>
        </w:rPr>
        <w:t>და</w:t>
      </w:r>
      <w:r w:rsidRPr="00CC241E">
        <w:rPr>
          <w:rFonts w:ascii="Sylfaen" w:hAnsi="Sylfaen" w:cs="Calibri"/>
          <w:sz w:val="24"/>
          <w:szCs w:val="24"/>
          <w:lang w:val="ka-GE"/>
        </w:rPr>
        <w:t xml:space="preserve"> </w:t>
      </w:r>
      <w:r w:rsidRPr="00CC241E">
        <w:rPr>
          <w:rFonts w:ascii="Sylfaen" w:hAnsi="Sylfaen" w:cs="Sylfaen"/>
          <w:sz w:val="24"/>
          <w:szCs w:val="24"/>
          <w:lang w:val="ka-GE"/>
        </w:rPr>
        <w:t>გასაჩივრებას</w:t>
      </w:r>
      <w:r w:rsidRPr="00CC241E">
        <w:rPr>
          <w:rFonts w:ascii="Sylfaen" w:hAnsi="Sylfaen" w:cs="Calibri"/>
          <w:sz w:val="24"/>
          <w:szCs w:val="24"/>
          <w:lang w:val="ka-GE"/>
        </w:rPr>
        <w:t xml:space="preserve"> </w:t>
      </w:r>
      <w:r w:rsidRPr="00CC241E">
        <w:rPr>
          <w:rFonts w:ascii="Sylfaen" w:hAnsi="Sylfaen" w:cs="Sylfaen"/>
          <w:sz w:val="24"/>
          <w:szCs w:val="24"/>
          <w:lang w:val="ka-GE"/>
        </w:rPr>
        <w:t>ან</w:t>
      </w:r>
      <w:r w:rsidRPr="00CC241E">
        <w:rPr>
          <w:rFonts w:ascii="Sylfaen" w:hAnsi="Sylfaen" w:cs="Calibri"/>
          <w:sz w:val="24"/>
          <w:szCs w:val="24"/>
          <w:lang w:val="ka-GE"/>
        </w:rPr>
        <w:t xml:space="preserve"> </w:t>
      </w:r>
      <w:r w:rsidRPr="00CC241E">
        <w:rPr>
          <w:rFonts w:ascii="Sylfaen" w:hAnsi="Sylfaen" w:cs="Sylfaen"/>
          <w:sz w:val="24"/>
          <w:szCs w:val="24"/>
          <w:lang w:val="ka-GE"/>
        </w:rPr>
        <w:t>გადასინჯვას</w:t>
      </w:r>
      <w:r w:rsidRPr="00CC241E">
        <w:rPr>
          <w:rFonts w:ascii="Sylfaen" w:hAnsi="Sylfaen" w:cs="Calibri"/>
          <w:sz w:val="24"/>
          <w:szCs w:val="24"/>
          <w:lang w:val="ka-GE"/>
        </w:rPr>
        <w:t xml:space="preserve"> </w:t>
      </w:r>
      <w:r w:rsidRPr="00CC241E">
        <w:rPr>
          <w:rFonts w:ascii="Sylfaen" w:hAnsi="Sylfaen" w:cs="Sylfaen"/>
          <w:sz w:val="24"/>
          <w:szCs w:val="24"/>
          <w:lang w:val="ka-GE"/>
        </w:rPr>
        <w:t>არ</w:t>
      </w:r>
      <w:r w:rsidRPr="00CC241E">
        <w:rPr>
          <w:rFonts w:ascii="Sylfaen" w:hAnsi="Sylfaen" w:cs="Calibri"/>
          <w:sz w:val="24"/>
          <w:szCs w:val="24"/>
          <w:lang w:val="ka-GE"/>
        </w:rPr>
        <w:t xml:space="preserve"> </w:t>
      </w:r>
      <w:r w:rsidRPr="00CC241E">
        <w:rPr>
          <w:rFonts w:ascii="Sylfaen" w:hAnsi="Sylfaen" w:cs="Sylfaen"/>
          <w:sz w:val="24"/>
          <w:szCs w:val="24"/>
          <w:lang w:val="ka-GE"/>
        </w:rPr>
        <w:t>ექვემდებარება</w:t>
      </w:r>
      <w:r w:rsidRPr="00CC241E">
        <w:rPr>
          <w:rFonts w:ascii="Sylfaen" w:hAnsi="Sylfaen" w:cs="Calibri"/>
          <w:sz w:val="24"/>
          <w:szCs w:val="24"/>
          <w:lang w:val="ka-GE"/>
        </w:rPr>
        <w:t xml:space="preserve">. </w:t>
      </w:r>
    </w:p>
    <w:p w:rsidR="004814B3" w:rsidRPr="00CC241E" w:rsidRDefault="004814B3" w:rsidP="002E71AA">
      <w:pPr>
        <w:pStyle w:val="ListParagraph"/>
        <w:numPr>
          <w:ilvl w:val="0"/>
          <w:numId w:val="3"/>
        </w:numPr>
        <w:spacing w:after="0"/>
        <w:ind w:left="0" w:firstLine="360"/>
        <w:jc w:val="both"/>
        <w:rPr>
          <w:rFonts w:ascii="Sylfaen" w:eastAsiaTheme="minorHAnsi" w:hAnsi="Sylfaen" w:cstheme="minorBidi"/>
          <w:sz w:val="24"/>
          <w:szCs w:val="24"/>
          <w:lang w:val="ka-GE"/>
        </w:rPr>
      </w:pPr>
      <w:r w:rsidRPr="00CC241E">
        <w:rPr>
          <w:rFonts w:ascii="Sylfaen" w:hAnsi="Sylfaen" w:cs="Sylfaen"/>
          <w:sz w:val="24"/>
          <w:szCs w:val="24"/>
          <w:lang w:val="ka-GE"/>
        </w:rPr>
        <w:t>განჩინება</w:t>
      </w:r>
      <w:r w:rsidRPr="00CC241E">
        <w:rPr>
          <w:rFonts w:ascii="Sylfaen" w:hAnsi="Sylfaen"/>
          <w:sz w:val="24"/>
          <w:szCs w:val="24"/>
          <w:lang w:val="ka-GE"/>
        </w:rPr>
        <w:t xml:space="preserve"> </w:t>
      </w:r>
      <w:r w:rsidRPr="00CC241E">
        <w:rPr>
          <w:rFonts w:ascii="Sylfaen" w:hAnsi="Sylfaen" w:cs="Sylfaen"/>
          <w:sz w:val="24"/>
          <w:szCs w:val="24"/>
          <w:lang w:val="ka-GE"/>
        </w:rPr>
        <w:t>გამოქვეყნდეს</w:t>
      </w:r>
      <w:r w:rsidRPr="00CC241E">
        <w:rPr>
          <w:rFonts w:ascii="Sylfaen" w:hAnsi="Sylfaen"/>
          <w:sz w:val="24"/>
          <w:szCs w:val="24"/>
          <w:lang w:val="ka-GE"/>
        </w:rPr>
        <w:t xml:space="preserve"> </w:t>
      </w:r>
      <w:r w:rsidRPr="00CC241E">
        <w:rPr>
          <w:rFonts w:ascii="Sylfaen" w:hAnsi="Sylfaen" w:cs="Sylfaen"/>
          <w:sz w:val="24"/>
          <w:szCs w:val="24"/>
          <w:lang w:val="ka-GE"/>
        </w:rPr>
        <w:t>საქა</w:t>
      </w:r>
      <w:r w:rsidRPr="00CC241E">
        <w:rPr>
          <w:rFonts w:ascii="Sylfaen" w:hAnsi="Sylfaen"/>
          <w:sz w:val="24"/>
          <w:szCs w:val="24"/>
          <w:lang w:val="ka-GE"/>
        </w:rPr>
        <w:t>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ED5F9C" w:rsidRPr="00CC241E" w:rsidRDefault="00ED5F9C" w:rsidP="002E71AA">
      <w:pPr>
        <w:spacing w:after="0" w:line="276" w:lineRule="auto"/>
        <w:ind w:firstLine="360"/>
        <w:jc w:val="both"/>
        <w:rPr>
          <w:rFonts w:ascii="Sylfaen" w:eastAsiaTheme="minorHAnsi" w:hAnsi="Sylfaen" w:cstheme="minorBidi"/>
          <w:sz w:val="24"/>
          <w:szCs w:val="24"/>
          <w:lang w:val="ka-GE"/>
        </w:rPr>
      </w:pPr>
    </w:p>
    <w:p w:rsidR="00ED5F9C" w:rsidRPr="00CC241E" w:rsidRDefault="00ED5F9C" w:rsidP="002E71AA">
      <w:pPr>
        <w:spacing w:after="0" w:line="276" w:lineRule="auto"/>
        <w:ind w:firstLine="360"/>
        <w:jc w:val="both"/>
        <w:rPr>
          <w:rFonts w:ascii="Sylfaen" w:eastAsiaTheme="minorHAnsi" w:hAnsi="Sylfaen" w:cstheme="minorBidi"/>
          <w:sz w:val="24"/>
          <w:szCs w:val="24"/>
          <w:lang w:val="ka-GE"/>
        </w:rPr>
      </w:pPr>
    </w:p>
    <w:p w:rsidR="00ED5F9C" w:rsidRPr="00CC241E" w:rsidRDefault="00ED5F9C" w:rsidP="002E71AA">
      <w:pPr>
        <w:spacing w:after="0" w:line="276" w:lineRule="auto"/>
        <w:ind w:firstLine="360"/>
        <w:jc w:val="both"/>
        <w:rPr>
          <w:rFonts w:ascii="Sylfaen" w:eastAsiaTheme="minorHAnsi" w:hAnsi="Sylfaen" w:cstheme="minorBidi"/>
          <w:sz w:val="24"/>
          <w:szCs w:val="24"/>
          <w:lang w:val="ka-GE"/>
        </w:rPr>
      </w:pPr>
    </w:p>
    <w:p w:rsidR="00ED5F9C" w:rsidRPr="00CC241E" w:rsidRDefault="00ED5F9C" w:rsidP="002E71AA">
      <w:pPr>
        <w:spacing w:after="0" w:line="276" w:lineRule="auto"/>
        <w:ind w:firstLine="360"/>
        <w:jc w:val="both"/>
        <w:rPr>
          <w:rFonts w:ascii="Sylfaen" w:eastAsiaTheme="minorHAnsi" w:hAnsi="Sylfaen" w:cstheme="minorBidi"/>
          <w:b/>
          <w:sz w:val="24"/>
          <w:szCs w:val="24"/>
          <w:lang w:val="ka-GE"/>
        </w:rPr>
      </w:pPr>
      <w:r w:rsidRPr="00CC241E">
        <w:rPr>
          <w:rFonts w:ascii="Sylfaen" w:eastAsiaTheme="minorHAnsi" w:hAnsi="Sylfaen" w:cstheme="minorBidi"/>
          <w:b/>
          <w:sz w:val="24"/>
          <w:szCs w:val="24"/>
          <w:lang w:val="ka-GE"/>
        </w:rPr>
        <w:t>კოლეგიის შემადგენლობა:</w:t>
      </w:r>
    </w:p>
    <w:p w:rsidR="00ED5F9C" w:rsidRPr="00CC241E" w:rsidRDefault="00ED5F9C" w:rsidP="002E71AA">
      <w:pPr>
        <w:spacing w:after="0" w:line="276" w:lineRule="auto"/>
        <w:ind w:firstLine="360"/>
        <w:jc w:val="both"/>
        <w:rPr>
          <w:rFonts w:ascii="Sylfaen" w:eastAsiaTheme="minorHAnsi" w:hAnsi="Sylfaen" w:cstheme="minorBidi"/>
          <w:b/>
          <w:sz w:val="24"/>
          <w:szCs w:val="24"/>
          <w:lang w:val="ka-GE"/>
        </w:rPr>
      </w:pPr>
    </w:p>
    <w:p w:rsidR="00ED5F9C" w:rsidRDefault="00ED5F9C" w:rsidP="002E71AA">
      <w:pPr>
        <w:spacing w:after="0" w:line="276" w:lineRule="auto"/>
        <w:ind w:firstLine="360"/>
        <w:jc w:val="both"/>
        <w:rPr>
          <w:rFonts w:ascii="Sylfaen" w:eastAsiaTheme="minorHAnsi" w:hAnsi="Sylfaen" w:cstheme="minorBidi"/>
          <w:sz w:val="24"/>
          <w:szCs w:val="24"/>
          <w:lang w:val="ka-GE"/>
        </w:rPr>
      </w:pPr>
      <w:r w:rsidRPr="00CC241E">
        <w:rPr>
          <w:rFonts w:ascii="Sylfaen" w:eastAsiaTheme="minorHAnsi" w:hAnsi="Sylfaen" w:cstheme="minorBidi"/>
          <w:sz w:val="24"/>
          <w:szCs w:val="24"/>
          <w:lang w:val="ka-GE"/>
        </w:rPr>
        <w:t>თეიმურაზ ტუღუში</w:t>
      </w:r>
    </w:p>
    <w:p w:rsidR="002E71AA" w:rsidRPr="00CC241E" w:rsidRDefault="002E71AA" w:rsidP="002E71AA">
      <w:pPr>
        <w:spacing w:after="0" w:line="276" w:lineRule="auto"/>
        <w:ind w:firstLine="360"/>
        <w:jc w:val="both"/>
        <w:rPr>
          <w:rFonts w:ascii="Sylfaen" w:eastAsiaTheme="minorHAnsi" w:hAnsi="Sylfaen" w:cstheme="minorBidi"/>
          <w:sz w:val="24"/>
          <w:szCs w:val="24"/>
          <w:lang w:val="ka-GE"/>
        </w:rPr>
      </w:pPr>
    </w:p>
    <w:p w:rsidR="00ED5F9C" w:rsidRPr="00CC241E" w:rsidRDefault="00ED5F9C" w:rsidP="002E71AA">
      <w:pPr>
        <w:spacing w:after="0" w:line="276" w:lineRule="auto"/>
        <w:ind w:firstLine="360"/>
        <w:jc w:val="both"/>
        <w:rPr>
          <w:rFonts w:ascii="Sylfaen" w:eastAsiaTheme="minorHAnsi" w:hAnsi="Sylfaen" w:cstheme="minorBidi"/>
          <w:sz w:val="24"/>
          <w:szCs w:val="24"/>
          <w:lang w:val="ka-GE"/>
        </w:rPr>
      </w:pPr>
    </w:p>
    <w:p w:rsidR="00ED5F9C" w:rsidRDefault="00ED5F9C" w:rsidP="002E71AA">
      <w:pPr>
        <w:spacing w:after="0" w:line="276" w:lineRule="auto"/>
        <w:ind w:firstLine="360"/>
        <w:jc w:val="both"/>
        <w:rPr>
          <w:rFonts w:ascii="Sylfaen" w:eastAsiaTheme="minorHAnsi" w:hAnsi="Sylfaen" w:cstheme="minorBidi"/>
          <w:sz w:val="24"/>
          <w:szCs w:val="24"/>
          <w:lang w:val="ka-GE"/>
        </w:rPr>
      </w:pPr>
      <w:r w:rsidRPr="00CC241E">
        <w:rPr>
          <w:rFonts w:ascii="Sylfaen" w:eastAsiaTheme="minorHAnsi" w:hAnsi="Sylfaen" w:cstheme="minorBidi"/>
          <w:sz w:val="24"/>
          <w:szCs w:val="24"/>
          <w:lang w:val="ka-GE"/>
        </w:rPr>
        <w:t>ირინე იმერლიშვილი</w:t>
      </w:r>
    </w:p>
    <w:p w:rsidR="002E71AA" w:rsidRPr="00CC241E" w:rsidRDefault="002E71AA" w:rsidP="002E71AA">
      <w:pPr>
        <w:spacing w:after="0" w:line="276" w:lineRule="auto"/>
        <w:ind w:firstLine="360"/>
        <w:jc w:val="both"/>
        <w:rPr>
          <w:rFonts w:ascii="Sylfaen" w:eastAsiaTheme="minorHAnsi" w:hAnsi="Sylfaen" w:cstheme="minorBidi"/>
          <w:sz w:val="24"/>
          <w:szCs w:val="24"/>
          <w:lang w:val="ka-GE"/>
        </w:rPr>
      </w:pPr>
    </w:p>
    <w:p w:rsidR="00ED5F9C" w:rsidRPr="00CC241E" w:rsidRDefault="00ED5F9C" w:rsidP="002E71AA">
      <w:pPr>
        <w:spacing w:after="0" w:line="276" w:lineRule="auto"/>
        <w:ind w:firstLine="360"/>
        <w:jc w:val="both"/>
        <w:rPr>
          <w:rFonts w:ascii="Sylfaen" w:eastAsiaTheme="minorHAnsi" w:hAnsi="Sylfaen" w:cstheme="minorBidi"/>
          <w:sz w:val="24"/>
          <w:szCs w:val="24"/>
          <w:lang w:val="ka-GE"/>
        </w:rPr>
      </w:pPr>
    </w:p>
    <w:p w:rsidR="00ED5F9C" w:rsidRDefault="00ED5F9C" w:rsidP="002E71AA">
      <w:pPr>
        <w:spacing w:after="0" w:line="276" w:lineRule="auto"/>
        <w:ind w:firstLine="360"/>
        <w:jc w:val="both"/>
        <w:rPr>
          <w:rFonts w:ascii="Sylfaen" w:eastAsiaTheme="minorHAnsi" w:hAnsi="Sylfaen" w:cstheme="minorBidi"/>
          <w:sz w:val="24"/>
          <w:szCs w:val="24"/>
          <w:lang w:val="ka-GE"/>
        </w:rPr>
      </w:pPr>
      <w:r w:rsidRPr="00CC241E">
        <w:rPr>
          <w:rFonts w:ascii="Sylfaen" w:eastAsiaTheme="minorHAnsi" w:hAnsi="Sylfaen" w:cstheme="minorBidi"/>
          <w:sz w:val="24"/>
          <w:szCs w:val="24"/>
          <w:lang w:val="ka-GE"/>
        </w:rPr>
        <w:t>მანანა კობახიძე</w:t>
      </w:r>
    </w:p>
    <w:p w:rsidR="002E71AA" w:rsidRPr="00CC241E" w:rsidRDefault="002E71AA" w:rsidP="002E71AA">
      <w:pPr>
        <w:spacing w:after="0" w:line="276" w:lineRule="auto"/>
        <w:ind w:firstLine="360"/>
        <w:jc w:val="both"/>
        <w:rPr>
          <w:rFonts w:ascii="Sylfaen" w:eastAsiaTheme="minorHAnsi" w:hAnsi="Sylfaen" w:cstheme="minorBidi"/>
          <w:sz w:val="24"/>
          <w:szCs w:val="24"/>
          <w:lang w:val="ka-GE"/>
        </w:rPr>
      </w:pPr>
      <w:bookmarkStart w:id="0" w:name="_GoBack"/>
      <w:bookmarkEnd w:id="0"/>
    </w:p>
    <w:p w:rsidR="00ED5F9C" w:rsidRPr="00CC241E" w:rsidRDefault="00ED5F9C" w:rsidP="002E71AA">
      <w:pPr>
        <w:spacing w:after="0" w:line="276" w:lineRule="auto"/>
        <w:ind w:firstLine="360"/>
        <w:jc w:val="both"/>
        <w:rPr>
          <w:rFonts w:ascii="Sylfaen" w:eastAsiaTheme="minorHAnsi" w:hAnsi="Sylfaen" w:cstheme="minorBidi"/>
          <w:sz w:val="24"/>
          <w:szCs w:val="24"/>
          <w:lang w:val="ka-GE"/>
        </w:rPr>
      </w:pPr>
    </w:p>
    <w:p w:rsidR="00ED5F9C" w:rsidRPr="00CC241E" w:rsidRDefault="00ED5F9C" w:rsidP="002E71AA">
      <w:pPr>
        <w:spacing w:after="0" w:line="276" w:lineRule="auto"/>
        <w:ind w:firstLine="360"/>
        <w:jc w:val="both"/>
        <w:rPr>
          <w:rFonts w:ascii="Sylfaen" w:eastAsiaTheme="minorHAnsi" w:hAnsi="Sylfaen" w:cstheme="minorBidi"/>
          <w:sz w:val="24"/>
          <w:szCs w:val="24"/>
          <w:lang w:val="ka-GE"/>
        </w:rPr>
      </w:pPr>
      <w:r w:rsidRPr="00CC241E">
        <w:rPr>
          <w:rFonts w:ascii="Sylfaen" w:eastAsiaTheme="minorHAnsi" w:hAnsi="Sylfaen" w:cstheme="minorBidi"/>
          <w:sz w:val="24"/>
          <w:szCs w:val="24"/>
          <w:lang w:val="ka-GE"/>
        </w:rPr>
        <w:t>თამაზ ცაბუტაშვილი</w:t>
      </w:r>
    </w:p>
    <w:sectPr w:rsidR="00ED5F9C" w:rsidRPr="00CC241E" w:rsidSect="00C406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23" w:rsidRDefault="006C3823" w:rsidP="009D6D62">
      <w:pPr>
        <w:spacing w:after="0" w:line="240" w:lineRule="auto"/>
      </w:pPr>
      <w:r>
        <w:separator/>
      </w:r>
    </w:p>
  </w:endnote>
  <w:endnote w:type="continuationSeparator" w:id="0">
    <w:p w:rsidR="006C3823" w:rsidRDefault="006C3823" w:rsidP="009D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357956"/>
      <w:docPartObj>
        <w:docPartGallery w:val="Page Numbers (Bottom of Page)"/>
        <w:docPartUnique/>
      </w:docPartObj>
    </w:sdtPr>
    <w:sdtEndPr>
      <w:rPr>
        <w:noProof/>
      </w:rPr>
    </w:sdtEndPr>
    <w:sdtContent>
      <w:p w:rsidR="009D6D62" w:rsidRDefault="009D6D62">
        <w:pPr>
          <w:pStyle w:val="Footer"/>
          <w:jc w:val="right"/>
        </w:pPr>
        <w:r>
          <w:fldChar w:fldCharType="begin"/>
        </w:r>
        <w:r>
          <w:instrText xml:space="preserve"> PAGE   \* MERGEFORMAT </w:instrText>
        </w:r>
        <w:r>
          <w:fldChar w:fldCharType="separate"/>
        </w:r>
        <w:r w:rsidR="002E71AA">
          <w:rPr>
            <w:noProof/>
          </w:rPr>
          <w:t>7</w:t>
        </w:r>
        <w:r>
          <w:rPr>
            <w:noProof/>
          </w:rPr>
          <w:fldChar w:fldCharType="end"/>
        </w:r>
      </w:p>
    </w:sdtContent>
  </w:sdt>
  <w:p w:rsidR="009D6D62" w:rsidRDefault="009D6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23" w:rsidRDefault="006C3823" w:rsidP="009D6D62">
      <w:pPr>
        <w:spacing w:after="0" w:line="240" w:lineRule="auto"/>
      </w:pPr>
      <w:r>
        <w:separator/>
      </w:r>
    </w:p>
  </w:footnote>
  <w:footnote w:type="continuationSeparator" w:id="0">
    <w:p w:rsidR="006C3823" w:rsidRDefault="006C3823" w:rsidP="009D6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E7143"/>
    <w:multiLevelType w:val="hybridMultilevel"/>
    <w:tmpl w:val="C21A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290B79"/>
    <w:multiLevelType w:val="hybridMultilevel"/>
    <w:tmpl w:val="74D6C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65E1F"/>
    <w:multiLevelType w:val="hybridMultilevel"/>
    <w:tmpl w:val="65F83E94"/>
    <w:lvl w:ilvl="0" w:tplc="696486A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BD"/>
    <w:rsid w:val="0000169D"/>
    <w:rsid w:val="0000730C"/>
    <w:rsid w:val="00013D2A"/>
    <w:rsid w:val="00020583"/>
    <w:rsid w:val="0009668E"/>
    <w:rsid w:val="000A458F"/>
    <w:rsid w:val="000B4FD2"/>
    <w:rsid w:val="000D0D5D"/>
    <w:rsid w:val="000D4E7E"/>
    <w:rsid w:val="001272B8"/>
    <w:rsid w:val="00132C3A"/>
    <w:rsid w:val="001671E4"/>
    <w:rsid w:val="001B6AAB"/>
    <w:rsid w:val="001C6DDA"/>
    <w:rsid w:val="001D6A86"/>
    <w:rsid w:val="0020390E"/>
    <w:rsid w:val="00207188"/>
    <w:rsid w:val="002075DB"/>
    <w:rsid w:val="002245B3"/>
    <w:rsid w:val="00283326"/>
    <w:rsid w:val="00285648"/>
    <w:rsid w:val="002901D2"/>
    <w:rsid w:val="002A59BE"/>
    <w:rsid w:val="002C7225"/>
    <w:rsid w:val="002E71AA"/>
    <w:rsid w:val="002F1F18"/>
    <w:rsid w:val="003411D4"/>
    <w:rsid w:val="00372B89"/>
    <w:rsid w:val="003860F7"/>
    <w:rsid w:val="00390D3D"/>
    <w:rsid w:val="003F6745"/>
    <w:rsid w:val="004814B3"/>
    <w:rsid w:val="004935DC"/>
    <w:rsid w:val="00494C09"/>
    <w:rsid w:val="004E6F97"/>
    <w:rsid w:val="0054359D"/>
    <w:rsid w:val="00546944"/>
    <w:rsid w:val="005B56CD"/>
    <w:rsid w:val="005B5CBF"/>
    <w:rsid w:val="005D53C0"/>
    <w:rsid w:val="00604DD3"/>
    <w:rsid w:val="00615617"/>
    <w:rsid w:val="00632446"/>
    <w:rsid w:val="00667080"/>
    <w:rsid w:val="006C3823"/>
    <w:rsid w:val="006C3898"/>
    <w:rsid w:val="007032BD"/>
    <w:rsid w:val="00750A3F"/>
    <w:rsid w:val="007864C1"/>
    <w:rsid w:val="007965B2"/>
    <w:rsid w:val="007A54AF"/>
    <w:rsid w:val="007E3C23"/>
    <w:rsid w:val="00840DDD"/>
    <w:rsid w:val="00843E0F"/>
    <w:rsid w:val="0084473A"/>
    <w:rsid w:val="00863C23"/>
    <w:rsid w:val="008966BD"/>
    <w:rsid w:val="008A41BD"/>
    <w:rsid w:val="008B5055"/>
    <w:rsid w:val="008D5675"/>
    <w:rsid w:val="008D6CF8"/>
    <w:rsid w:val="008E445C"/>
    <w:rsid w:val="00947073"/>
    <w:rsid w:val="00967B36"/>
    <w:rsid w:val="009B4B0A"/>
    <w:rsid w:val="009B692D"/>
    <w:rsid w:val="009D6D62"/>
    <w:rsid w:val="009E0E3F"/>
    <w:rsid w:val="00A164CB"/>
    <w:rsid w:val="00A27D69"/>
    <w:rsid w:val="00A34E62"/>
    <w:rsid w:val="00A91C69"/>
    <w:rsid w:val="00AA33AE"/>
    <w:rsid w:val="00AA6253"/>
    <w:rsid w:val="00AE57C6"/>
    <w:rsid w:val="00AF1533"/>
    <w:rsid w:val="00B11F63"/>
    <w:rsid w:val="00BA6F9F"/>
    <w:rsid w:val="00C3346A"/>
    <w:rsid w:val="00C34014"/>
    <w:rsid w:val="00C40654"/>
    <w:rsid w:val="00C44205"/>
    <w:rsid w:val="00C555E3"/>
    <w:rsid w:val="00C670F6"/>
    <w:rsid w:val="00CA11E5"/>
    <w:rsid w:val="00CA5D60"/>
    <w:rsid w:val="00CA5E7B"/>
    <w:rsid w:val="00CB724F"/>
    <w:rsid w:val="00CC241E"/>
    <w:rsid w:val="00CD3B5C"/>
    <w:rsid w:val="00CE5C9B"/>
    <w:rsid w:val="00CF23CB"/>
    <w:rsid w:val="00D07AD7"/>
    <w:rsid w:val="00D14BFC"/>
    <w:rsid w:val="00D36C0B"/>
    <w:rsid w:val="00D666C7"/>
    <w:rsid w:val="00DE548C"/>
    <w:rsid w:val="00E11575"/>
    <w:rsid w:val="00E27C5B"/>
    <w:rsid w:val="00E47904"/>
    <w:rsid w:val="00E5208A"/>
    <w:rsid w:val="00E5268A"/>
    <w:rsid w:val="00EC7875"/>
    <w:rsid w:val="00ED5F9C"/>
    <w:rsid w:val="00F41970"/>
    <w:rsid w:val="00F72015"/>
    <w:rsid w:val="00F94B56"/>
    <w:rsid w:val="00FE18ED"/>
    <w:rsid w:val="00FE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8DA4C-EC08-4FAC-B228-5981AF15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654"/>
    <w:rPr>
      <w:rFonts w:ascii="Calibri" w:eastAsia="Calibri" w:hAnsi="Calibri" w:cs="Times New Roman"/>
    </w:rPr>
  </w:style>
  <w:style w:type="paragraph" w:styleId="Heading1">
    <w:name w:val="heading 1"/>
    <w:basedOn w:val="abzacixml"/>
    <w:next w:val="Normal"/>
    <w:link w:val="Heading1Char"/>
    <w:uiPriority w:val="9"/>
    <w:qFormat/>
    <w:rsid w:val="003F6745"/>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0"/>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zacixml">
    <w:name w:val="abzaci_xml"/>
    <w:basedOn w:val="PlainText"/>
    <w:rsid w:val="00C40654"/>
    <w:pPr>
      <w:spacing w:line="240" w:lineRule="atLeast"/>
      <w:ind w:firstLine="283"/>
      <w:jc w:val="both"/>
    </w:pPr>
    <w:rPr>
      <w:rFonts w:ascii="Sylfaen" w:eastAsia="Sylfaen" w:hAnsi="Sylfaen" w:cs="Arial"/>
      <w:sz w:val="22"/>
      <w:szCs w:val="20"/>
    </w:rPr>
  </w:style>
  <w:style w:type="paragraph" w:styleId="PlainText">
    <w:name w:val="Plain Text"/>
    <w:basedOn w:val="Normal"/>
    <w:link w:val="PlainTextChar"/>
    <w:uiPriority w:val="99"/>
    <w:semiHidden/>
    <w:unhideWhenUsed/>
    <w:rsid w:val="00C406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40654"/>
    <w:rPr>
      <w:rFonts w:ascii="Consolas" w:eastAsia="Calibri" w:hAnsi="Consolas" w:cs="Times New Roman"/>
      <w:sz w:val="21"/>
      <w:szCs w:val="21"/>
    </w:rPr>
  </w:style>
  <w:style w:type="paragraph" w:styleId="Header">
    <w:name w:val="header"/>
    <w:basedOn w:val="Normal"/>
    <w:link w:val="HeaderChar"/>
    <w:uiPriority w:val="99"/>
    <w:unhideWhenUsed/>
    <w:rsid w:val="009D6D62"/>
    <w:pPr>
      <w:tabs>
        <w:tab w:val="center" w:pos="4844"/>
        <w:tab w:val="right" w:pos="9689"/>
      </w:tabs>
      <w:spacing w:after="0" w:line="240" w:lineRule="auto"/>
    </w:pPr>
  </w:style>
  <w:style w:type="character" w:customStyle="1" w:styleId="HeaderChar">
    <w:name w:val="Header Char"/>
    <w:basedOn w:val="DefaultParagraphFont"/>
    <w:link w:val="Header"/>
    <w:uiPriority w:val="99"/>
    <w:rsid w:val="009D6D62"/>
    <w:rPr>
      <w:rFonts w:ascii="Calibri" w:eastAsia="Calibri" w:hAnsi="Calibri" w:cs="Times New Roman"/>
    </w:rPr>
  </w:style>
  <w:style w:type="paragraph" w:styleId="Footer">
    <w:name w:val="footer"/>
    <w:basedOn w:val="Normal"/>
    <w:link w:val="FooterChar"/>
    <w:uiPriority w:val="99"/>
    <w:unhideWhenUsed/>
    <w:rsid w:val="009D6D62"/>
    <w:pPr>
      <w:tabs>
        <w:tab w:val="center" w:pos="4844"/>
        <w:tab w:val="right" w:pos="9689"/>
      </w:tabs>
      <w:spacing w:after="0" w:line="240" w:lineRule="auto"/>
    </w:pPr>
  </w:style>
  <w:style w:type="character" w:customStyle="1" w:styleId="FooterChar">
    <w:name w:val="Footer Char"/>
    <w:basedOn w:val="DefaultParagraphFont"/>
    <w:link w:val="Footer"/>
    <w:uiPriority w:val="99"/>
    <w:rsid w:val="009D6D62"/>
    <w:rPr>
      <w:rFonts w:ascii="Calibri" w:eastAsia="Calibri" w:hAnsi="Calibri" w:cs="Times New Roman"/>
    </w:rPr>
  </w:style>
  <w:style w:type="character" w:customStyle="1" w:styleId="Heading1Char">
    <w:name w:val="Heading 1 Char"/>
    <w:basedOn w:val="DefaultParagraphFont"/>
    <w:link w:val="Heading1"/>
    <w:uiPriority w:val="9"/>
    <w:rsid w:val="003F6745"/>
    <w:rPr>
      <w:rFonts w:ascii="Sylfaen" w:eastAsia="Sylfaen" w:hAnsi="Sylfaen" w:cs="Arial"/>
      <w:b/>
      <w:sz w:val="24"/>
      <w:szCs w:val="24"/>
    </w:rPr>
  </w:style>
  <w:style w:type="paragraph" w:styleId="ListParagraph">
    <w:name w:val="List Paragraph"/>
    <w:basedOn w:val="Normal"/>
    <w:uiPriority w:val="34"/>
    <w:qFormat/>
    <w:rsid w:val="004814B3"/>
    <w:pPr>
      <w:spacing w:after="200" w:line="276" w:lineRule="auto"/>
      <w:ind w:left="720"/>
      <w:contextualSpacing/>
    </w:pPr>
    <w:rPr>
      <w:rFonts w:eastAsia="Times New Roman"/>
    </w:rPr>
  </w:style>
  <w:style w:type="paragraph" w:styleId="BalloonText">
    <w:name w:val="Balloon Text"/>
    <w:basedOn w:val="Normal"/>
    <w:link w:val="BalloonTextChar"/>
    <w:uiPriority w:val="99"/>
    <w:semiHidden/>
    <w:unhideWhenUsed/>
    <w:rsid w:val="00A91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C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749B3-E882-42DE-8466-E9072B0C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7</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gvimradze</dc:creator>
  <cp:keywords/>
  <dc:description/>
  <cp:lastModifiedBy>irakli qsovreli</cp:lastModifiedBy>
  <cp:revision>80</cp:revision>
  <dcterms:created xsi:type="dcterms:W3CDTF">2017-12-07T07:32:00Z</dcterms:created>
  <dcterms:modified xsi:type="dcterms:W3CDTF">2017-12-28T11:24:00Z</dcterms:modified>
</cp:coreProperties>
</file>