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1D" w:rsidRPr="00881E1A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Pr="00881E1A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</w:rPr>
      </w:pPr>
    </w:p>
    <w:p w:rsidR="0071701D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</w:rPr>
      </w:pPr>
    </w:p>
    <w:p w:rsidR="0071701D" w:rsidRPr="00975944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</w:rPr>
      </w:pPr>
    </w:p>
    <w:p w:rsidR="0071701D" w:rsidRPr="00881E1A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0" w:name="_GoBack"/>
      <w:bookmarkEnd w:id="0"/>
    </w:p>
    <w:p w:rsidR="0071701D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Default="0071701D" w:rsidP="0071701D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Default="0071701D" w:rsidP="0071701D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Pr="00881E1A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Pr="00510FC2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10FC2">
        <w:rPr>
          <w:rFonts w:ascii="Sylfaen" w:hAnsi="Sylfaen"/>
          <w:noProof/>
          <w:sz w:val="24"/>
          <w:szCs w:val="24"/>
          <w:lang w:val="ka-GE"/>
        </w:rPr>
        <w:t>№3/8/6</w:t>
      </w:r>
      <w:r w:rsidRPr="00510FC2">
        <w:rPr>
          <w:rFonts w:ascii="Sylfaen" w:hAnsi="Sylfaen"/>
          <w:noProof/>
          <w:sz w:val="24"/>
          <w:szCs w:val="24"/>
        </w:rPr>
        <w:t>78</w:t>
      </w:r>
      <w:r w:rsidRPr="00510FC2">
        <w:rPr>
          <w:rFonts w:ascii="Sylfaen" w:hAnsi="Sylfaen"/>
          <w:noProof/>
          <w:sz w:val="24"/>
          <w:szCs w:val="24"/>
          <w:lang w:val="ka-GE"/>
        </w:rPr>
        <w:t xml:space="preserve">                                      </w:t>
      </w:r>
      <w:r>
        <w:rPr>
          <w:rFonts w:ascii="Sylfaen" w:hAnsi="Sylfaen"/>
          <w:noProof/>
          <w:sz w:val="24"/>
          <w:szCs w:val="24"/>
          <w:lang w:val="ka-GE"/>
        </w:rPr>
        <w:t xml:space="preserve">                   </w:t>
      </w:r>
      <w:r w:rsidRPr="00510FC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510FC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510FC2">
        <w:rPr>
          <w:rFonts w:ascii="Sylfaen" w:hAnsi="Sylfaen" w:cs="Sylfaen"/>
          <w:noProof/>
          <w:sz w:val="24"/>
          <w:szCs w:val="24"/>
          <w:lang w:val="ka-GE"/>
        </w:rPr>
        <w:t>ბათუმი</w:t>
      </w:r>
      <w:r w:rsidRPr="00510FC2">
        <w:rPr>
          <w:rFonts w:ascii="Sylfaen" w:hAnsi="Sylfaen"/>
          <w:noProof/>
          <w:sz w:val="24"/>
          <w:szCs w:val="24"/>
          <w:lang w:val="ka-GE"/>
        </w:rPr>
        <w:t xml:space="preserve">, 2015 </w:t>
      </w:r>
      <w:r w:rsidRPr="00510FC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510FC2">
        <w:rPr>
          <w:rFonts w:ascii="Sylfaen" w:hAnsi="Sylfaen"/>
          <w:noProof/>
          <w:sz w:val="24"/>
          <w:szCs w:val="24"/>
          <w:lang w:val="ka-GE"/>
        </w:rPr>
        <w:t xml:space="preserve"> 25 ნოემბერი</w:t>
      </w:r>
    </w:p>
    <w:p w:rsidR="0071701D" w:rsidRPr="00881E1A" w:rsidRDefault="0071701D" w:rsidP="0071701D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Pr="00881E1A" w:rsidRDefault="0071701D" w:rsidP="0071701D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პლენუმის</w:t>
      </w:r>
      <w:r w:rsidRPr="00881E1A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81E1A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881E1A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71701D" w:rsidRPr="00510FC2" w:rsidRDefault="0071701D" w:rsidP="0071701D">
      <w:pPr>
        <w:pStyle w:val="BodyTextIndent"/>
        <w:tabs>
          <w:tab w:val="left" w:pos="540"/>
          <w:tab w:val="left" w:pos="900"/>
        </w:tabs>
        <w:spacing w:line="276" w:lineRule="auto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გიორგი </w:t>
      </w:r>
      <w:r w:rsidRPr="00510FC2">
        <w:rPr>
          <w:rFonts w:ascii="Sylfaen" w:hAnsi="Sylfaen" w:cs="Sylfaen"/>
          <w:sz w:val="24"/>
          <w:szCs w:val="24"/>
        </w:rPr>
        <w:t>პაპუაშვილი - სხდომის თავმჯდომარე;</w:t>
      </w:r>
    </w:p>
    <w:p w:rsidR="0071701D" w:rsidRPr="00510FC2" w:rsidRDefault="0071701D" w:rsidP="0071701D">
      <w:pPr>
        <w:pStyle w:val="BodyTextIndent"/>
        <w:tabs>
          <w:tab w:val="left" w:pos="540"/>
          <w:tab w:val="left" w:pos="900"/>
        </w:tabs>
        <w:spacing w:line="276" w:lineRule="auto"/>
        <w:rPr>
          <w:rFonts w:ascii="Sylfaen" w:hAnsi="Sylfaen" w:cs="Sylfaen"/>
          <w:sz w:val="24"/>
          <w:szCs w:val="24"/>
        </w:rPr>
      </w:pPr>
      <w:r w:rsidRPr="00510FC2">
        <w:rPr>
          <w:rFonts w:ascii="Sylfaen" w:hAnsi="Sylfaen" w:cs="Sylfaen"/>
          <w:sz w:val="24"/>
          <w:szCs w:val="24"/>
        </w:rPr>
        <w:t>კონსტანტინე</w:t>
      </w:r>
      <w:r w:rsidRPr="00510FC2">
        <w:rPr>
          <w:rFonts w:ascii="Sylfaen" w:hAnsi="Sylfaen"/>
          <w:sz w:val="24"/>
          <w:szCs w:val="24"/>
        </w:rPr>
        <w:t xml:space="preserve"> </w:t>
      </w:r>
      <w:r w:rsidRPr="00510FC2">
        <w:rPr>
          <w:rFonts w:ascii="Sylfaen" w:hAnsi="Sylfaen" w:cs="Sylfaen"/>
          <w:sz w:val="24"/>
          <w:szCs w:val="24"/>
        </w:rPr>
        <w:t>ვარძელაშვილი</w:t>
      </w:r>
      <w:r w:rsidRPr="00510FC2">
        <w:rPr>
          <w:rFonts w:ascii="Sylfaen" w:hAnsi="Sylfaen"/>
          <w:sz w:val="24"/>
          <w:szCs w:val="24"/>
        </w:rPr>
        <w:t xml:space="preserve"> – </w:t>
      </w:r>
      <w:r w:rsidRPr="00510FC2">
        <w:rPr>
          <w:rFonts w:ascii="Sylfaen" w:hAnsi="Sylfaen" w:cs="Sylfaen"/>
          <w:sz w:val="24"/>
          <w:szCs w:val="24"/>
        </w:rPr>
        <w:t>წევრი;</w:t>
      </w:r>
      <w:r w:rsidRPr="00510FC2">
        <w:rPr>
          <w:rFonts w:ascii="Sylfaen" w:hAnsi="Sylfaen"/>
          <w:sz w:val="24"/>
          <w:szCs w:val="24"/>
        </w:rPr>
        <w:t xml:space="preserve"> </w:t>
      </w:r>
    </w:p>
    <w:p w:rsidR="0071701D" w:rsidRPr="00510FC2" w:rsidRDefault="0071701D" w:rsidP="0071701D">
      <w:pPr>
        <w:pStyle w:val="BodyTextIndent"/>
        <w:tabs>
          <w:tab w:val="left" w:pos="90"/>
          <w:tab w:val="left" w:pos="540"/>
          <w:tab w:val="left" w:pos="900"/>
        </w:tabs>
        <w:spacing w:line="276" w:lineRule="auto"/>
        <w:rPr>
          <w:rFonts w:ascii="Sylfaen" w:hAnsi="Sylfaen"/>
          <w:sz w:val="24"/>
          <w:szCs w:val="24"/>
        </w:rPr>
      </w:pPr>
      <w:r w:rsidRPr="00510FC2">
        <w:rPr>
          <w:rFonts w:ascii="Sylfaen" w:hAnsi="Sylfaen" w:cs="Sylfaen"/>
          <w:sz w:val="24"/>
          <w:szCs w:val="24"/>
        </w:rPr>
        <w:t>ქეთევან</w:t>
      </w:r>
      <w:r w:rsidRPr="00510FC2">
        <w:rPr>
          <w:rFonts w:ascii="Sylfaen" w:hAnsi="Sylfaen"/>
          <w:sz w:val="24"/>
          <w:szCs w:val="24"/>
        </w:rPr>
        <w:t xml:space="preserve"> </w:t>
      </w:r>
      <w:r w:rsidRPr="00510FC2">
        <w:rPr>
          <w:rFonts w:ascii="Sylfaen" w:hAnsi="Sylfaen" w:cs="Sylfaen"/>
          <w:sz w:val="24"/>
          <w:szCs w:val="24"/>
        </w:rPr>
        <w:t>ერემაძე</w:t>
      </w:r>
      <w:r w:rsidRPr="00510FC2">
        <w:rPr>
          <w:rFonts w:ascii="Sylfaen" w:hAnsi="Sylfaen"/>
          <w:sz w:val="24"/>
          <w:szCs w:val="24"/>
        </w:rPr>
        <w:t xml:space="preserve"> – </w:t>
      </w:r>
      <w:r w:rsidRPr="00510FC2">
        <w:rPr>
          <w:rFonts w:ascii="Sylfaen" w:hAnsi="Sylfaen" w:cs="Sylfaen"/>
          <w:sz w:val="24"/>
          <w:szCs w:val="24"/>
        </w:rPr>
        <w:t>წევრი</w:t>
      </w:r>
      <w:r w:rsidRPr="00510FC2">
        <w:rPr>
          <w:rFonts w:ascii="Sylfaen" w:hAnsi="Sylfaen" w:cs="Sylfaen"/>
          <w:sz w:val="24"/>
          <w:szCs w:val="24"/>
          <w:lang w:val="en-US"/>
        </w:rPr>
        <w:t xml:space="preserve">, </w:t>
      </w:r>
      <w:r w:rsidRPr="00510FC2">
        <w:rPr>
          <w:rFonts w:ascii="Sylfaen" w:hAnsi="Sylfaen" w:cs="Sylfaen"/>
          <w:sz w:val="24"/>
          <w:szCs w:val="24"/>
        </w:rPr>
        <w:t>მომხსენებელი მოსამართლე</w:t>
      </w:r>
      <w:r w:rsidRPr="00510FC2">
        <w:rPr>
          <w:rFonts w:ascii="Sylfaen" w:hAnsi="Sylfaen"/>
          <w:sz w:val="24"/>
          <w:szCs w:val="24"/>
        </w:rPr>
        <w:t>;</w:t>
      </w:r>
    </w:p>
    <w:p w:rsidR="0071701D" w:rsidRPr="00510FC2" w:rsidRDefault="0071701D" w:rsidP="0071701D">
      <w:pPr>
        <w:pStyle w:val="BodyTextIndent"/>
        <w:tabs>
          <w:tab w:val="left" w:pos="90"/>
          <w:tab w:val="left" w:pos="540"/>
          <w:tab w:val="left" w:pos="900"/>
        </w:tabs>
        <w:spacing w:line="276" w:lineRule="auto"/>
        <w:rPr>
          <w:rFonts w:ascii="Sylfaen" w:hAnsi="Sylfaen"/>
          <w:sz w:val="24"/>
          <w:szCs w:val="24"/>
        </w:rPr>
      </w:pPr>
      <w:r w:rsidRPr="00510FC2">
        <w:rPr>
          <w:rFonts w:ascii="Sylfaen" w:hAnsi="Sylfaen" w:cs="Sylfaen"/>
          <w:sz w:val="24"/>
          <w:szCs w:val="24"/>
        </w:rPr>
        <w:t>მაია კოპალეიშვილი</w:t>
      </w:r>
      <w:r w:rsidRPr="00510FC2">
        <w:rPr>
          <w:rFonts w:ascii="Sylfaen" w:hAnsi="Sylfaen"/>
          <w:sz w:val="24"/>
          <w:szCs w:val="24"/>
        </w:rPr>
        <w:t xml:space="preserve"> - </w:t>
      </w:r>
      <w:r w:rsidRPr="00510FC2">
        <w:rPr>
          <w:rFonts w:ascii="Sylfaen" w:hAnsi="Sylfaen" w:cs="Sylfaen"/>
          <w:sz w:val="24"/>
          <w:szCs w:val="24"/>
        </w:rPr>
        <w:t>წევრი</w:t>
      </w:r>
      <w:r w:rsidRPr="00510FC2">
        <w:rPr>
          <w:rFonts w:ascii="Sylfaen" w:hAnsi="Sylfaen"/>
          <w:sz w:val="24"/>
          <w:szCs w:val="24"/>
        </w:rPr>
        <w:t>;</w:t>
      </w:r>
    </w:p>
    <w:p w:rsidR="0071701D" w:rsidRPr="00510FC2" w:rsidRDefault="0071701D" w:rsidP="0071701D">
      <w:pPr>
        <w:pStyle w:val="BodyTextIndent"/>
        <w:tabs>
          <w:tab w:val="left" w:pos="90"/>
          <w:tab w:val="left" w:pos="540"/>
          <w:tab w:val="left" w:pos="900"/>
        </w:tabs>
        <w:spacing w:line="276" w:lineRule="auto"/>
        <w:rPr>
          <w:rFonts w:ascii="Sylfaen" w:hAnsi="Sylfaen"/>
          <w:sz w:val="24"/>
          <w:szCs w:val="24"/>
        </w:rPr>
      </w:pPr>
      <w:r w:rsidRPr="00510FC2">
        <w:rPr>
          <w:rFonts w:ascii="Sylfaen" w:hAnsi="Sylfaen"/>
          <w:sz w:val="24"/>
          <w:szCs w:val="24"/>
        </w:rPr>
        <w:t>მერაბ ტურავა - წევრი;</w:t>
      </w:r>
    </w:p>
    <w:p w:rsidR="0071701D" w:rsidRPr="00510FC2" w:rsidRDefault="0071701D" w:rsidP="0071701D">
      <w:pPr>
        <w:pStyle w:val="BodyTextIndent"/>
        <w:tabs>
          <w:tab w:val="left" w:pos="90"/>
          <w:tab w:val="left" w:pos="540"/>
          <w:tab w:val="left" w:pos="900"/>
        </w:tabs>
        <w:spacing w:line="276" w:lineRule="auto"/>
        <w:rPr>
          <w:rFonts w:ascii="Sylfaen" w:hAnsi="Sylfaen"/>
          <w:sz w:val="24"/>
          <w:szCs w:val="24"/>
        </w:rPr>
      </w:pPr>
      <w:r w:rsidRPr="00510FC2">
        <w:rPr>
          <w:rFonts w:ascii="Sylfaen" w:hAnsi="Sylfaen"/>
          <w:sz w:val="24"/>
          <w:szCs w:val="24"/>
        </w:rPr>
        <w:t>ზაზა თავაძე - წევრი;</w:t>
      </w:r>
    </w:p>
    <w:p w:rsidR="0071701D" w:rsidRPr="00510FC2" w:rsidRDefault="0071701D" w:rsidP="0071701D">
      <w:pPr>
        <w:pStyle w:val="BodyTextIndent"/>
        <w:tabs>
          <w:tab w:val="left" w:pos="90"/>
          <w:tab w:val="left" w:pos="540"/>
          <w:tab w:val="left" w:pos="900"/>
        </w:tabs>
        <w:spacing w:line="276" w:lineRule="auto"/>
        <w:rPr>
          <w:rFonts w:ascii="Sylfaen" w:hAnsi="Sylfaen"/>
          <w:sz w:val="24"/>
          <w:szCs w:val="24"/>
        </w:rPr>
      </w:pPr>
      <w:r w:rsidRPr="00510FC2">
        <w:rPr>
          <w:rFonts w:ascii="Sylfaen" w:hAnsi="Sylfaen"/>
          <w:sz w:val="24"/>
          <w:szCs w:val="24"/>
        </w:rPr>
        <w:t>ოთარ სიჭინავა - წევრი;</w:t>
      </w:r>
    </w:p>
    <w:p w:rsidR="0071701D" w:rsidRPr="00510FC2" w:rsidRDefault="0071701D" w:rsidP="0071701D">
      <w:pPr>
        <w:pStyle w:val="BodyTextIndent"/>
        <w:tabs>
          <w:tab w:val="left" w:pos="90"/>
          <w:tab w:val="left" w:pos="540"/>
          <w:tab w:val="left" w:pos="900"/>
        </w:tabs>
        <w:spacing w:line="276" w:lineRule="auto"/>
        <w:rPr>
          <w:rFonts w:ascii="Sylfaen" w:hAnsi="Sylfaen"/>
          <w:sz w:val="24"/>
          <w:szCs w:val="24"/>
        </w:rPr>
      </w:pPr>
      <w:r w:rsidRPr="00510FC2">
        <w:rPr>
          <w:rFonts w:ascii="Sylfaen" w:hAnsi="Sylfaen"/>
          <w:sz w:val="24"/>
          <w:szCs w:val="24"/>
        </w:rPr>
        <w:t>ლალი ფაფიაშვილი - წევრი;</w:t>
      </w:r>
    </w:p>
    <w:p w:rsidR="0071701D" w:rsidRPr="00510FC2" w:rsidRDefault="0071701D" w:rsidP="0071701D">
      <w:pPr>
        <w:pStyle w:val="BodyTextIndent"/>
        <w:tabs>
          <w:tab w:val="left" w:pos="90"/>
          <w:tab w:val="left" w:pos="540"/>
          <w:tab w:val="left" w:pos="900"/>
        </w:tabs>
        <w:spacing w:line="276" w:lineRule="auto"/>
        <w:rPr>
          <w:rFonts w:ascii="Sylfaen" w:hAnsi="Sylfaen"/>
          <w:sz w:val="24"/>
          <w:szCs w:val="24"/>
        </w:rPr>
      </w:pPr>
      <w:r w:rsidRPr="00510FC2">
        <w:rPr>
          <w:rFonts w:ascii="Sylfaen" w:hAnsi="Sylfaen"/>
          <w:sz w:val="24"/>
          <w:szCs w:val="24"/>
        </w:rPr>
        <w:t>თამაზ ცაბუტაშვილი - წევრი.</w:t>
      </w:r>
    </w:p>
    <w:p w:rsidR="0071701D" w:rsidRPr="00510FC2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Pr="00881E1A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510FC2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510FC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510FC2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510FC2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510FC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10FC2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510FC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510FC2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510FC2">
        <w:rPr>
          <w:rFonts w:ascii="Sylfaen" w:hAnsi="Sylfaen"/>
          <w:noProof/>
          <w:sz w:val="24"/>
          <w:szCs w:val="24"/>
          <w:lang w:val="ka-GE"/>
        </w:rPr>
        <w:t>.</w:t>
      </w:r>
    </w:p>
    <w:p w:rsidR="0071701D" w:rsidRPr="00881E1A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Pr="00881E1A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81E1A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881E1A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81E1A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881E1A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881E1A">
        <w:rPr>
          <w:rFonts w:ascii="Sylfaen" w:hAnsi="Sylfaen"/>
          <w:b/>
          <w:noProof/>
          <w:sz w:val="24"/>
          <w:szCs w:val="24"/>
        </w:rPr>
        <w:t xml:space="preserve"> </w:t>
      </w:r>
      <w:r w:rsidRPr="00881E1A">
        <w:rPr>
          <w:rFonts w:ascii="Sylfaen" w:hAnsi="Sylfaen"/>
          <w:noProof/>
          <w:sz w:val="24"/>
          <w:szCs w:val="24"/>
          <w:lang w:val="ka-GE"/>
        </w:rPr>
        <w:t>„შპს სამაუწყებლო კომპანია რუსთავი 2“ და „შპს ტელეკომპანია საქართველო“ საქართველოს პარლამენტის წინააღმდეგ.</w:t>
      </w:r>
    </w:p>
    <w:p w:rsidR="0071701D" w:rsidRPr="00881E1A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Pr="00881E1A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81E1A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881E1A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81E1A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881E1A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881E1A">
        <w:rPr>
          <w:rFonts w:ascii="Sylfaen" w:hAnsi="Sylfaen"/>
          <w:noProof/>
          <w:sz w:val="24"/>
          <w:szCs w:val="24"/>
          <w:lang w:val="ka-GE"/>
        </w:rPr>
        <w:t xml:space="preserve">  საქართველოს სამოქალაქო საპროცესო კოდექსის 423-ე მუხლის პირველი ნაწილის კონსტიტუციურობა საქართველოს კონსტიტუციის 42-ე მუხლის პირველ პუნქტთან მიმართებით.</w:t>
      </w:r>
    </w:p>
    <w:p w:rsidR="0071701D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701D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</w:rPr>
      </w:pPr>
    </w:p>
    <w:p w:rsidR="0071701D" w:rsidRDefault="0071701D" w:rsidP="0071701D">
      <w:pPr>
        <w:spacing w:after="0"/>
        <w:ind w:firstLine="720"/>
        <w:jc w:val="both"/>
        <w:rPr>
          <w:rFonts w:ascii="Sylfaen" w:hAnsi="Sylfaen"/>
          <w:noProof/>
          <w:sz w:val="24"/>
          <w:szCs w:val="24"/>
        </w:rPr>
      </w:pPr>
    </w:p>
    <w:p w:rsidR="0071701D" w:rsidRPr="00881E1A" w:rsidRDefault="0071701D" w:rsidP="0071701D">
      <w:pPr>
        <w:spacing w:after="0"/>
        <w:ind w:firstLine="720"/>
        <w:jc w:val="center"/>
        <w:rPr>
          <w:rFonts w:ascii="Sylfaen" w:hAnsi="Sylfaen" w:cs="Sylfaen"/>
          <w:b/>
          <w:noProof/>
          <w:sz w:val="24"/>
          <w:szCs w:val="24"/>
        </w:rPr>
      </w:pPr>
      <w:r w:rsidRPr="00881E1A">
        <w:rPr>
          <w:rFonts w:ascii="Sylfaen" w:hAnsi="Sylfaen"/>
          <w:b/>
          <w:noProof/>
          <w:sz w:val="24"/>
          <w:szCs w:val="24"/>
          <w:lang w:val="ka-GE"/>
        </w:rPr>
        <w:t>I</w:t>
      </w:r>
      <w:r>
        <w:rPr>
          <w:rFonts w:ascii="Sylfaen" w:hAnsi="Sylfaen"/>
          <w:b/>
          <w:noProof/>
          <w:sz w:val="24"/>
          <w:szCs w:val="24"/>
        </w:rPr>
        <w:t xml:space="preserve"> </w:t>
      </w:r>
      <w:r w:rsidRPr="00881E1A">
        <w:rPr>
          <w:rFonts w:ascii="Sylfaen" w:hAnsi="Sylfaen" w:cs="Sylfaen"/>
          <w:b/>
          <w:noProof/>
          <w:sz w:val="24"/>
          <w:szCs w:val="24"/>
          <w:lang w:val="ka-GE"/>
        </w:rPr>
        <w:t>აღწერილობითი</w:t>
      </w:r>
      <w:r w:rsidRPr="00881E1A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81E1A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71701D" w:rsidRPr="00881E1A" w:rsidRDefault="0071701D" w:rsidP="0071701D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</w:rPr>
      </w:pPr>
    </w:p>
    <w:p w:rsidR="0071701D" w:rsidRPr="00881E1A" w:rsidRDefault="0071701D" w:rsidP="0071701D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spacing w:after="0" w:line="264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881E1A">
        <w:rPr>
          <w:rFonts w:ascii="Sylfaen" w:hAnsi="Sylfaen" w:cs="Sylfaen"/>
          <w:noProof/>
          <w:sz w:val="24"/>
          <w:szCs w:val="24"/>
          <w:lang w:val="ka-GE"/>
        </w:rPr>
        <w:t xml:space="preserve"> საქართველოს</w:t>
      </w:r>
      <w:r w:rsidRPr="00881E1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81E1A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81E1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81E1A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81E1A">
        <w:rPr>
          <w:rFonts w:ascii="Sylfaen" w:hAnsi="Sylfaen"/>
          <w:noProof/>
          <w:sz w:val="24"/>
          <w:szCs w:val="24"/>
          <w:lang w:val="ka-GE"/>
        </w:rPr>
        <w:t xml:space="preserve"> 2015 </w:t>
      </w:r>
      <w:r w:rsidRPr="00881E1A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81E1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81E1A">
        <w:rPr>
          <w:rFonts w:ascii="Sylfaen" w:hAnsi="Sylfaen"/>
          <w:noProof/>
          <w:sz w:val="24"/>
          <w:szCs w:val="24"/>
        </w:rPr>
        <w:t xml:space="preserve">30 </w:t>
      </w:r>
      <w:r w:rsidRPr="00881E1A">
        <w:rPr>
          <w:rFonts w:ascii="Sylfaen" w:hAnsi="Sylfaen"/>
          <w:noProof/>
          <w:sz w:val="24"/>
          <w:szCs w:val="24"/>
          <w:lang w:val="ka-GE"/>
        </w:rPr>
        <w:t xml:space="preserve">ოქტომბერს </w:t>
      </w:r>
      <w:r w:rsidRPr="00881E1A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881E1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81E1A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881E1A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881E1A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881E1A">
        <w:rPr>
          <w:rFonts w:ascii="Sylfaen" w:hAnsi="Sylfaen"/>
          <w:noProof/>
          <w:sz w:val="24"/>
          <w:szCs w:val="24"/>
          <w:lang w:val="ka-GE"/>
        </w:rPr>
        <w:t xml:space="preserve"> №678) </w:t>
      </w:r>
      <w:r w:rsidRPr="00881E1A">
        <w:rPr>
          <w:rFonts w:ascii="Sylfaen" w:hAnsi="Sylfaen" w:cs="Sylfaen"/>
          <w:sz w:val="24"/>
          <w:szCs w:val="24"/>
          <w:lang w:val="ka-GE"/>
        </w:rPr>
        <w:t xml:space="preserve">მიმართა „შპს </w:t>
      </w:r>
      <w:r w:rsidRPr="00881E1A">
        <w:rPr>
          <w:rFonts w:ascii="Sylfaen" w:hAnsi="Sylfaen"/>
          <w:sz w:val="24"/>
          <w:szCs w:val="24"/>
          <w:lang w:val="ka-GE"/>
        </w:rPr>
        <w:t xml:space="preserve">სამაუწყებლო კომპანია რუსთავი 2-მა“ და „შპს ტელეკომპანია საქართველომ“. </w:t>
      </w:r>
      <w:r w:rsidRPr="00881E1A">
        <w:rPr>
          <w:rFonts w:ascii="Sylfaen" w:hAnsi="Sylfaen" w:cs="Sylfaen"/>
          <w:sz w:val="24"/>
          <w:szCs w:val="24"/>
          <w:lang w:val="ka-GE"/>
        </w:rPr>
        <w:t xml:space="preserve">კონსტიტუციური სარჩელი, არსებითად განსახილველად მიღების </w:t>
      </w:r>
      <w:r w:rsidRPr="00510FC2">
        <w:rPr>
          <w:rFonts w:ascii="Sylfaen" w:hAnsi="Sylfaen" w:cs="Sylfaen"/>
          <w:sz w:val="24"/>
          <w:szCs w:val="24"/>
          <w:lang w:val="ka-GE"/>
        </w:rPr>
        <w:t>საკითხის გადასაწყვეტად, საკონსტიტუციო სასამართლოს პირველ კოლეგიას გადაეცა</w:t>
      </w:r>
      <w:r w:rsidRPr="00510FC2">
        <w:rPr>
          <w:rFonts w:ascii="Sylfaen" w:hAnsi="Sylfaen"/>
          <w:sz w:val="24"/>
          <w:szCs w:val="24"/>
          <w:lang w:val="ka-GE"/>
        </w:rPr>
        <w:t xml:space="preserve"> 2015 </w:t>
      </w:r>
      <w:r w:rsidRPr="00510FC2">
        <w:rPr>
          <w:rFonts w:ascii="Sylfaen" w:hAnsi="Sylfaen" w:cs="Sylfaen"/>
          <w:sz w:val="24"/>
          <w:szCs w:val="24"/>
          <w:lang w:val="ka-GE"/>
        </w:rPr>
        <w:t xml:space="preserve">წლის </w:t>
      </w:r>
      <w:r>
        <w:rPr>
          <w:rFonts w:ascii="Sylfaen" w:hAnsi="Sylfaen"/>
          <w:sz w:val="24"/>
          <w:szCs w:val="24"/>
        </w:rPr>
        <w:t xml:space="preserve">30 </w:t>
      </w:r>
      <w:r>
        <w:rPr>
          <w:rFonts w:ascii="Sylfaen" w:hAnsi="Sylfaen"/>
          <w:sz w:val="24"/>
          <w:szCs w:val="24"/>
          <w:lang w:val="ka-GE"/>
        </w:rPr>
        <w:t>ოქტომბერს</w:t>
      </w:r>
      <w:r w:rsidRPr="00510FC2">
        <w:rPr>
          <w:rFonts w:ascii="Sylfaen" w:hAnsi="Sylfaen"/>
          <w:sz w:val="24"/>
          <w:szCs w:val="24"/>
          <w:lang w:val="ka-GE"/>
        </w:rPr>
        <w:t>.</w:t>
      </w:r>
      <w:r w:rsidRPr="00510FC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პირველი კოლეგიის 2015 წლის </w:t>
      </w:r>
      <w:r>
        <w:rPr>
          <w:rFonts w:ascii="Sylfaen" w:hAnsi="Sylfaen"/>
          <w:sz w:val="24"/>
          <w:szCs w:val="24"/>
        </w:rPr>
        <w:t>25</w:t>
      </w:r>
      <w:r>
        <w:rPr>
          <w:rFonts w:ascii="Sylfaen" w:hAnsi="Sylfaen"/>
          <w:sz w:val="24"/>
          <w:szCs w:val="24"/>
          <w:lang w:val="ka-GE"/>
        </w:rPr>
        <w:t xml:space="preserve"> ნოემბრის N1-3/2/678 განჩნებით საქმე განსახილველად გადაეცა საკონსტიტუციო სასამართლოს პლენუმს. </w:t>
      </w:r>
      <w:r w:rsidRPr="00510FC2">
        <w:rPr>
          <w:rFonts w:ascii="Sylfaen" w:hAnsi="Sylfaen" w:cs="Sylfaen"/>
          <w:sz w:val="24"/>
          <w:szCs w:val="24"/>
          <w:lang w:val="ka-GE"/>
        </w:rPr>
        <w:t xml:space="preserve">საკონსტიტუციო სასამართლოს </w:t>
      </w:r>
      <w:r>
        <w:rPr>
          <w:rFonts w:ascii="Sylfaen" w:hAnsi="Sylfaen" w:cs="Sylfaen"/>
          <w:sz w:val="24"/>
          <w:szCs w:val="24"/>
          <w:lang w:val="ka-GE"/>
        </w:rPr>
        <w:t>პლენუმის 2015 წლის 25 ნოემბრის N</w:t>
      </w:r>
      <w:r w:rsidRPr="008704D4">
        <w:rPr>
          <w:rFonts w:ascii="Sylfaen" w:hAnsi="Sylfaen" w:cs="Sylfaen"/>
          <w:sz w:val="24"/>
          <w:szCs w:val="24"/>
          <w:lang w:val="ka-GE"/>
        </w:rPr>
        <w:t>№3/4-1/678</w:t>
      </w:r>
      <w:r>
        <w:rPr>
          <w:rFonts w:ascii="Sylfaen" w:hAnsi="Sylfaen" w:cs="Sylfaen"/>
          <w:sz w:val="24"/>
          <w:szCs w:val="24"/>
          <w:lang w:val="ka-GE"/>
        </w:rPr>
        <w:t xml:space="preserve"> საოქმო ჩანაწერით საქმე მიღებულ იქნა პლენუმზე განსახილველად. </w:t>
      </w:r>
      <w:r w:rsidRPr="00510FC2">
        <w:rPr>
          <w:rFonts w:ascii="Sylfaen" w:hAnsi="Sylfaen" w:cs="Sylfaen"/>
          <w:sz w:val="24"/>
          <w:szCs w:val="24"/>
          <w:lang w:val="ka-GE"/>
        </w:rPr>
        <w:t xml:space="preserve">საკონსტიტუციო სასამართლოს </w:t>
      </w:r>
      <w:r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510FC2">
        <w:rPr>
          <w:rFonts w:ascii="Sylfaen" w:hAnsi="Sylfaen" w:cs="Sylfaen"/>
          <w:sz w:val="24"/>
          <w:szCs w:val="24"/>
          <w:lang w:val="ka-GE"/>
        </w:rPr>
        <w:t xml:space="preserve"> განმწესრიგებელი სხდომა, ზეპირი მოსმენის გარეშე, გაიმართა 2015 წლის </w:t>
      </w:r>
      <w:r>
        <w:rPr>
          <w:rFonts w:ascii="Sylfaen" w:hAnsi="Sylfaen" w:cs="Sylfaen"/>
          <w:sz w:val="24"/>
          <w:szCs w:val="24"/>
        </w:rPr>
        <w:t xml:space="preserve">25 </w:t>
      </w:r>
      <w:r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510FC2">
        <w:rPr>
          <w:rFonts w:ascii="Sylfaen" w:hAnsi="Sylfaen" w:cs="Sylfaen"/>
          <w:sz w:val="24"/>
          <w:szCs w:val="24"/>
        </w:rPr>
        <w:t>.</w:t>
      </w:r>
    </w:p>
    <w:p w:rsidR="0071701D" w:rsidRPr="0078383A" w:rsidRDefault="0071701D" w:rsidP="0071701D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spacing w:after="0" w:line="264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78383A">
        <w:rPr>
          <w:rFonts w:ascii="Sylfaen" w:hAnsi="Sylfaen"/>
          <w:noProof/>
          <w:sz w:val="24"/>
          <w:szCs w:val="24"/>
          <w:lang w:val="ka-GE"/>
        </w:rPr>
        <w:t xml:space="preserve">№678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სასამართლოსათვის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>
        <w:rPr>
          <w:rFonts w:ascii="Sylfaen" w:hAnsi="Sylfaen" w:cs="Sylfaen"/>
          <w:noProof/>
          <w:sz w:val="24"/>
          <w:szCs w:val="24"/>
          <w:lang w:val="ka-GE"/>
        </w:rPr>
        <w:t>: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8383A">
        <w:rPr>
          <w:rFonts w:ascii="Sylfaen" w:hAnsi="Sylfaen"/>
          <w:noProof/>
          <w:sz w:val="24"/>
          <w:szCs w:val="24"/>
          <w:lang w:val="ka-GE"/>
        </w:rPr>
        <w:t>, 45-ე მუხლი, 89-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, „საქართველოს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და 39-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78383A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78383A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78383A">
        <w:rPr>
          <w:rFonts w:ascii="Sylfaen" w:hAnsi="Sylfaen"/>
          <w:noProof/>
          <w:sz w:val="24"/>
          <w:szCs w:val="24"/>
          <w:lang w:val="ka-GE"/>
        </w:rPr>
        <w:t>.</w:t>
      </w:r>
    </w:p>
    <w:p w:rsidR="0071701D" w:rsidRPr="0078383A" w:rsidRDefault="0071701D" w:rsidP="0071701D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spacing w:after="0" w:line="264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78383A">
        <w:rPr>
          <w:rFonts w:ascii="Sylfaen" w:hAnsi="Sylfaen" w:cs="Sylfaen"/>
          <w:sz w:val="24"/>
          <w:szCs w:val="24"/>
          <w:lang w:val="ka-GE"/>
        </w:rPr>
        <w:t xml:space="preserve"> საქართველოს სამოქალაქო საპროცესო კოდექსის 423-ე მუხლის პირველი ნაწილი განსაზღვრავს </w:t>
      </w:r>
      <w:r>
        <w:rPr>
          <w:rFonts w:ascii="Sylfaen" w:hAnsi="Sylfaen" w:cs="Sylfaen"/>
          <w:sz w:val="24"/>
          <w:szCs w:val="24"/>
          <w:lang w:val="ka-GE"/>
        </w:rPr>
        <w:t>საქმის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8383A">
        <w:rPr>
          <w:rFonts w:ascii="Sylfaen" w:hAnsi="Sylfaen" w:cs="Sylfaen"/>
          <w:sz w:val="24"/>
          <w:szCs w:val="24"/>
          <w:lang w:val="ka-GE"/>
        </w:rPr>
        <w:t xml:space="preserve">წარმოების განახლების მოთხოვნით  კანონიერ ძალაში შესული </w:t>
      </w:r>
      <w:r>
        <w:rPr>
          <w:rFonts w:ascii="Sylfaen" w:hAnsi="Sylfaen" w:cs="Sylfaen"/>
          <w:sz w:val="24"/>
          <w:szCs w:val="24"/>
          <w:lang w:val="ka-GE"/>
        </w:rPr>
        <w:t xml:space="preserve">სასამართლო </w:t>
      </w:r>
      <w:r w:rsidRPr="0078383A">
        <w:rPr>
          <w:rFonts w:ascii="Sylfaen" w:hAnsi="Sylfaen" w:cs="Sylfaen"/>
          <w:sz w:val="24"/>
          <w:szCs w:val="24"/>
          <w:lang w:val="ka-GE"/>
        </w:rPr>
        <w:t xml:space="preserve">გადაწყვეტილების გასაჩივრების შესაძლებლობას ახლად აღმოჩენილ გარემოებათა გამო და ჩამოთვლის იმ გარემოებებს, რომლებიც შეიძლება გახდეს  </w:t>
      </w:r>
      <w:r>
        <w:rPr>
          <w:rFonts w:ascii="Sylfaen" w:hAnsi="Sylfaen" w:cs="Sylfaen"/>
          <w:sz w:val="24"/>
          <w:szCs w:val="24"/>
          <w:lang w:val="ka-GE"/>
        </w:rPr>
        <w:t>საქმის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78383A">
        <w:rPr>
          <w:rFonts w:ascii="Sylfaen" w:hAnsi="Sylfaen" w:cs="Sylfaen"/>
          <w:sz w:val="24"/>
          <w:szCs w:val="24"/>
          <w:lang w:val="ka-GE"/>
        </w:rPr>
        <w:t>წარმოების განახლების საფუძველი.</w:t>
      </w:r>
    </w:p>
    <w:p w:rsidR="0071701D" w:rsidRPr="0078383A" w:rsidRDefault="0071701D" w:rsidP="0071701D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spacing w:after="0" w:line="264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78383A">
        <w:rPr>
          <w:rFonts w:ascii="Sylfaen" w:hAnsi="Sylfaen" w:cs="Sylfaen"/>
          <w:sz w:val="24"/>
          <w:szCs w:val="24"/>
          <w:lang w:val="ka-GE"/>
        </w:rPr>
        <w:t xml:space="preserve"> საქართველოს კონსტიტუციის 42-ე მუხლის პირველი პუნქტის თანახმად, „ყოველ ადამიანს </w:t>
      </w:r>
      <w:r>
        <w:rPr>
          <w:rFonts w:ascii="Sylfaen" w:hAnsi="Sylfaen" w:cs="Sylfaen"/>
          <w:sz w:val="24"/>
          <w:szCs w:val="24"/>
          <w:lang w:val="ka-GE"/>
        </w:rPr>
        <w:t>უფლე</w:t>
      </w:r>
      <w:r w:rsidRPr="0078383A">
        <w:rPr>
          <w:rFonts w:ascii="Sylfaen" w:hAnsi="Sylfaen" w:cs="Sylfaen"/>
          <w:sz w:val="24"/>
          <w:szCs w:val="24"/>
          <w:lang w:val="ka-GE"/>
        </w:rPr>
        <w:t>ბა აქვს თავის უფლებათა და თავისუფლებათა დასაცავად მიმართოს სასამართლოს“.</w:t>
      </w:r>
    </w:p>
    <w:p w:rsidR="0071701D" w:rsidRPr="0078383A" w:rsidRDefault="0071701D" w:rsidP="0071701D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spacing w:after="0" w:line="264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78383A">
        <w:rPr>
          <w:rFonts w:ascii="Sylfaen" w:hAnsi="Sylfaen"/>
          <w:sz w:val="24"/>
          <w:szCs w:val="24"/>
          <w:lang w:val="ka-GE"/>
        </w:rPr>
        <w:t xml:space="preserve"> მოსარჩელეთა განმარტებით, </w:t>
      </w:r>
      <w:r w:rsidRPr="0078383A">
        <w:rPr>
          <w:rFonts w:ascii="Sylfaen" w:hAnsi="Sylfaen" w:cs="Sylfaen"/>
          <w:sz w:val="24"/>
          <w:szCs w:val="24"/>
          <w:lang w:val="ka-GE"/>
        </w:rPr>
        <w:t xml:space="preserve">საქართველოს საკონსტიტუციო სასამართლოს გადაწყვეტილება, განსაკუთრებით, როდესაც ნორმის არაკონსტიტუციურად ცნობა ხდება საქართველოს კონსტიტუციის 89-ე მუხლის პირველი პუნქტის „ვ“ ქვეპუნქტით განსაზღვრული კომპეტენციის ფარგლებში, უნდა წარმოადგენდეს  ერთ-ერთ გარემოებას, რომელიც შეიძლება გახდეს  </w:t>
      </w:r>
      <w:r>
        <w:rPr>
          <w:rFonts w:ascii="Sylfaen" w:hAnsi="Sylfaen" w:cs="Sylfaen"/>
          <w:sz w:val="24"/>
          <w:szCs w:val="24"/>
          <w:lang w:val="ka-GE"/>
        </w:rPr>
        <w:t>საქმის</w:t>
      </w:r>
      <w:r w:rsidRPr="0078383A">
        <w:rPr>
          <w:rFonts w:ascii="Sylfaen" w:hAnsi="Sylfaen" w:cs="Sylfaen"/>
          <w:sz w:val="24"/>
          <w:szCs w:val="24"/>
          <w:lang w:val="ka-GE"/>
        </w:rPr>
        <w:t>წარმოების განახლების საფუძველი</w:t>
      </w:r>
      <w:r>
        <w:rPr>
          <w:rFonts w:ascii="Sylfaen" w:hAnsi="Sylfaen" w:cs="Sylfaen"/>
          <w:sz w:val="24"/>
          <w:szCs w:val="24"/>
          <w:lang w:val="ka-GE"/>
        </w:rPr>
        <w:t>. მოსარჩელეთა აზრით, ასეთ შესაძლებლობას გამორიცხავს სადავო ნორმა, ვინაიდან ის ითვალისწინებს ამომწურავ ჩამონათვალს გარემოებებისა, რომლებიც შეიძლება დაედოს საფუძვლად კანონიერ ძალაში შესული გადაწყვეტილების გასაჩივრებას ახლად აღმოჩენილ გარემოებათა გამო</w:t>
      </w:r>
      <w:r w:rsidRPr="0078383A">
        <w:rPr>
          <w:rFonts w:ascii="Sylfaen" w:hAnsi="Sylfaen" w:cs="Sylfaen"/>
          <w:sz w:val="24"/>
          <w:szCs w:val="24"/>
          <w:lang w:val="ka-GE"/>
        </w:rPr>
        <w:t xml:space="preserve">. </w:t>
      </w:r>
    </w:p>
    <w:p w:rsidR="0071701D" w:rsidRPr="0078383A" w:rsidRDefault="0071701D" w:rsidP="0071701D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spacing w:after="0" w:line="264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78383A">
        <w:rPr>
          <w:rFonts w:ascii="Sylfaen" w:hAnsi="Sylfaen" w:cs="Sylfaen"/>
          <w:sz w:val="24"/>
          <w:szCs w:val="24"/>
          <w:lang w:val="ka-GE"/>
        </w:rPr>
        <w:lastRenderedPageBreak/>
        <w:t xml:space="preserve"> </w:t>
      </w:r>
      <w:r w:rsidRPr="0078383A">
        <w:rPr>
          <w:rFonts w:ascii="Sylfaen" w:eastAsia="Times New Roman" w:hAnsi="Sylfaen" w:cs="Calibri"/>
          <w:color w:val="000000"/>
          <w:sz w:val="24"/>
          <w:szCs w:val="24"/>
          <w:lang w:val="ka-GE"/>
        </w:rPr>
        <w:t>მოსარჩელე მხარის მტკიცებით, სამართლიანი სასამართლოს უფლება, უპირველესად, ხელისუფლების მიერ მიღებულ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>ი</w:t>
      </w:r>
      <w:r w:rsidRPr="0078383A"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ყველა იმ გადაწყვეტილების (ქმედების) სასამართლოში გასაჩივრებისა და სამართლებრივი შეფასების შესაძლებლობას გულისხმობს, რომელიც შეიძლება არღვევდეს ადამიანის უფლებებს.  </w:t>
      </w:r>
      <w:r>
        <w:rPr>
          <w:rFonts w:ascii="Sylfaen" w:hAnsi="Sylfaen" w:cs="Calibri"/>
          <w:color w:val="000000"/>
          <w:sz w:val="24"/>
          <w:szCs w:val="24"/>
          <w:lang w:val="ka-GE"/>
        </w:rPr>
        <w:t>მათი</w:t>
      </w:r>
      <w:r w:rsidRPr="0078383A">
        <w:rPr>
          <w:rFonts w:ascii="Sylfaen" w:hAnsi="Sylfaen" w:cs="Calibri"/>
          <w:color w:val="000000"/>
          <w:sz w:val="24"/>
          <w:szCs w:val="24"/>
          <w:lang w:val="ka-GE"/>
        </w:rPr>
        <w:t xml:space="preserve"> განმარტებით, ზოგადად</w:t>
      </w:r>
      <w:r>
        <w:rPr>
          <w:rFonts w:ascii="Sylfaen" w:hAnsi="Sylfaen" w:cs="Calibri"/>
          <w:color w:val="000000"/>
          <w:sz w:val="24"/>
          <w:szCs w:val="24"/>
          <w:lang w:val="ka-GE"/>
        </w:rPr>
        <w:t>,</w:t>
      </w:r>
      <w:r w:rsidRPr="0078383A">
        <w:rPr>
          <w:rFonts w:ascii="Sylfaen" w:hAnsi="Sylfaen" w:cs="Calibri"/>
          <w:color w:val="000000"/>
          <w:sz w:val="24"/>
          <w:szCs w:val="24"/>
          <w:lang w:val="ka-GE"/>
        </w:rPr>
        <w:t xml:space="preserve"> კანონიერ ძალაში შესული გადაწყვეტილების გასაჩივრების მექანიზმი სამართლიანი სასამართლოს უფლების შემადგენელი მნიშვნელოვანი კომპონენტია. ის უზრუნველყოფს ადამიანის უფლებების სრულყოფილ დაცვას.</w:t>
      </w:r>
    </w:p>
    <w:p w:rsidR="0071701D" w:rsidRPr="0078383A" w:rsidRDefault="0071701D" w:rsidP="0071701D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spacing w:after="0" w:line="264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78383A">
        <w:rPr>
          <w:rFonts w:ascii="Sylfaen" w:hAnsi="Sylfaen" w:cs="Sylfaen"/>
          <w:sz w:val="24"/>
          <w:szCs w:val="24"/>
          <w:lang w:val="ka-GE"/>
        </w:rPr>
        <w:t xml:space="preserve"> მოსარჩელეები მიუთითებენ საქართველოს სისხლის სამართლის საპროცესო კოდექსის 310-ე მუხლის „დ“ ქვეპუნქტზე, რომელიც ადგენს, რომ განაჩენი ახლად გამოვლენილ გარემოებათა გამო გადაისინჯება, თუ არსებობს საქართველოს საკონსტიტუციო სასამართლოს გადაწყვეტილება, რომლ</w:t>
      </w:r>
      <w:r>
        <w:rPr>
          <w:rFonts w:ascii="Sylfaen" w:hAnsi="Sylfaen" w:cs="Sylfaen"/>
          <w:sz w:val="24"/>
          <w:szCs w:val="24"/>
          <w:lang w:val="ka-GE"/>
        </w:rPr>
        <w:t>ით</w:t>
      </w:r>
      <w:r w:rsidRPr="0078383A">
        <w:rPr>
          <w:rFonts w:ascii="Sylfaen" w:hAnsi="Sylfaen" w:cs="Sylfaen"/>
          <w:sz w:val="24"/>
          <w:szCs w:val="24"/>
          <w:lang w:val="ka-GE"/>
        </w:rPr>
        <w:t>აც არაკონსტიტუციურად</w:t>
      </w:r>
      <w:r>
        <w:rPr>
          <w:rFonts w:ascii="Sylfaen" w:hAnsi="Sylfaen" w:cs="Sylfaen"/>
          <w:sz w:val="24"/>
          <w:szCs w:val="24"/>
          <w:lang w:val="ka-GE"/>
        </w:rPr>
        <w:t xml:space="preserve"> იქნა</w:t>
      </w:r>
      <w:r w:rsidRPr="0078383A">
        <w:rPr>
          <w:rFonts w:ascii="Sylfaen" w:hAnsi="Sylfaen" w:cs="Sylfaen"/>
          <w:sz w:val="24"/>
          <w:szCs w:val="24"/>
          <w:lang w:val="ka-GE"/>
        </w:rPr>
        <w:t xml:space="preserve"> ცნო</w:t>
      </w:r>
      <w:r>
        <w:rPr>
          <w:rFonts w:ascii="Sylfaen" w:hAnsi="Sylfaen" w:cs="Sylfaen"/>
          <w:sz w:val="24"/>
          <w:szCs w:val="24"/>
          <w:lang w:val="ka-GE"/>
        </w:rPr>
        <w:t>ბილი</w:t>
      </w:r>
      <w:r w:rsidRPr="0078383A">
        <w:rPr>
          <w:rFonts w:ascii="Sylfaen" w:hAnsi="Sylfaen" w:cs="Sylfaen"/>
          <w:sz w:val="24"/>
          <w:szCs w:val="24"/>
          <w:lang w:val="ka-GE"/>
        </w:rPr>
        <w:t xml:space="preserve"> ამ საქმეში გამოყენებული სისხლის სამართლის კანონი. მოსარჩელეთა განმარტებით, მართ</w:t>
      </w:r>
      <w:r>
        <w:rPr>
          <w:rFonts w:ascii="Sylfaen" w:hAnsi="Sylfaen" w:cs="Sylfaen"/>
          <w:sz w:val="24"/>
          <w:szCs w:val="24"/>
          <w:lang w:val="ka-GE"/>
        </w:rPr>
        <w:t>ლ</w:t>
      </w:r>
      <w:r w:rsidRPr="0078383A">
        <w:rPr>
          <w:rFonts w:ascii="Sylfaen" w:hAnsi="Sylfaen" w:cs="Sylfaen"/>
          <w:sz w:val="24"/>
          <w:szCs w:val="24"/>
          <w:lang w:val="ka-GE"/>
        </w:rPr>
        <w:t>მსაჯულების განხორციელება სისხლის სამართლის საქმეებზე ისეთივე მნიშვნელოვანია, როგორიც - სამოქალაქო სამართლის საქმეებზე, შესაბამისად, ამგვარი სხვაობა სამართლიანი სასამართლოს უფლების არაპროპორციულ შეზღუდვას წარმოადგენს.</w:t>
      </w:r>
    </w:p>
    <w:p w:rsidR="0071701D" w:rsidRPr="00BB43FB" w:rsidRDefault="0071701D" w:rsidP="0071701D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spacing w:after="0" w:line="264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78383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8383A">
        <w:rPr>
          <w:rFonts w:ascii="Sylfaen" w:hAnsi="Sylfaen" w:cs="Calibri"/>
          <w:color w:val="000000"/>
          <w:sz w:val="24"/>
          <w:szCs w:val="24"/>
          <w:lang w:val="ka-GE"/>
        </w:rPr>
        <w:t xml:space="preserve">ზემოაღნიშნულიდან გამომდინარე, მოსარჩელეების აზრით,  არაკონსტიტუციურად უნდა იქნეს ცნობილი საქართველოს სამოქალაქო </w:t>
      </w:r>
      <w:r>
        <w:rPr>
          <w:rFonts w:ascii="Sylfaen" w:hAnsi="Sylfaen" w:cs="Calibri"/>
          <w:color w:val="000000"/>
          <w:sz w:val="24"/>
          <w:szCs w:val="24"/>
          <w:lang w:val="ka-GE"/>
        </w:rPr>
        <w:t xml:space="preserve">საპროცესო </w:t>
      </w:r>
      <w:r w:rsidRPr="0078383A">
        <w:rPr>
          <w:rFonts w:ascii="Sylfaen" w:hAnsi="Sylfaen" w:cs="Calibri"/>
          <w:color w:val="000000"/>
          <w:sz w:val="24"/>
          <w:szCs w:val="24"/>
          <w:lang w:val="ka-GE"/>
        </w:rPr>
        <w:t>კოდექსის 423-ე მუხლის პირველი ნაწილის ის ნორმატიული შინაარსი, რომელიც გამორიცხავს სამოქალაქო სამართლის საქმეებზე ახლად აღმოჩენილ გარემოებათა გამო</w:t>
      </w:r>
      <w:r>
        <w:rPr>
          <w:rFonts w:ascii="Sylfaen" w:hAnsi="Sylfaen" w:cs="Calibri"/>
          <w:color w:val="000000"/>
          <w:sz w:val="24"/>
          <w:szCs w:val="24"/>
          <w:lang w:val="ka-GE"/>
        </w:rPr>
        <w:t>,</w:t>
      </w:r>
      <w:r w:rsidRPr="0078383A">
        <w:rPr>
          <w:rFonts w:ascii="Sylfaen" w:hAnsi="Sylfaen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Calibri"/>
          <w:color w:val="000000"/>
          <w:sz w:val="24"/>
          <w:szCs w:val="24"/>
          <w:lang w:val="ka-GE"/>
        </w:rPr>
        <w:t>საქმის</w:t>
      </w:r>
      <w:r w:rsidRPr="0078383A">
        <w:rPr>
          <w:rFonts w:ascii="Sylfaen" w:hAnsi="Sylfaen" w:cs="Calibri"/>
          <w:color w:val="000000"/>
          <w:sz w:val="24"/>
          <w:szCs w:val="24"/>
          <w:lang w:val="ka-GE"/>
        </w:rPr>
        <w:t>წარმოების განახლების მოთხოვნით</w:t>
      </w:r>
      <w:r>
        <w:rPr>
          <w:rFonts w:ascii="Sylfaen" w:hAnsi="Sylfaen" w:cs="Calibri"/>
          <w:color w:val="000000"/>
          <w:sz w:val="24"/>
          <w:szCs w:val="24"/>
          <w:lang w:val="ka-GE"/>
        </w:rPr>
        <w:t>,</w:t>
      </w:r>
      <w:r w:rsidRPr="0078383A">
        <w:rPr>
          <w:rFonts w:ascii="Sylfaen" w:hAnsi="Sylfaen" w:cs="Calibri"/>
          <w:color w:val="000000"/>
          <w:sz w:val="24"/>
          <w:szCs w:val="24"/>
          <w:lang w:val="ka-GE"/>
        </w:rPr>
        <w:t xml:space="preserve"> </w:t>
      </w:r>
      <w:r w:rsidRPr="00BB43FB">
        <w:rPr>
          <w:rFonts w:ascii="Sylfaen" w:hAnsi="Sylfaen" w:cs="Calibri"/>
          <w:color w:val="000000"/>
          <w:sz w:val="24"/>
          <w:szCs w:val="24"/>
          <w:lang w:val="ka-GE"/>
        </w:rPr>
        <w:t xml:space="preserve">კანონიერ ძალაში შესული გადაწყვეტილების გასაჩივრების შესაძლებლობას, თუ არსებობს საქართველოს საკონსტიტუციო სასამართლოს გადაწყვეტილება, რომლითაც საკონსტიტუციო სასამართლომ არაკონსტიტუციურად ცნო ის ნორმატიული აქტი, რომელსაც საერთო სასამართლომ გადაწყვეტილება დააფუძნა. </w:t>
      </w:r>
    </w:p>
    <w:p w:rsidR="0071701D" w:rsidRPr="0078383A" w:rsidRDefault="0071701D" w:rsidP="0071701D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  <w:tab w:val="left" w:pos="1080"/>
        </w:tabs>
        <w:spacing w:after="0" w:line="264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BB43FB">
        <w:rPr>
          <w:rFonts w:ascii="Sylfaen" w:hAnsi="Sylfaen" w:cs="Sylfaen"/>
          <w:sz w:val="24"/>
          <w:szCs w:val="24"/>
          <w:lang w:val="ka-GE"/>
        </w:rPr>
        <w:t xml:space="preserve"> საკუთარი არგუმენტაციის გასამყარებლად მოსარჩელე</w:t>
      </w:r>
      <w:r w:rsidRPr="0078383A">
        <w:rPr>
          <w:rFonts w:ascii="Sylfaen" w:hAnsi="Sylfaen" w:cs="Sylfaen"/>
          <w:sz w:val="24"/>
          <w:szCs w:val="24"/>
          <w:lang w:val="ka-GE"/>
        </w:rPr>
        <w:t xml:space="preserve"> მხარე მიუთითებს საქართველოს საკონსტიტუციო სასამართლოს პრაქტიკაზე.</w:t>
      </w:r>
    </w:p>
    <w:p w:rsidR="0071701D" w:rsidRPr="00881E1A" w:rsidRDefault="0071701D" w:rsidP="0071701D">
      <w:pPr>
        <w:pStyle w:val="ListParagraph"/>
        <w:tabs>
          <w:tab w:val="left" w:pos="810"/>
          <w:tab w:val="left" w:pos="900"/>
          <w:tab w:val="left" w:pos="990"/>
        </w:tabs>
        <w:spacing w:after="0" w:line="264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71701D" w:rsidRDefault="0071701D" w:rsidP="0071701D">
      <w:pPr>
        <w:ind w:firstLine="720"/>
        <w:rPr>
          <w:rFonts w:ascii="Sylfaen" w:hAnsi="Sylfaen"/>
          <w:sz w:val="24"/>
          <w:szCs w:val="24"/>
          <w:lang w:val="ka-GE"/>
        </w:rPr>
      </w:pPr>
    </w:p>
    <w:p w:rsidR="0071701D" w:rsidRDefault="0071701D" w:rsidP="0071701D">
      <w:pPr>
        <w:spacing w:after="0"/>
        <w:ind w:firstLine="720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II</w:t>
      </w:r>
      <w:r>
        <w:rPr>
          <w:rFonts w:ascii="Sylfaen" w:hAnsi="Sylfaen"/>
          <w:b/>
          <w:sz w:val="24"/>
          <w:szCs w:val="24"/>
          <w:lang w:val="ka-GE"/>
        </w:rPr>
        <w:t xml:space="preserve"> სამოტივაციო ნაწილი</w:t>
      </w:r>
    </w:p>
    <w:p w:rsidR="0071701D" w:rsidRPr="00260FD3" w:rsidRDefault="0071701D" w:rsidP="0071701D">
      <w:pPr>
        <w:spacing w:after="0"/>
        <w:ind w:firstLine="720"/>
        <w:jc w:val="center"/>
        <w:rPr>
          <w:rFonts w:ascii="Sylfaen" w:hAnsi="Sylfaen"/>
          <w:b/>
          <w:sz w:val="24"/>
          <w:szCs w:val="24"/>
        </w:rPr>
      </w:pPr>
    </w:p>
    <w:p w:rsidR="0071701D" w:rsidRDefault="0071701D" w:rsidP="0071701D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საქართველოს საკონსტიტუციო სასამართლოს პლენუმი მიიჩნევს, რომ №678 კონსტიტუციური სარჩელი აკმაყოფილებს „საკონსტიტუციო სამართალწარმოების შესახებ“ საქართველოს კანონის მე-16 მუხლის პირველი და მე-2 პუნქტების მოთხოვნებს და არ არსებობს ამავე კანონის მე-18 მუხლით გათვალისწინებული </w:t>
      </w:r>
      <w:r>
        <w:rPr>
          <w:rFonts w:ascii="Sylfaen" w:hAnsi="Sylfaen"/>
          <w:sz w:val="24"/>
          <w:szCs w:val="24"/>
          <w:lang w:val="ka-GE"/>
        </w:rPr>
        <w:lastRenderedPageBreak/>
        <w:t>კონსტიტუციური სარჩელის არსებითად განსახილველად მიღებაზე უარის თქმის რომელიმე საფუძველი.</w:t>
      </w:r>
    </w:p>
    <w:p w:rsidR="0071701D" w:rsidRDefault="0071701D" w:rsidP="0071701D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71701D" w:rsidRDefault="0071701D" w:rsidP="0071701D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71701D" w:rsidRDefault="0071701D" w:rsidP="0071701D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71701D" w:rsidRDefault="0071701D" w:rsidP="0071701D">
      <w:pPr>
        <w:spacing w:after="0"/>
        <w:ind w:firstLine="720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III</w:t>
      </w:r>
      <w:r>
        <w:rPr>
          <w:rFonts w:ascii="Sylfaen" w:hAnsi="Sylfaen"/>
          <w:b/>
          <w:sz w:val="24"/>
          <w:szCs w:val="24"/>
          <w:lang w:val="ka-GE"/>
        </w:rPr>
        <w:t xml:space="preserve"> სარეზოლუციო ნაწილი</w:t>
      </w:r>
    </w:p>
    <w:p w:rsidR="0071701D" w:rsidRPr="00260FD3" w:rsidRDefault="0071701D" w:rsidP="0071701D">
      <w:pPr>
        <w:spacing w:after="0"/>
        <w:ind w:firstLine="720"/>
        <w:jc w:val="center"/>
        <w:rPr>
          <w:rFonts w:ascii="Sylfaen" w:hAnsi="Sylfaen"/>
          <w:b/>
          <w:sz w:val="24"/>
          <w:szCs w:val="24"/>
        </w:rPr>
      </w:pPr>
    </w:p>
    <w:p w:rsidR="0071701D" w:rsidRPr="00260FD3" w:rsidRDefault="0071701D" w:rsidP="0071701D">
      <w:pPr>
        <w:spacing w:after="0"/>
        <w:ind w:firstLine="720"/>
        <w:rPr>
          <w:rFonts w:ascii="Sylfaen" w:hAnsi="Sylfaen"/>
          <w:b/>
          <w:sz w:val="24"/>
          <w:szCs w:val="24"/>
        </w:rPr>
      </w:pPr>
    </w:p>
    <w:p w:rsidR="0071701D" w:rsidRPr="008B0997" w:rsidRDefault="0071701D" w:rsidP="0071701D">
      <w:pPr>
        <w:spacing w:after="0"/>
        <w:jc w:val="both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5A5522">
        <w:rPr>
          <w:rFonts w:ascii="Sylfaen" w:hAnsi="Sylfaen"/>
          <w:noProof/>
          <w:sz w:val="24"/>
          <w:szCs w:val="24"/>
        </w:rPr>
        <w:t>საქართველოს კონსტიტუციის 89–ე მუხლის პირველი პუნქტის „ვ“ ქვეპუნქტის, „საქართველოს საკონსტიტუციო სასამართლოს შესახებ“ საქართველოს ორგანული კანონის მე–19 მუხლის პირველი პუნქტის „ე“ ქვეპუნქტის, 21</w:t>
      </w:r>
      <w:r w:rsidRPr="005A5522">
        <w:rPr>
          <w:rFonts w:ascii="Sylfaen" w:hAnsi="Sylfaen"/>
          <w:noProof/>
          <w:sz w:val="24"/>
          <w:szCs w:val="24"/>
          <w:vertAlign w:val="superscript"/>
        </w:rPr>
        <w:t xml:space="preserve">1 </w:t>
      </w:r>
      <w:r w:rsidRPr="005A5522">
        <w:rPr>
          <w:rFonts w:ascii="Sylfaen" w:hAnsi="Sylfaen"/>
          <w:noProof/>
          <w:sz w:val="24"/>
          <w:szCs w:val="24"/>
        </w:rPr>
        <w:t>მუხლის, 27</w:t>
      </w:r>
      <w:r w:rsidRPr="005A5522">
        <w:rPr>
          <w:rFonts w:ascii="Sylfaen" w:hAnsi="Sylfaen"/>
          <w:noProof/>
          <w:sz w:val="24"/>
          <w:szCs w:val="24"/>
          <w:vertAlign w:val="superscript"/>
        </w:rPr>
        <w:t>1</w:t>
      </w:r>
      <w:r w:rsidRPr="005A5522">
        <w:rPr>
          <w:rFonts w:ascii="Sylfaen" w:hAnsi="Sylfaen"/>
          <w:noProof/>
          <w:sz w:val="24"/>
          <w:szCs w:val="24"/>
        </w:rPr>
        <w:t xml:space="preserve"> მუხლის პირველი პუნქტის, 39–ე მუხლის პირველი პუნქტის „ა“ ქვეპუნქტის, 43–ე მუხლის მე–5 და მე–8 პუნქტების, „საკონსტიტუციო სამართალწარმოების შესახებ“ საქართველოს კანონის მე–16 მუხლის,</w:t>
      </w:r>
      <w:r>
        <w:rPr>
          <w:rFonts w:ascii="Sylfaen" w:hAnsi="Sylfaen"/>
          <w:noProof/>
          <w:sz w:val="24"/>
          <w:szCs w:val="24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მე-18 მუხლის,</w:t>
      </w:r>
      <w:r w:rsidRPr="005A5522">
        <w:rPr>
          <w:rFonts w:ascii="Sylfaen" w:hAnsi="Sylfaen"/>
          <w:noProof/>
          <w:sz w:val="24"/>
          <w:szCs w:val="24"/>
        </w:rPr>
        <w:t xml:space="preserve"> 21–ე მუხლის</w:t>
      </w:r>
      <w:r>
        <w:rPr>
          <w:rFonts w:ascii="Sylfaen" w:hAnsi="Sylfaen"/>
          <w:noProof/>
          <w:sz w:val="24"/>
          <w:szCs w:val="24"/>
        </w:rPr>
        <w:t xml:space="preserve"> პირველი პუნქტის და 22–ე მუხლის</w:t>
      </w:r>
      <w:r w:rsidRPr="005A5522">
        <w:rPr>
          <w:rFonts w:ascii="Sylfaen" w:hAnsi="Sylfaen"/>
          <w:noProof/>
          <w:sz w:val="24"/>
          <w:szCs w:val="24"/>
        </w:rPr>
        <w:t xml:space="preserve"> </w:t>
      </w:r>
      <w:r>
        <w:rPr>
          <w:rFonts w:ascii="Sylfaen" w:hAnsi="Sylfaen"/>
          <w:noProof/>
          <w:sz w:val="24"/>
          <w:szCs w:val="24"/>
        </w:rPr>
        <w:t>საფუძველზე,</w:t>
      </w:r>
    </w:p>
    <w:p w:rsidR="0071701D" w:rsidRPr="00510FC2" w:rsidRDefault="0071701D" w:rsidP="0071701D">
      <w:pPr>
        <w:tabs>
          <w:tab w:val="left" w:pos="1170"/>
        </w:tabs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71701D" w:rsidRDefault="0071701D" w:rsidP="0071701D">
      <w:pPr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საქართველოს საკონსტიტუციო სასამართლო</w:t>
      </w:r>
    </w:p>
    <w:p w:rsidR="0071701D" w:rsidRDefault="0071701D" w:rsidP="0071701D">
      <w:pPr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 დ გ ე ნ ს:</w:t>
      </w:r>
    </w:p>
    <w:p w:rsidR="0071701D" w:rsidRDefault="0071701D" w:rsidP="0071701D">
      <w:pPr>
        <w:pStyle w:val="ListParagraph"/>
        <w:numPr>
          <w:ilvl w:val="0"/>
          <w:numId w:val="2"/>
        </w:numPr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მიღებულ იქნეს არსებითად განსახილველად №678 კონსტიტუციური სარჩელი (</w:t>
      </w:r>
      <w:r w:rsidRPr="00881E1A">
        <w:rPr>
          <w:rFonts w:ascii="Sylfaen" w:hAnsi="Sylfaen"/>
          <w:noProof/>
          <w:sz w:val="24"/>
          <w:szCs w:val="24"/>
          <w:lang w:val="ka-GE"/>
        </w:rPr>
        <w:t>„შპს სამაუწყებლო კომპანია რუსთავი 2“ და „შპს ტელეკომპანია საქართველო“ საქართველოს პარლამენტის 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881E1A">
        <w:rPr>
          <w:rFonts w:ascii="Sylfaen" w:hAnsi="Sylfaen"/>
          <w:noProof/>
          <w:sz w:val="24"/>
          <w:szCs w:val="24"/>
          <w:lang w:val="ka-GE"/>
        </w:rPr>
        <w:t>საქართველოს სამოქალაქო საპროცესო კოდექსის 423-ე მუხლის პირველი ნაწილის კონსტიტუციურობ</w:t>
      </w:r>
      <w:r>
        <w:rPr>
          <w:rFonts w:ascii="Sylfaen" w:hAnsi="Sylfaen"/>
          <w:noProof/>
          <w:sz w:val="24"/>
          <w:szCs w:val="24"/>
          <w:lang w:val="ka-GE"/>
        </w:rPr>
        <w:t>ის თაობაზე</w:t>
      </w:r>
      <w:r w:rsidRPr="00881E1A">
        <w:rPr>
          <w:rFonts w:ascii="Sylfaen" w:hAnsi="Sylfaen"/>
          <w:noProof/>
          <w:sz w:val="24"/>
          <w:szCs w:val="24"/>
          <w:lang w:val="ka-GE"/>
        </w:rPr>
        <w:t xml:space="preserve"> საქართველოს კონსტიტუციის 42-ე მუხლის პირველ პუნქტთან მიმართებით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71701D" w:rsidRPr="00C6571B" w:rsidRDefault="0071701D" w:rsidP="0071701D">
      <w:pPr>
        <w:pStyle w:val="ListParagraph"/>
        <w:numPr>
          <w:ilvl w:val="0"/>
          <w:numId w:val="2"/>
        </w:numPr>
        <w:ind w:left="0" w:firstLine="284"/>
        <w:jc w:val="both"/>
        <w:rPr>
          <w:rFonts w:ascii="Sylfaen" w:eastAsia="Times New Roman" w:hAnsi="Sylfaen"/>
          <w:sz w:val="24"/>
          <w:szCs w:val="24"/>
          <w:lang w:val="ka-GE"/>
        </w:rPr>
      </w:pPr>
      <w:r w:rsidRPr="00C6571B">
        <w:rPr>
          <w:rFonts w:ascii="Sylfaen" w:hAnsi="Sylfaen" w:cs="Sylfaen"/>
          <w:sz w:val="24"/>
          <w:szCs w:val="24"/>
          <w:lang w:val="ka-GE"/>
        </w:rPr>
        <w:t>საქმის</w:t>
      </w:r>
      <w:r w:rsidRPr="00C6571B">
        <w:rPr>
          <w:rFonts w:ascii="Sylfaen" w:hAnsi="Sylfaen"/>
          <w:sz w:val="24"/>
          <w:szCs w:val="24"/>
          <w:lang w:val="ka-GE"/>
        </w:rPr>
        <w:t xml:space="preserve"> არსებითი განხილვა დაიწყება „საქართველოს საკონსტიტუციო სასამართლოს შესახებ“ საქართველოს ორგანული კანონის 22-ე მუხლის პირველი პუნქტის შესაბამისად.</w:t>
      </w:r>
    </w:p>
    <w:p w:rsidR="0071701D" w:rsidRPr="00BF5602" w:rsidRDefault="0071701D" w:rsidP="0071701D">
      <w:pPr>
        <w:pStyle w:val="ListParagraph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BF5602">
        <w:rPr>
          <w:rFonts w:ascii="Sylfaen" w:hAnsi="Sylfaen"/>
          <w:sz w:val="24"/>
          <w:szCs w:val="24"/>
          <w:lang w:val="ka-GE"/>
        </w:rPr>
        <w:t>საქმეს არსებითად განიხილავს საქართველოს საკონსტიტუციო სასამართლოს პლენუმი.</w:t>
      </w:r>
    </w:p>
    <w:p w:rsidR="0071701D" w:rsidRPr="00BF5602" w:rsidRDefault="0071701D" w:rsidP="0071701D">
      <w:pPr>
        <w:pStyle w:val="ListParagraph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BF5602">
        <w:rPr>
          <w:rFonts w:ascii="Sylfaen" w:hAnsi="Sylfaen"/>
          <w:sz w:val="24"/>
          <w:szCs w:val="24"/>
          <w:lang w:val="ka-GE"/>
        </w:rPr>
        <w:t>საოქმო ჩანაწერი საბოლოოა და გასაჩივრებას ან გადასინჯვას არ ექვემდებარება.</w:t>
      </w:r>
    </w:p>
    <w:p w:rsidR="0071701D" w:rsidRDefault="0071701D" w:rsidP="0071701D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5. </w:t>
      </w:r>
      <w:r w:rsidRPr="00BF5602">
        <w:rPr>
          <w:rFonts w:ascii="Sylfaen" w:hAnsi="Sylfaen"/>
          <w:sz w:val="24"/>
          <w:szCs w:val="24"/>
          <w:lang w:val="ka-GE"/>
        </w:rPr>
        <w:t>საოქმო ჩანაწერი გაეგზავნოს მხარეებს.</w:t>
      </w:r>
    </w:p>
    <w:p w:rsidR="0071701D" w:rsidRDefault="0071701D" w:rsidP="0071701D">
      <w:pPr>
        <w:ind w:left="720"/>
        <w:jc w:val="both"/>
        <w:rPr>
          <w:rFonts w:ascii="Sylfaen" w:hAnsi="Sylfaen"/>
          <w:sz w:val="24"/>
          <w:szCs w:val="24"/>
          <w:lang w:val="ka-GE"/>
        </w:rPr>
      </w:pPr>
    </w:p>
    <w:p w:rsidR="0071701D" w:rsidRDefault="0071701D" w:rsidP="0071701D">
      <w:pPr>
        <w:tabs>
          <w:tab w:val="left" w:pos="1080"/>
        </w:tabs>
        <w:ind w:left="72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პლენუმის წევრები:</w:t>
      </w:r>
    </w:p>
    <w:p w:rsidR="0071701D" w:rsidRDefault="0071701D" w:rsidP="0071701D">
      <w:pPr>
        <w:tabs>
          <w:tab w:val="left" w:pos="1080"/>
        </w:tabs>
        <w:ind w:left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1701D" w:rsidRPr="00700747" w:rsidRDefault="0071701D" w:rsidP="0071701D">
      <w:pPr>
        <w:tabs>
          <w:tab w:val="left" w:pos="1080"/>
        </w:tabs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700747">
        <w:rPr>
          <w:rFonts w:ascii="Sylfaen" w:hAnsi="Sylfaen"/>
          <w:sz w:val="24"/>
          <w:szCs w:val="24"/>
          <w:lang w:val="ka-GE"/>
        </w:rPr>
        <w:lastRenderedPageBreak/>
        <w:t xml:space="preserve">გიორგი პაპუაშვილი </w:t>
      </w:r>
    </w:p>
    <w:p w:rsidR="0071701D" w:rsidRPr="00700747" w:rsidRDefault="0071701D" w:rsidP="0071701D">
      <w:pPr>
        <w:tabs>
          <w:tab w:val="left" w:pos="1080"/>
        </w:tabs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700747">
        <w:rPr>
          <w:rFonts w:ascii="Sylfaen" w:hAnsi="Sylfaen"/>
          <w:sz w:val="24"/>
          <w:szCs w:val="24"/>
          <w:lang w:val="ka-GE"/>
        </w:rPr>
        <w:t xml:space="preserve">კონსტანტინე ვარძელაშვილი </w:t>
      </w:r>
    </w:p>
    <w:p w:rsidR="0071701D" w:rsidRDefault="0071701D" w:rsidP="0071701D">
      <w:pPr>
        <w:tabs>
          <w:tab w:val="left" w:pos="1080"/>
        </w:tabs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700747">
        <w:rPr>
          <w:rFonts w:ascii="Sylfaen" w:hAnsi="Sylfaen"/>
          <w:sz w:val="24"/>
          <w:szCs w:val="24"/>
          <w:lang w:val="ka-GE"/>
        </w:rPr>
        <w:t>ქეთევან ერემაძე</w:t>
      </w:r>
    </w:p>
    <w:p w:rsidR="0071701D" w:rsidRPr="00700747" w:rsidRDefault="0071701D" w:rsidP="0071701D">
      <w:pPr>
        <w:tabs>
          <w:tab w:val="left" w:pos="1080"/>
        </w:tabs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700747">
        <w:rPr>
          <w:rFonts w:ascii="Sylfaen" w:hAnsi="Sylfaen"/>
          <w:sz w:val="24"/>
          <w:szCs w:val="24"/>
          <w:lang w:val="ka-GE"/>
        </w:rPr>
        <w:t xml:space="preserve">მაია კოპალეიშვილი </w:t>
      </w:r>
    </w:p>
    <w:p w:rsidR="0071701D" w:rsidRDefault="0071701D" w:rsidP="0071701D">
      <w:pPr>
        <w:tabs>
          <w:tab w:val="left" w:pos="1080"/>
        </w:tabs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700747">
        <w:rPr>
          <w:rFonts w:ascii="Sylfaen" w:hAnsi="Sylfaen"/>
          <w:sz w:val="24"/>
          <w:szCs w:val="24"/>
          <w:lang w:val="ka-GE"/>
        </w:rPr>
        <w:t>მერაბ ტურავა</w:t>
      </w:r>
    </w:p>
    <w:p w:rsidR="0071701D" w:rsidRDefault="0071701D" w:rsidP="0071701D">
      <w:pPr>
        <w:tabs>
          <w:tab w:val="left" w:pos="1080"/>
        </w:tabs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700747">
        <w:rPr>
          <w:rFonts w:ascii="Sylfaen" w:hAnsi="Sylfaen"/>
          <w:sz w:val="24"/>
          <w:szCs w:val="24"/>
          <w:lang w:val="ka-GE"/>
        </w:rPr>
        <w:t xml:space="preserve">ზაზა თავაძე </w:t>
      </w:r>
    </w:p>
    <w:p w:rsidR="0071701D" w:rsidRPr="00700747" w:rsidRDefault="0071701D" w:rsidP="0071701D">
      <w:pPr>
        <w:tabs>
          <w:tab w:val="left" w:pos="1080"/>
        </w:tabs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700747">
        <w:rPr>
          <w:rFonts w:ascii="Sylfaen" w:hAnsi="Sylfaen"/>
          <w:sz w:val="24"/>
          <w:szCs w:val="24"/>
          <w:lang w:val="ka-GE"/>
        </w:rPr>
        <w:t xml:space="preserve">ოთარ სიჭინავა </w:t>
      </w:r>
    </w:p>
    <w:p w:rsidR="0071701D" w:rsidRPr="00700747" w:rsidRDefault="0071701D" w:rsidP="0071701D">
      <w:pPr>
        <w:tabs>
          <w:tab w:val="left" w:pos="1080"/>
        </w:tabs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700747">
        <w:rPr>
          <w:rFonts w:ascii="Sylfaen" w:hAnsi="Sylfaen"/>
          <w:sz w:val="24"/>
          <w:szCs w:val="24"/>
          <w:lang w:val="ka-GE"/>
        </w:rPr>
        <w:t xml:space="preserve">ლალი ფაფიაშვილი </w:t>
      </w:r>
    </w:p>
    <w:p w:rsidR="0071701D" w:rsidRPr="00700747" w:rsidRDefault="0071701D" w:rsidP="0071701D">
      <w:pPr>
        <w:tabs>
          <w:tab w:val="left" w:pos="1080"/>
        </w:tabs>
        <w:ind w:left="720"/>
        <w:jc w:val="both"/>
        <w:rPr>
          <w:rFonts w:ascii="Sylfaen" w:hAnsi="Sylfaen"/>
          <w:sz w:val="24"/>
          <w:szCs w:val="24"/>
          <w:lang w:val="ka-GE"/>
        </w:rPr>
      </w:pPr>
      <w:r w:rsidRPr="00700747">
        <w:rPr>
          <w:rFonts w:ascii="Sylfaen" w:hAnsi="Sylfaen"/>
          <w:sz w:val="24"/>
          <w:szCs w:val="24"/>
          <w:lang w:val="ka-GE"/>
        </w:rPr>
        <w:t xml:space="preserve">თამაზ ცაბუტაშვილი </w:t>
      </w:r>
    </w:p>
    <w:p w:rsidR="0071701D" w:rsidRPr="002B6993" w:rsidRDefault="0071701D" w:rsidP="0071701D">
      <w:pPr>
        <w:jc w:val="both"/>
        <w:rPr>
          <w:rFonts w:ascii="Sylfaen" w:hAnsi="Sylfaen"/>
          <w:sz w:val="24"/>
          <w:szCs w:val="24"/>
          <w:lang w:val="ka-GE"/>
        </w:rPr>
      </w:pPr>
    </w:p>
    <w:p w:rsidR="0071701D" w:rsidRDefault="0071701D" w:rsidP="0071701D"/>
    <w:p w:rsidR="0071701D" w:rsidRDefault="0071701D" w:rsidP="0071701D"/>
    <w:p w:rsidR="007476BC" w:rsidRDefault="0071701D"/>
    <w:sectPr w:rsidR="007476BC" w:rsidSect="00571E05">
      <w:headerReference w:type="default" r:id="rId5"/>
      <w:footerReference w:type="default" r:id="rId6"/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34910"/>
      <w:docPartObj>
        <w:docPartGallery w:val="Page Numbers (Bottom of Page)"/>
        <w:docPartUnique/>
      </w:docPartObj>
    </w:sdtPr>
    <w:sdtEndPr/>
    <w:sdtContent>
      <w:p w:rsidR="00A62C0A" w:rsidRDefault="007170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2C0A" w:rsidRDefault="0071701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A1" w:rsidRDefault="0071701D">
    <w:pPr>
      <w:pStyle w:val="Header"/>
      <w:jc w:val="right"/>
    </w:pPr>
  </w:p>
  <w:p w:rsidR="00EE39A1" w:rsidRDefault="00717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E1C4D"/>
    <w:multiLevelType w:val="hybridMultilevel"/>
    <w:tmpl w:val="A7F2637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F3F4F"/>
    <w:multiLevelType w:val="hybridMultilevel"/>
    <w:tmpl w:val="320691F6"/>
    <w:lvl w:ilvl="0" w:tplc="A6FEE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EB"/>
    <w:rsid w:val="0011630C"/>
    <w:rsid w:val="001708AF"/>
    <w:rsid w:val="00603A93"/>
    <w:rsid w:val="00661AAB"/>
    <w:rsid w:val="0067042A"/>
    <w:rsid w:val="006C063C"/>
    <w:rsid w:val="0071701D"/>
    <w:rsid w:val="00975EEB"/>
    <w:rsid w:val="00A81BE4"/>
    <w:rsid w:val="00AF384B"/>
    <w:rsid w:val="00E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16988-50DB-4B53-95E4-71270C4C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1D"/>
    <w:pPr>
      <w:spacing w:after="200"/>
      <w:ind w:firstLine="0"/>
      <w:jc w:val="left"/>
    </w:pPr>
    <w:rPr>
      <w:rFonts w:asciiTheme="minorHAnsi" w:eastAsiaTheme="minorEastAsia" w:hAnsi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C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30C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0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C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630C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0C"/>
    <w:rPr>
      <w:rFonts w:eastAsiaTheme="majorEastAsia" w:cstheme="majorBidi"/>
      <w:i/>
      <w:iCs/>
    </w:rPr>
  </w:style>
  <w:style w:type="paragraph" w:styleId="ListParagraph">
    <w:name w:val="List Paragraph"/>
    <w:basedOn w:val="Normal"/>
    <w:uiPriority w:val="34"/>
    <w:qFormat/>
    <w:rsid w:val="0071701D"/>
    <w:pPr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71701D"/>
    <w:pPr>
      <w:spacing w:after="0" w:line="360" w:lineRule="auto"/>
      <w:ind w:firstLine="720"/>
      <w:jc w:val="both"/>
    </w:pPr>
    <w:rPr>
      <w:rFonts w:ascii="LitNusx" w:eastAsia="Times New Roman" w:hAnsi="LitNusx" w:cs="Times New Roman"/>
      <w:sz w:val="28"/>
      <w:szCs w:val="28"/>
      <w:lang w:val="ka-GE"/>
    </w:rPr>
  </w:style>
  <w:style w:type="character" w:customStyle="1" w:styleId="BodyTextIndentChar">
    <w:name w:val="Body Text Indent Char"/>
    <w:basedOn w:val="DefaultParagraphFont"/>
    <w:link w:val="BodyTextIndent"/>
    <w:rsid w:val="0071701D"/>
    <w:rPr>
      <w:rFonts w:ascii="LitNusx" w:eastAsia="Times New Roman" w:hAnsi="LitNusx" w:cs="Times New Roman"/>
      <w:sz w:val="28"/>
      <w:szCs w:val="28"/>
      <w:lang w:val="ka-GE"/>
    </w:rPr>
  </w:style>
  <w:style w:type="paragraph" w:styleId="Header">
    <w:name w:val="header"/>
    <w:basedOn w:val="Normal"/>
    <w:link w:val="HeaderChar"/>
    <w:uiPriority w:val="99"/>
    <w:unhideWhenUsed/>
    <w:rsid w:val="0071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1D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1D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obol</dc:creator>
  <cp:keywords/>
  <dc:description/>
  <cp:lastModifiedBy>tor obol</cp:lastModifiedBy>
  <cp:revision>2</cp:revision>
  <dcterms:created xsi:type="dcterms:W3CDTF">2019-11-16T11:18:00Z</dcterms:created>
  <dcterms:modified xsi:type="dcterms:W3CDTF">2019-11-16T11:18:00Z</dcterms:modified>
</cp:coreProperties>
</file>