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C8" w:rsidRP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t>მეორე კოლეგია</w:t>
      </w:r>
    </w:p>
    <w:p w:rsidR="00534EC8" w:rsidRP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t>განმწესრიგებელი სხდომის</w:t>
      </w:r>
    </w:p>
    <w:p w:rsidR="00534EC8" w:rsidRP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t>ს ა ო ქ მ ო   ჩ ა ნ ა წ ე რ ი</w:t>
      </w:r>
    </w:p>
    <w:p w:rsidR="00534EC8" w:rsidRP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spacing w:after="0" w:line="276" w:lineRule="auto"/>
        <w:ind w:firstLine="360"/>
        <w:jc w:val="both"/>
        <w:rPr>
          <w:rFonts w:ascii="Sylfaen" w:hAnsi="Sylfaen"/>
          <w:sz w:val="24"/>
          <w:szCs w:val="24"/>
          <w:lang w:val="ka-GE"/>
        </w:rPr>
      </w:pPr>
      <w:r>
        <w:rPr>
          <w:rFonts w:ascii="Sylfaen" w:hAnsi="Sylfaen"/>
          <w:sz w:val="24"/>
          <w:szCs w:val="24"/>
          <w:lang w:val="ka-GE"/>
        </w:rPr>
        <w:t>№</w:t>
      </w:r>
      <w:r w:rsidRPr="00534EC8">
        <w:rPr>
          <w:rFonts w:ascii="Sylfaen" w:hAnsi="Sylfaen"/>
          <w:sz w:val="24"/>
          <w:szCs w:val="24"/>
          <w:lang w:val="ka-GE"/>
        </w:rPr>
        <w:t xml:space="preserve">2\8\342                                      </w:t>
      </w:r>
      <w:r>
        <w:rPr>
          <w:rFonts w:ascii="Sylfaen" w:hAnsi="Sylfaen"/>
          <w:sz w:val="24"/>
          <w:szCs w:val="24"/>
          <w:lang w:val="ka-GE"/>
        </w:rPr>
        <w:tab/>
      </w:r>
      <w:r>
        <w:rPr>
          <w:rFonts w:ascii="Sylfaen" w:hAnsi="Sylfaen"/>
          <w:sz w:val="24"/>
          <w:szCs w:val="24"/>
          <w:lang w:val="ka-GE"/>
        </w:rPr>
        <w:tab/>
        <w:t xml:space="preserve"> </w:t>
      </w:r>
      <w:r w:rsidRPr="00534EC8">
        <w:rPr>
          <w:rFonts w:ascii="Sylfaen" w:hAnsi="Sylfaen"/>
          <w:sz w:val="24"/>
          <w:szCs w:val="24"/>
          <w:lang w:val="ka-GE"/>
        </w:rPr>
        <w:t xml:space="preserve">თბილისი, 2005 წლის 28 სექტემბერი </w:t>
      </w:r>
    </w:p>
    <w:p w:rsidR="00534EC8" w:rsidRP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კოლეგიის შემადგენლობა:</w:t>
      </w:r>
    </w:p>
    <w:p w:rsidR="00534EC8" w:rsidRPr="00534EC8" w:rsidRDefault="00534EC8" w:rsidP="00534EC8">
      <w:pPr>
        <w:pStyle w:val="ListParagraph"/>
        <w:numPr>
          <w:ilvl w:val="0"/>
          <w:numId w:val="2"/>
        </w:numPr>
        <w:spacing w:after="0" w:line="276" w:lineRule="auto"/>
        <w:ind w:left="720" w:hanging="360"/>
        <w:jc w:val="both"/>
        <w:rPr>
          <w:rFonts w:ascii="Sylfaen" w:hAnsi="Sylfaen"/>
          <w:sz w:val="24"/>
          <w:szCs w:val="24"/>
        </w:rPr>
      </w:pPr>
      <w:r w:rsidRPr="00534EC8">
        <w:rPr>
          <w:rFonts w:ascii="Sylfaen" w:hAnsi="Sylfaen"/>
          <w:sz w:val="24"/>
          <w:szCs w:val="24"/>
          <w:lang w:val="ka-GE"/>
        </w:rPr>
        <w:t>ნიკოლოზ ჩერქეზიშვილი</w:t>
      </w:r>
      <w:r w:rsidRPr="00534EC8">
        <w:rPr>
          <w:rFonts w:ascii="Sylfaen" w:hAnsi="Sylfaen"/>
          <w:sz w:val="24"/>
          <w:szCs w:val="24"/>
        </w:rPr>
        <w:t xml:space="preserve"> </w:t>
      </w:r>
      <w:r w:rsidRPr="00534EC8">
        <w:rPr>
          <w:rFonts w:ascii="Sylfaen" w:hAnsi="Sylfaen"/>
          <w:sz w:val="24"/>
          <w:szCs w:val="24"/>
          <w:lang w:val="ka-GE"/>
        </w:rPr>
        <w:t>(სხდომის თავმჯდომარე,</w:t>
      </w:r>
      <w:r w:rsidRPr="00534EC8">
        <w:rPr>
          <w:rFonts w:ascii="Sylfaen" w:hAnsi="Sylfaen"/>
          <w:sz w:val="24"/>
          <w:szCs w:val="24"/>
        </w:rPr>
        <w:t xml:space="preserve"> </w:t>
      </w:r>
      <w:r w:rsidRPr="00534EC8">
        <w:rPr>
          <w:rFonts w:ascii="Sylfaen" w:hAnsi="Sylfaen"/>
          <w:sz w:val="24"/>
          <w:szCs w:val="24"/>
          <w:lang w:val="ka-GE"/>
        </w:rPr>
        <w:t xml:space="preserve">მომხსენებელი მოსამართლე); </w:t>
      </w:r>
    </w:p>
    <w:p w:rsidR="00534EC8" w:rsidRPr="00534EC8" w:rsidRDefault="00534EC8" w:rsidP="00534EC8">
      <w:pPr>
        <w:pStyle w:val="ListParagraph"/>
        <w:numPr>
          <w:ilvl w:val="0"/>
          <w:numId w:val="2"/>
        </w:numPr>
        <w:spacing w:after="0" w:line="276" w:lineRule="auto"/>
        <w:ind w:left="720" w:hanging="360"/>
        <w:jc w:val="both"/>
        <w:rPr>
          <w:rFonts w:ascii="Sylfaen" w:hAnsi="Sylfaen"/>
          <w:sz w:val="24"/>
          <w:szCs w:val="24"/>
          <w:lang w:val="ka-GE"/>
        </w:rPr>
      </w:pPr>
      <w:r w:rsidRPr="00534EC8">
        <w:rPr>
          <w:rFonts w:ascii="Sylfaen" w:hAnsi="Sylfaen"/>
          <w:sz w:val="24"/>
          <w:szCs w:val="24"/>
          <w:lang w:val="ka-GE"/>
        </w:rPr>
        <w:t>ლამარა ჩორგოლაშვილი - წევრი;</w:t>
      </w:r>
    </w:p>
    <w:p w:rsidR="00534EC8" w:rsidRPr="00534EC8" w:rsidRDefault="00534EC8" w:rsidP="00534EC8">
      <w:pPr>
        <w:pStyle w:val="ListParagraph"/>
        <w:numPr>
          <w:ilvl w:val="0"/>
          <w:numId w:val="2"/>
        </w:numPr>
        <w:spacing w:after="0" w:line="276" w:lineRule="auto"/>
        <w:ind w:left="720" w:hanging="360"/>
        <w:jc w:val="both"/>
        <w:rPr>
          <w:rFonts w:ascii="Sylfaen" w:hAnsi="Sylfaen"/>
          <w:sz w:val="24"/>
          <w:szCs w:val="24"/>
          <w:lang w:val="ka-GE"/>
        </w:rPr>
      </w:pPr>
      <w:r w:rsidRPr="00534EC8">
        <w:rPr>
          <w:rFonts w:ascii="Sylfaen" w:hAnsi="Sylfaen"/>
          <w:sz w:val="24"/>
          <w:szCs w:val="24"/>
          <w:lang w:val="ka-GE"/>
        </w:rPr>
        <w:t>ზაურ ჯინჯოლავა  - წევრი.</w:t>
      </w:r>
    </w:p>
    <w:p w:rsidR="00534EC8" w:rsidRPr="00534EC8" w:rsidRDefault="00534EC8" w:rsidP="00534EC8">
      <w:pPr>
        <w:spacing w:after="0" w:line="276" w:lineRule="auto"/>
        <w:ind w:firstLine="360"/>
        <w:jc w:val="both"/>
        <w:rPr>
          <w:rFonts w:ascii="Sylfaen" w:hAnsi="Sylfaen"/>
          <w:sz w:val="24"/>
          <w:szCs w:val="24"/>
          <w:lang w:val="ka-GE"/>
        </w:rPr>
      </w:pPr>
    </w:p>
    <w:p w:rsid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სხდომის მდივანი:    ელენე ლაღიძე. </w:t>
      </w:r>
    </w:p>
    <w:p w:rsidR="00534EC8" w:rsidRPr="00534EC8" w:rsidRDefault="00534EC8" w:rsidP="00534EC8">
      <w:pPr>
        <w:spacing w:after="0" w:line="276" w:lineRule="auto"/>
        <w:ind w:firstLine="360"/>
        <w:jc w:val="both"/>
        <w:rPr>
          <w:rFonts w:ascii="Sylfaen" w:hAnsi="Sylfaen"/>
          <w:sz w:val="24"/>
          <w:szCs w:val="24"/>
          <w:lang w:val="ka-GE"/>
        </w:rPr>
      </w:pPr>
    </w:p>
    <w:p w:rsid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საქმის დასახელება: საქართველოს მოქალაქე გვიდონ გადელია საქართველოს პრეზიდენტის და საქართველოს პარლამენტის წინააღმდეგ.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დავის საგანი: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1996 წლის 16 ოქტომბრის საქართველოს კანონის და საქართველოს პრეზიდენტის 2004 წლის 10 ივნისის </w:t>
      </w:r>
      <w:r>
        <w:rPr>
          <w:rFonts w:ascii="Sylfaen" w:hAnsi="Sylfaen"/>
          <w:sz w:val="24"/>
          <w:szCs w:val="24"/>
          <w:lang w:val="ka-GE"/>
        </w:rPr>
        <w:t>№</w:t>
      </w:r>
      <w:r w:rsidRPr="00534EC8">
        <w:rPr>
          <w:rFonts w:ascii="Sylfaen" w:hAnsi="Sylfaen"/>
          <w:sz w:val="24"/>
          <w:szCs w:val="24"/>
          <w:lang w:val="ka-GE"/>
        </w:rPr>
        <w:t xml:space="preserve">213 და საქართველოს პრეზიდენტის 2004 წლის 30 დეკემბრის </w:t>
      </w:r>
      <w:r>
        <w:rPr>
          <w:rFonts w:ascii="Sylfaen" w:hAnsi="Sylfaen"/>
          <w:sz w:val="24"/>
          <w:szCs w:val="24"/>
          <w:lang w:val="ka-GE"/>
        </w:rPr>
        <w:t>№</w:t>
      </w:r>
      <w:r w:rsidRPr="00534EC8">
        <w:rPr>
          <w:rFonts w:ascii="Sylfaen" w:hAnsi="Sylfaen"/>
          <w:sz w:val="24"/>
          <w:szCs w:val="24"/>
          <w:lang w:val="ka-GE"/>
        </w:rPr>
        <w:t xml:space="preserve">624 ბრძანებულებების –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w:t>
      </w:r>
      <w:r>
        <w:rPr>
          <w:rFonts w:ascii="Sylfaen" w:hAnsi="Sylfaen"/>
          <w:sz w:val="24"/>
          <w:szCs w:val="24"/>
          <w:lang w:val="ka-GE"/>
        </w:rPr>
        <w:t>№</w:t>
      </w:r>
      <w:r w:rsidRPr="00534EC8">
        <w:rPr>
          <w:rFonts w:ascii="Sylfaen" w:hAnsi="Sylfaen"/>
          <w:sz w:val="24"/>
          <w:szCs w:val="24"/>
          <w:lang w:val="ka-GE"/>
        </w:rPr>
        <w:t xml:space="preserve">139 ბრძანებულებით დამტკიცებულ დებულებაში ცვლილებების შეტანის შესახებ” კონსტიტუციურობა, საქართველოს კონსტიტუციის მე-14 მუხლთან და 38-ე მუხლის პირველ პუნქტთან მიმართებით.    </w:t>
      </w:r>
    </w:p>
    <w:p w:rsidR="00534EC8" w:rsidRP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საქმის განხილვის მონაწილენი:  მოსარჩელე  გვიდონ გადელია.  </w:t>
      </w:r>
    </w:p>
    <w:p w:rsidR="00534EC8" w:rsidRPr="00534EC8" w:rsidRDefault="00534EC8" w:rsidP="00534EC8">
      <w:pPr>
        <w:spacing w:after="0" w:line="276" w:lineRule="auto"/>
        <w:ind w:firstLine="360"/>
        <w:jc w:val="both"/>
        <w:rPr>
          <w:rFonts w:ascii="Sylfaen" w:hAnsi="Sylfaen"/>
          <w:sz w:val="24"/>
          <w:szCs w:val="24"/>
          <w:lang w:val="ka-GE"/>
        </w:rPr>
      </w:pPr>
    </w:p>
    <w:p w:rsidR="00534EC8" w:rsidRDefault="00534EC8">
      <w:pPr>
        <w:rPr>
          <w:rFonts w:ascii="Sylfaen" w:hAnsi="Sylfaen"/>
          <w:sz w:val="24"/>
          <w:szCs w:val="24"/>
          <w:lang w:val="ka-GE"/>
        </w:rPr>
      </w:pPr>
      <w:r>
        <w:rPr>
          <w:rFonts w:ascii="Sylfaen" w:hAnsi="Sylfaen"/>
          <w:sz w:val="24"/>
          <w:szCs w:val="24"/>
          <w:lang w:val="ka-GE"/>
        </w:rPr>
        <w:br w:type="page"/>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lastRenderedPageBreak/>
        <w:t xml:space="preserve">წარმოდგენილი 342-ე ნომრით რეგისტრირებული კონსტიტუციური სარჩელი საქართველოს საკონსტიტუციო სასამართლოში შემოტანილია 2005 წლის 27 ივლისს.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342-ე ნომრით რეგისტრირებული კონსტიტუციური სარჩელის გაანალიზების, განმწესრიგებელ სასამართლო სხდომაზე გამოსული მოსარჩელის განცხადებათა საფუძველზე საქართველოს საკონსტიტუციო სასამართლოს მეორე კოლეგიამ გამოარკვია კონსტიტუციური სარჩელის არსებითად განსახილველად მიღებასთან და მისი 326-ე ნომრით რეგისტრირებულ კონსტიტუციურ სარჩელთან ერთ საქმედ გაერთიანებასთან დაკავშირებული გარემოებანი.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საქართველოს საკონსტიტუციო სასამართლოს მეორე კოლეგიას მიაჩნია, რომ 342-ე ნომრით რეგისტრირებულ კონსტიტუციურ სარჩელში, დაცულია </w:t>
      </w:r>
      <w:r>
        <w:rPr>
          <w:rFonts w:ascii="Sylfaen" w:hAnsi="Sylfaen"/>
          <w:sz w:val="24"/>
          <w:szCs w:val="24"/>
          <w:lang w:val="ka-GE"/>
        </w:rPr>
        <w:t>„</w:t>
      </w:r>
      <w:r w:rsidRPr="00534EC8">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534EC8">
        <w:rPr>
          <w:rFonts w:ascii="Sylfaen" w:hAnsi="Sylfaen"/>
          <w:sz w:val="24"/>
          <w:szCs w:val="24"/>
          <w:lang w:val="ka-GE"/>
        </w:rPr>
        <w:t xml:space="preserve"> საქართველოს კანონის პირველი მუხლის მე-2 პუნქტის და მე-16 მუხლის პირველი და მე-2 პუნქტების მოთხოვნები და არ არსებობს ამავე კანონის მე-18 მუხლით გათვალისწინებული არც ერთი საფუძველი, წარმოდგენილი კონსტიტუციური სარჩელის არსებითად განსახილველად მიღებაზე უარის თქმისათვის.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ასევე საკონსტიტუციო სასამართლოს მეორე კოლეგია მიიჩნევს, რომ 326-ე და 342-ე ნომრებით რეგისტრირებული კონსტიტუციური სარჩელები შესაძლებელია გაერთიანდეს ერთ საქმედ და არსებითად ერთობლივად იქნეს განხილული, რადგან დასახელებულ ორივე კონსტიტუციურ სარჩელში დავის საგანი არსებითად ერთგვაროვანია.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მეორე პუნქტით, 39-ე მუხლის პირველი პუნქტის “ა” ქვეპუნქტითა და მეორე პუნქტით, 43-ე მუხლის მე-2 და მე-8 პუნქტებით, “საკონსტიტუციო სამართალწარმოების შესახებ” საქართველოს კანონის 21-ე მუხლის პირველი პუნქტით და 22-ე მუხლით, </w:t>
      </w:r>
    </w:p>
    <w:p w:rsid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            </w:t>
      </w:r>
    </w:p>
    <w:p w:rsidR="00534EC8" w:rsidRDefault="00534EC8">
      <w:pPr>
        <w:rPr>
          <w:rFonts w:ascii="Sylfaen" w:hAnsi="Sylfaen"/>
          <w:sz w:val="24"/>
          <w:szCs w:val="24"/>
          <w:lang w:val="ka-GE"/>
        </w:rPr>
      </w:pPr>
      <w:r>
        <w:rPr>
          <w:rFonts w:ascii="Sylfaen" w:hAnsi="Sylfaen"/>
          <w:sz w:val="24"/>
          <w:szCs w:val="24"/>
          <w:lang w:val="ka-GE"/>
        </w:rPr>
        <w:br w:type="page"/>
      </w:r>
    </w:p>
    <w:p w:rsidR="00534EC8" w:rsidRP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lastRenderedPageBreak/>
        <w:t>საქართველოს საკონსტიტუციო სასამართლოს</w:t>
      </w:r>
    </w:p>
    <w:p w:rsidR="00534EC8" w:rsidRP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t>მეორე კოლეგია</w:t>
      </w:r>
    </w:p>
    <w:p w:rsidR="00534EC8" w:rsidRDefault="00534EC8" w:rsidP="00534EC8">
      <w:pPr>
        <w:spacing w:after="0" w:line="276" w:lineRule="auto"/>
        <w:ind w:firstLine="360"/>
        <w:jc w:val="center"/>
        <w:rPr>
          <w:rFonts w:ascii="Sylfaen" w:hAnsi="Sylfaen"/>
          <w:sz w:val="24"/>
          <w:szCs w:val="24"/>
          <w:lang w:val="ka-GE"/>
        </w:rPr>
      </w:pPr>
      <w:r w:rsidRPr="00534EC8">
        <w:rPr>
          <w:rFonts w:ascii="Sylfaen" w:hAnsi="Sylfaen"/>
          <w:sz w:val="24"/>
          <w:szCs w:val="24"/>
          <w:lang w:val="ka-GE"/>
        </w:rPr>
        <w:t>ა დ გ ე ნ ს:</w:t>
      </w:r>
    </w:p>
    <w:p w:rsidR="00534EC8" w:rsidRPr="00534EC8" w:rsidRDefault="00534EC8" w:rsidP="00534EC8">
      <w:pPr>
        <w:spacing w:after="0" w:line="276" w:lineRule="auto"/>
        <w:ind w:firstLine="360"/>
        <w:jc w:val="center"/>
        <w:rPr>
          <w:rFonts w:ascii="Sylfaen" w:hAnsi="Sylfaen"/>
          <w:sz w:val="24"/>
          <w:szCs w:val="24"/>
          <w:lang w:val="ka-GE"/>
        </w:rPr>
      </w:pP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მიღებულ იქნეს საკონსტიტუციო სასამართლოში არსებითად განსახილველად საქართველოს მოქალაქე გვიდონ გადელიას 342-ე ნომრით რეგისტრირებული საკონსტიტუციო სარჩელი, რომელიც ეხება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1996 წლის 16 ოქტომბრის საქართველოს კანონის და საქართველოს პრეზიდენტის 2004 წლის 10 ივნისის </w:t>
      </w:r>
      <w:r w:rsidRPr="00534EC8">
        <w:rPr>
          <w:rFonts w:ascii="Sylfaen" w:hAnsi="Sylfaen"/>
          <w:sz w:val="24"/>
          <w:szCs w:val="24"/>
          <w:lang w:val="ka-GE"/>
        </w:rPr>
        <w:t>№</w:t>
      </w:r>
      <w:r w:rsidRPr="00534EC8">
        <w:rPr>
          <w:rFonts w:ascii="Sylfaen" w:hAnsi="Sylfaen"/>
          <w:sz w:val="24"/>
          <w:szCs w:val="24"/>
          <w:lang w:val="ka-GE"/>
        </w:rPr>
        <w:t xml:space="preserve">213 და საქართველოს პრეზიდენტის 2004 წლის 30 დეკემბრის </w:t>
      </w:r>
      <w:r w:rsidRPr="00534EC8">
        <w:rPr>
          <w:rFonts w:ascii="Sylfaen" w:hAnsi="Sylfaen"/>
          <w:sz w:val="24"/>
          <w:szCs w:val="24"/>
          <w:lang w:val="ka-GE"/>
        </w:rPr>
        <w:t>№</w:t>
      </w:r>
      <w:r w:rsidRPr="00534EC8">
        <w:rPr>
          <w:rFonts w:ascii="Sylfaen" w:hAnsi="Sylfaen"/>
          <w:sz w:val="24"/>
          <w:szCs w:val="24"/>
          <w:lang w:val="ka-GE"/>
        </w:rPr>
        <w:t xml:space="preserve">624 ბრძანებულებების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w:t>
      </w:r>
      <w:r w:rsidRPr="00534EC8">
        <w:rPr>
          <w:rFonts w:ascii="Sylfaen" w:hAnsi="Sylfaen"/>
          <w:sz w:val="24"/>
          <w:szCs w:val="24"/>
          <w:lang w:val="ka-GE"/>
        </w:rPr>
        <w:t>№</w:t>
      </w:r>
      <w:r w:rsidRPr="00534EC8">
        <w:rPr>
          <w:rFonts w:ascii="Sylfaen" w:hAnsi="Sylfaen"/>
          <w:sz w:val="24"/>
          <w:szCs w:val="24"/>
          <w:lang w:val="ka-GE"/>
        </w:rPr>
        <w:t xml:space="preserve">139 ბრძანებულებით დამტკიცებულ დებულებაში ცვლილებების შეტანის შესახებ” კონსტიტუციურობას, საქართველოს კონსტიტუციის მე-14 მუხლთან და 38-ე მუხლის პირველ პუნქტთან მიმართებით.  </w:t>
      </w: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326-ე და 342-ე ნომრებით რეგისტრირებული კონსტიტუციური სარჩელები გაერთიანდეს ერთ საქმედ და ერთობლივად იქნეს არსებითად განხილული; </w:t>
      </w: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პირველ და მე-2 პუნქტებში დასახელებული კონსტიტუციური სარჩელების არსებით განხილვასთან დაკავშირებით მოპასუხეა საქართველოს პრეზიდენტი და საქართველოს პარლამენტი; </w:t>
      </w: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საქმეს არსებითად განიხილავს საქართველოს საკონსტიტუციო სასამართლოს მეორე კოლეგია. მე-2 პუნქტში დასახელებული კონსტიტუციური სარჩელების ერთ საქმედ გაერთიანებასთან დაკავშირებით, არსებითი განხილვის დროს მომხსენებელი მოსამართლე იქნება საქართველოს საკონსტიტუციო სასამართლოს წევრი ბატონი ოთარ ბენიძე; </w:t>
      </w: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საქმის არსებითი განხილვა დაიწყება “საქართველოს საკონსტიტუციო სასამართლოს შესახებ” </w:t>
      </w:r>
      <w:proofErr w:type="spellStart"/>
      <w:r w:rsidRPr="00534EC8">
        <w:rPr>
          <w:rFonts w:ascii="Sylfaen" w:hAnsi="Sylfaen"/>
          <w:sz w:val="24"/>
          <w:szCs w:val="24"/>
          <w:lang w:val="ka-GE"/>
        </w:rPr>
        <w:t>საქრთველოს</w:t>
      </w:r>
      <w:proofErr w:type="spellEnd"/>
      <w:r w:rsidRPr="00534EC8">
        <w:rPr>
          <w:rFonts w:ascii="Sylfaen" w:hAnsi="Sylfaen"/>
          <w:sz w:val="24"/>
          <w:szCs w:val="24"/>
          <w:lang w:val="ka-GE"/>
        </w:rPr>
        <w:t xml:space="preserve"> ორგანული კანონის 22-ე მუხლის პირველი პუნქტის შესაბამისად, რაზედაც მხარეებს </w:t>
      </w:r>
      <w:proofErr w:type="spellStart"/>
      <w:r w:rsidRPr="00534EC8">
        <w:rPr>
          <w:rFonts w:ascii="Sylfaen" w:hAnsi="Sylfaen"/>
          <w:sz w:val="24"/>
          <w:szCs w:val="24"/>
          <w:lang w:val="ka-GE"/>
        </w:rPr>
        <w:t>ეცნობებათ</w:t>
      </w:r>
      <w:proofErr w:type="spellEnd"/>
      <w:r w:rsidRPr="00534EC8">
        <w:rPr>
          <w:rFonts w:ascii="Sylfaen" w:hAnsi="Sylfaen"/>
          <w:sz w:val="24"/>
          <w:szCs w:val="24"/>
          <w:lang w:val="ka-GE"/>
        </w:rPr>
        <w:t xml:space="preserve"> დამატებით; </w:t>
      </w:r>
    </w:p>
    <w:p w:rsidR="00534EC8" w:rsidRPr="00534EC8" w:rsidRDefault="00534EC8" w:rsidP="00534EC8">
      <w:pPr>
        <w:pStyle w:val="ListParagraph"/>
        <w:numPr>
          <w:ilvl w:val="0"/>
          <w:numId w:val="4"/>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საოქმო ჩანაწერი საბოლოოა და გასაჩივრებას ან გადასინჯვას არ ექვემდებარება. </w:t>
      </w:r>
    </w:p>
    <w:p w:rsid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pStyle w:val="ListParagraph"/>
        <w:numPr>
          <w:ilvl w:val="0"/>
          <w:numId w:val="5"/>
        </w:numPr>
        <w:spacing w:after="0" w:line="276" w:lineRule="auto"/>
        <w:ind w:left="0" w:firstLine="360"/>
        <w:jc w:val="both"/>
        <w:rPr>
          <w:rFonts w:ascii="Sylfaen" w:hAnsi="Sylfaen"/>
          <w:sz w:val="24"/>
          <w:szCs w:val="24"/>
          <w:lang w:val="ka-GE"/>
        </w:rPr>
      </w:pPr>
      <w:bookmarkStart w:id="0" w:name="_GoBack"/>
      <w:bookmarkEnd w:id="0"/>
      <w:r w:rsidRPr="00534EC8">
        <w:rPr>
          <w:rFonts w:ascii="Sylfaen" w:hAnsi="Sylfaen"/>
          <w:sz w:val="24"/>
          <w:szCs w:val="24"/>
          <w:lang w:val="ka-GE"/>
        </w:rPr>
        <w:t>ნიკოლოზ ჩერქეზიშვილი</w:t>
      </w:r>
    </w:p>
    <w:p w:rsidR="00534EC8" w:rsidRPr="00534EC8" w:rsidRDefault="00534EC8" w:rsidP="00534EC8">
      <w:pPr>
        <w:pStyle w:val="ListParagraph"/>
        <w:numPr>
          <w:ilvl w:val="0"/>
          <w:numId w:val="5"/>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ლამარა ჩორგოლაშვილი</w:t>
      </w:r>
    </w:p>
    <w:p w:rsidR="00534EC8" w:rsidRPr="00534EC8" w:rsidRDefault="00534EC8" w:rsidP="00534EC8">
      <w:pPr>
        <w:pStyle w:val="ListParagraph"/>
        <w:numPr>
          <w:ilvl w:val="0"/>
          <w:numId w:val="5"/>
        </w:numPr>
        <w:spacing w:after="0" w:line="276" w:lineRule="auto"/>
        <w:ind w:left="0" w:firstLine="360"/>
        <w:jc w:val="both"/>
        <w:rPr>
          <w:rFonts w:ascii="Sylfaen" w:hAnsi="Sylfaen"/>
          <w:sz w:val="24"/>
          <w:szCs w:val="24"/>
          <w:lang w:val="ka-GE"/>
        </w:rPr>
      </w:pPr>
      <w:r w:rsidRPr="00534EC8">
        <w:rPr>
          <w:rFonts w:ascii="Sylfaen" w:hAnsi="Sylfaen"/>
          <w:sz w:val="24"/>
          <w:szCs w:val="24"/>
          <w:lang w:val="ka-GE"/>
        </w:rPr>
        <w:t xml:space="preserve">ზაურ ჯინჯოლავა </w:t>
      </w:r>
    </w:p>
    <w:p w:rsidR="00534EC8" w:rsidRPr="00534EC8" w:rsidRDefault="00534EC8" w:rsidP="00534EC8">
      <w:pPr>
        <w:spacing w:after="0" w:line="276" w:lineRule="auto"/>
        <w:ind w:firstLine="360"/>
        <w:jc w:val="both"/>
        <w:rPr>
          <w:rFonts w:ascii="Sylfaen" w:hAnsi="Sylfaen"/>
          <w:sz w:val="24"/>
          <w:szCs w:val="24"/>
          <w:lang w:val="ka-GE"/>
        </w:rPr>
      </w:pP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lastRenderedPageBreak/>
        <w:t xml:space="preserve">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ასლი დედანთან სწორია.</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საქართველოს საკონსტიტუციო </w:t>
      </w:r>
    </w:p>
    <w:p w:rsidR="00534EC8" w:rsidRPr="00534EC8" w:rsidRDefault="00534EC8" w:rsidP="00534EC8">
      <w:pPr>
        <w:spacing w:after="0" w:line="276" w:lineRule="auto"/>
        <w:ind w:firstLine="360"/>
        <w:jc w:val="both"/>
        <w:rPr>
          <w:rFonts w:ascii="Sylfaen" w:hAnsi="Sylfaen"/>
          <w:sz w:val="24"/>
          <w:szCs w:val="24"/>
          <w:lang w:val="ka-GE"/>
        </w:rPr>
      </w:pPr>
      <w:r w:rsidRPr="00534EC8">
        <w:rPr>
          <w:rFonts w:ascii="Sylfaen" w:hAnsi="Sylfaen"/>
          <w:sz w:val="24"/>
          <w:szCs w:val="24"/>
          <w:lang w:val="ka-GE"/>
        </w:rPr>
        <w:t xml:space="preserve">სასამართლოს მდივანი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534EC8">
        <w:rPr>
          <w:rFonts w:ascii="Sylfaen" w:hAnsi="Sylfaen"/>
          <w:sz w:val="24"/>
          <w:szCs w:val="24"/>
          <w:lang w:val="ka-GE"/>
        </w:rPr>
        <w:t>იაკობ ფუტკარაძე</w:t>
      </w:r>
    </w:p>
    <w:p w:rsidR="00790170" w:rsidRPr="000119EA" w:rsidRDefault="00B82BF8" w:rsidP="00796CF2">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F8" w:rsidRDefault="00B82BF8" w:rsidP="00D21355">
      <w:pPr>
        <w:spacing w:after="0" w:line="240" w:lineRule="auto"/>
      </w:pPr>
      <w:r>
        <w:separator/>
      </w:r>
    </w:p>
  </w:endnote>
  <w:endnote w:type="continuationSeparator" w:id="0">
    <w:p w:rsidR="00B82BF8" w:rsidRDefault="00B82BF8"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534EC8">
          <w:rPr>
            <w:noProof/>
          </w:rPr>
          <w:t>4</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F8" w:rsidRDefault="00B82BF8" w:rsidP="00D21355">
      <w:pPr>
        <w:spacing w:after="0" w:line="240" w:lineRule="auto"/>
      </w:pPr>
      <w:r>
        <w:separator/>
      </w:r>
    </w:p>
  </w:footnote>
  <w:footnote w:type="continuationSeparator" w:id="0">
    <w:p w:rsidR="00B82BF8" w:rsidRDefault="00B82BF8"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64C2"/>
    <w:multiLevelType w:val="hybridMultilevel"/>
    <w:tmpl w:val="4220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464E"/>
    <w:multiLevelType w:val="hybridMultilevel"/>
    <w:tmpl w:val="739E0918"/>
    <w:lvl w:ilvl="0" w:tplc="47388FAC">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F11D3"/>
    <w:multiLevelType w:val="hybridMultilevel"/>
    <w:tmpl w:val="E5AA6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8C7F0B"/>
    <w:multiLevelType w:val="hybridMultilevel"/>
    <w:tmpl w:val="CE484610"/>
    <w:lvl w:ilvl="0" w:tplc="BDFE42AA">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33366A"/>
    <w:multiLevelType w:val="hybridMultilevel"/>
    <w:tmpl w:val="9BDCF3F8"/>
    <w:lvl w:ilvl="0" w:tplc="BDFE42AA">
      <w:start w:val="1"/>
      <w:numFmt w:val="decimal"/>
      <w:lvlText w:val="%1."/>
      <w:lvlJc w:val="left"/>
      <w:pPr>
        <w:ind w:left="189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534EC8"/>
    <w:rsid w:val="005C6DAB"/>
    <w:rsid w:val="00796CF2"/>
    <w:rsid w:val="00B82BF8"/>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paragraph" w:styleId="ListParagraph">
    <w:name w:val="List Paragraph"/>
    <w:basedOn w:val="Normal"/>
    <w:uiPriority w:val="34"/>
    <w:qFormat/>
    <w:rsid w:val="0053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768</Words>
  <Characters>4381</Characters>
  <Application>Microsoft Office Word</Application>
  <DocSecurity>0</DocSecurity>
  <Lines>36</Lines>
  <Paragraphs>10</Paragraphs>
  <ScaleCrop>false</ScaleCrop>
  <Company>Hewlett-Packard Company</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9</cp:revision>
  <dcterms:created xsi:type="dcterms:W3CDTF">2019-10-23T10:12:00Z</dcterms:created>
  <dcterms:modified xsi:type="dcterms:W3CDTF">2019-10-24T07:43:00Z</dcterms:modified>
</cp:coreProperties>
</file>