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CE6" w:rsidRDefault="00370CE6" w:rsidP="00370CE6">
      <w:pPr>
        <w:jc w:val="center"/>
        <w:rPr>
          <w:rFonts w:ascii="Sylfaen" w:hAnsi="Sylfaen"/>
          <w:b/>
          <w:sz w:val="24"/>
          <w:szCs w:val="24"/>
          <w:lang w:val="ka-GE"/>
        </w:rPr>
      </w:pPr>
      <w:bookmarkStart w:id="0" w:name="_GoBack"/>
      <w:bookmarkEnd w:id="0"/>
      <w:r>
        <w:rPr>
          <w:rFonts w:ascii="Sylfaen" w:hAnsi="Sylfaen"/>
          <w:b/>
          <w:sz w:val="24"/>
          <w:szCs w:val="24"/>
          <w:lang w:val="ka-GE"/>
        </w:rPr>
        <w:t>საქართველოს საკონსტიტუციო სასამართლოს წევრის</w:t>
      </w:r>
    </w:p>
    <w:p w:rsidR="00370CE6" w:rsidRDefault="00370CE6" w:rsidP="00370CE6">
      <w:pPr>
        <w:jc w:val="center"/>
        <w:rPr>
          <w:rFonts w:ascii="Sylfaen" w:hAnsi="Sylfaen"/>
          <w:b/>
          <w:sz w:val="24"/>
          <w:szCs w:val="24"/>
          <w:lang w:val="ka-GE"/>
        </w:rPr>
      </w:pPr>
      <w:r>
        <w:rPr>
          <w:rFonts w:ascii="Sylfaen" w:hAnsi="Sylfaen"/>
          <w:b/>
          <w:sz w:val="24"/>
          <w:szCs w:val="24"/>
          <w:lang w:val="ka-GE"/>
        </w:rPr>
        <w:t>მაია კოპალეიშვილის</w:t>
      </w:r>
    </w:p>
    <w:p w:rsidR="00370CE6" w:rsidRDefault="00370CE6" w:rsidP="00370CE6">
      <w:pPr>
        <w:jc w:val="center"/>
        <w:rPr>
          <w:rFonts w:ascii="Sylfaen" w:hAnsi="Sylfaen"/>
          <w:b/>
          <w:sz w:val="24"/>
          <w:szCs w:val="24"/>
          <w:lang w:val="ka-GE"/>
        </w:rPr>
      </w:pPr>
      <w:proofErr w:type="spellStart"/>
      <w:proofErr w:type="gramStart"/>
      <w:r>
        <w:rPr>
          <w:rFonts w:ascii="Sylfaen" w:hAnsi="Sylfaen"/>
          <w:b/>
          <w:sz w:val="24"/>
          <w:szCs w:val="24"/>
        </w:rPr>
        <w:t>თანმხვედრი</w:t>
      </w:r>
      <w:proofErr w:type="spellEnd"/>
      <w:proofErr w:type="gramEnd"/>
      <w:r>
        <w:rPr>
          <w:rFonts w:ascii="Sylfaen" w:hAnsi="Sylfaen"/>
          <w:b/>
          <w:sz w:val="24"/>
          <w:szCs w:val="24"/>
          <w:lang w:val="ka-GE"/>
        </w:rPr>
        <w:t xml:space="preserve"> აზრი</w:t>
      </w:r>
    </w:p>
    <w:p w:rsidR="00370CE6" w:rsidRDefault="00370CE6" w:rsidP="00370CE6">
      <w:pPr>
        <w:jc w:val="both"/>
        <w:rPr>
          <w:rFonts w:ascii="Sylfaen" w:hAnsi="Sylfaen"/>
          <w:sz w:val="24"/>
          <w:szCs w:val="24"/>
          <w:lang w:val="ka-GE"/>
        </w:rPr>
      </w:pPr>
    </w:p>
    <w:p w:rsidR="00370CE6" w:rsidRDefault="00370CE6" w:rsidP="00370CE6">
      <w:pPr>
        <w:jc w:val="center"/>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სასამართლოს პლენუმის 2017 წლის 10 ნოემბრის N3/6/642  გადაწყვეტილებაზე</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cs="Sylfaen"/>
          <w:sz w:val="24"/>
          <w:szCs w:val="24"/>
          <w:lang w:val="ka-GE"/>
        </w:rPr>
        <w:t>გამოვხატავ</w:t>
      </w:r>
      <w:r>
        <w:rPr>
          <w:rFonts w:ascii="Sylfaen" w:hAnsi="Sylfaen"/>
          <w:sz w:val="24"/>
          <w:szCs w:val="24"/>
          <w:lang w:val="ka-GE"/>
        </w:rPr>
        <w:t xml:space="preserve"> რა ჩემი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 თანმხვედრ აზრს საქართველოს საკონსტიტუციო სასამართლოს პლენუმის 2017 წლის 10 ნოემბრის N3/6/642 გადაწყვეტილებაზე.  </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№642 კონსტიტუციურ სარჩელზე საქართველოს კონსტიტუციის მე-14  მუხლთან მიმართებით  სადავოდ არის გამხდარი „საერთო სასამართლოების შესახებ“ საქართველოს ორგანული კანონის ორი ნორმა -  70-ე მუხლის პირველი პუნქტი და 77-ე მუხლის პირველი </w:t>
      </w:r>
      <w:proofErr w:type="spellStart"/>
      <w:r>
        <w:rPr>
          <w:rFonts w:ascii="Sylfaen" w:hAnsi="Sylfaen"/>
          <w:sz w:val="24"/>
          <w:szCs w:val="24"/>
          <w:lang w:val="ka-GE"/>
        </w:rPr>
        <w:t>პუქტი</w:t>
      </w:r>
      <w:proofErr w:type="spellEnd"/>
      <w:r>
        <w:rPr>
          <w:rFonts w:ascii="Sylfaen" w:hAnsi="Sylfaen"/>
          <w:sz w:val="24"/>
          <w:szCs w:val="24"/>
          <w:lang w:val="ka-GE"/>
        </w:rPr>
        <w:t xml:space="preserve">. მიმაჩნია, რომ, თავდაპირველად, საკონსტიტუციო სასამართლოს უნდა გადაეწყვიტა სადავო 77-ე მუხლის პირველი პუნქტით დადგენილი რეგულაცია რამდენად მიესადაგებოდა მოსარჩელის მიერ წარმოდგენილ ფაქტობრივ გარემოებებს, შესაძლებელია თუ არა, მოსარჩელე მოიაზრებოდეს ნორმით განსაზღვრული სამართლებრივი ურთიერთობის მონაწილედ. მხოლოდ ამის შემდგომ შეიქმნებოდა სადავო ნორმების კონსტიტუციურობის შეფასების სამართლებრივი საფუძველი. </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„საერთო სასამართლოების შესახებ“ საქართველოს ორგანული კანონის 77-ე მუხლის პირველი პუნქტის თანახმად, „საქართველოს უზენაესი სასამართლოს მოსამართლეს, რომელსაც უფლებამოსილება შეუწყდა პირადი განცხადების საფუძველზე 2005 წლის 1 იანვრიდან 2006 წლის 1 იანვრამდე და დაენიშნა სახელმწიფო კომპენსაცია ხელფასის სრული ოდენობით, იმ ვადით, რა ვადითაც მას უნდა განეხორციელებინა უზენაესი სასამართლოს მოსამართლის უფლებამოსილება, უნარჩუნდება ეს კომპენსაცია ხელფასის სრული ოდენობით, უზენაესი სასამართლოს მოქმედი მოსამართლის შრომის ანაზღაურების ყოველთვიური ცვლილების შესაბამისად“. უფლებამოსილების ვადის გასვლის შემდგომ კი კომპენსაციის ოდენობა </w:t>
      </w:r>
      <w:proofErr w:type="spellStart"/>
      <w:r>
        <w:rPr>
          <w:rFonts w:ascii="Sylfaen" w:hAnsi="Sylfaen"/>
          <w:sz w:val="24"/>
          <w:szCs w:val="24"/>
          <w:lang w:val="ka-GE"/>
        </w:rPr>
        <w:t>გაიანგარიშება</w:t>
      </w:r>
      <w:proofErr w:type="spellEnd"/>
      <w:r>
        <w:rPr>
          <w:rFonts w:ascii="Sylfaen" w:hAnsi="Sylfaen"/>
          <w:sz w:val="24"/>
          <w:szCs w:val="24"/>
          <w:lang w:val="ka-GE"/>
        </w:rPr>
        <w:t xml:space="preserve"> „საერთო სასამართლოების შესახებ“ საქართველოს ორგანული კანონის 70-ე მუხლის პირველი პუნქტის შესაბამისობაში მოსაყვანად. </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lastRenderedPageBreak/>
        <w:t>მოსარჩელე მხარისთვის დისკრიმინაციულია სადავო ნორმით განსაზღვრული კონკრეტული 1 წლიანი ვადა (2005 წლის 1 იანვრიდან 2006 წლის 1 იანვრამდე პერიოდი). ის აღნიშნავს, რომ მითითებული სადავო ჩანაწერი გამორიცხავს კომპენსაციის მიღების შესაძლებლობას მისთვის, რომელსაც პირადი განცხადების საფუძველზე 2006 წლის 1 იანვრის შემდგომ შეუწყდა საქართველოს უზენაესი სასამართლოს მოსამართლის უფლებამოსილება. წარმოდგენილი სასარჩელო მოთხოვნის გასაანალიზებლად აუცილებელია, მიმოხილულ იქნეს აგრეთვე „საერთო სასამართლოების შესახებ“ საქართველოს ორგანული კანონის ძალაში შესვლამდე მოქმედი „საქართველოს უზენაესი სასამართლოს შესახებ“ საქართველოს ორგანული კანონი და მისი რელევანტური წესები.</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სადავო სამართლებრივი ნორმის ისტორიულ კონტექსტში ინტერპრეტაცია გააადვილებს ნორმის რეალური შინაარსისა და იმ სუბიექტების ფარგლების დადგენას, რომელზეც სადავო ნორმა ვრცელდება, ხელს შეუწყობს იმ ისტორიული ვითარების წარმოდგენას, რომელიც თავის დროზე კანონმა მოაწესრიგა. ამავდროულად, შეფასებადია  ნორმის ლეგიტიმური მიზანი.  თუმცა, ბუნებრივია,  ეს არ გამორიცხავს იმ გარემოებას,  სასამართლომ შეაფასოს, თუ რამდენად შეესაბამება კონსტიტუციას ის ნორმატიული შინაარსი, რომელიც ნორმის გამოცემის დროს კანონმდებლის ნებას წარმოადგენდა.  </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ამასთან, ნორმის ნორმატიული შინაარსის ინტერპრეტაციას აქვს ზღვარი, რომელიც, იმავდროულად, მის ჩარჩოს/საზღვარს ქმნის. ამ ზღვარის გადალახვას მივყავართ არა ნორმის რეალური ნორმატიული შინაარსის ინტერპრეტაციამდე, არამედ ნორმის </w:t>
      </w:r>
      <w:proofErr w:type="spellStart"/>
      <w:r>
        <w:rPr>
          <w:rFonts w:ascii="Sylfaen" w:hAnsi="Sylfaen"/>
          <w:sz w:val="24"/>
          <w:szCs w:val="24"/>
          <w:lang w:val="ka-GE"/>
        </w:rPr>
        <w:t>განვრცობამდე</w:t>
      </w:r>
      <w:proofErr w:type="spellEnd"/>
      <w:r>
        <w:rPr>
          <w:rFonts w:ascii="Sylfaen" w:hAnsi="Sylfaen"/>
          <w:sz w:val="24"/>
          <w:szCs w:val="24"/>
          <w:lang w:val="ka-GE"/>
        </w:rPr>
        <w:t xml:space="preserve">, ასევე, ნორმის ინტერპრეტაციამ შესაძლოა აჩვენოს ნორმის შესწორების ან კანონის ხარვეზის შევსების საჭიროება. აღნიშნული უკვე </w:t>
      </w:r>
      <w:proofErr w:type="spellStart"/>
      <w:r>
        <w:rPr>
          <w:rFonts w:ascii="Sylfaen" w:hAnsi="Sylfaen"/>
          <w:sz w:val="24"/>
          <w:szCs w:val="24"/>
          <w:lang w:val="ka-GE"/>
        </w:rPr>
        <w:t>ნორმაშემოქმედის</w:t>
      </w:r>
      <w:proofErr w:type="spellEnd"/>
      <w:r>
        <w:rPr>
          <w:rFonts w:ascii="Sylfaen" w:hAnsi="Sylfaen"/>
          <w:sz w:val="24"/>
          <w:szCs w:val="24"/>
          <w:lang w:val="ka-GE"/>
        </w:rPr>
        <w:t xml:space="preserve"> პრეროგატივა და, სამართლებრივი უსაფრთხოების თვალსაზრისით, მისი ვალდებულებაცაა. სასამართლოს მიერ კანონმდებლის გადაწყვეტილებების განვრცობა/შესწორება/ხარვეზის შევსება მართლმსაჯულებას ჩააბამს ყოველდღიურ დისკუსიებში, მაშინ როდესაც სასამართლო უნდა გაუფრთხილდეს მის ნეიტრალურ ავტორიტეტს. </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 „საქართველოს უზენაესი სასამართლოს შესახებ“ საქართველოს ორგანულ კანონში 2005 წლის 23 ივნისს განხორციელებული ცვლილებების შესაბამისად, მისი 36-ე მუხლით დადგინდა, რომ უზენაესი სასამართლოს მოსამართლეს, უფლებამოსილების ვადის ამოწურვისას, პენსიაზე გასვლისას ან უფლებამოსილების პირადი სურვილით ვადაზე ადრე შეწყვეტისას ენიშნებოდა სამისდღეშიო პენსია ხელფასის სრული ოდენობით. იმავე ცვლილებით, დასახელებული ორგანული კანონის  მე-40 მუხლის მე-7 პუნქტით დადგინდა, რომ პირადი სურვილით უფლებამოსილების ვადაზე ადრე შეწყვეტისას ხსენებული სამისდღეშიო პენსია მოსამართლის ხელფასის სრული ოდენობით მიემართებოდა </w:t>
      </w:r>
      <w:r>
        <w:rPr>
          <w:rFonts w:ascii="Sylfaen" w:hAnsi="Sylfaen"/>
          <w:sz w:val="24"/>
          <w:szCs w:val="24"/>
          <w:lang w:val="ka-GE"/>
        </w:rPr>
        <w:lastRenderedPageBreak/>
        <w:t>მოსამართლეებს, რომლებსაც უფლებამოსილება შეუწყდათ 2005 წლის 1 იანვრიდან 2005 წლის 31 დეკემბრამდე პერიოდში.</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დასახელებულ ნორმებში, კიდევ ერთხელ, შევიდა ცვლილება 2005 წლის 23 დეკემბრის ორგანული კანონით „საქართველოს უზენაესი სასამართლოს შესახებ“ საქართველოს ორგანულ კანონში ცვლილებებისა და დამატებების შეტანის თაობაზე“, რომელიც თავად „საქართველოს უზენაესი სასამართლოს შესახებ“ საქართველოს ორგანული კანონის ძალაში ყოფნის მომენტამდე წარმოადგენდა მოქმედ რეგულაციას. ამ ცვლილებების თანახმად, 36-ე მუხლი ჩამოყალიბდა იმგვარად, რომ უზენაესი სასამართლოს მოსამართლეთათვის სახელმწიფო კომპენსაციად დადგინდა ფიქსირებული 1200 ლარი, შემდეგი ორი საფუძვლით, უფლებამოსილების შეწყვეტის შემთხვევაში: უფლებამოსილების ვადის ამოწურვა და საპენსიო ასაკის მიღწევა. ამასთან, მე-40 მუხლის მე-7 პუნქტით განისაზღვრა, რომ პირადი განცხადების საფუძველზე მოსამართლის უფლებამოსილების ვადაზე ადრე შეწყვეტისას მხოლოდ ის პირები ისარგებლებდნენ უფლებამოსილების დარჩენილი ვადის განმავლობაში მოქმედი მოსამართლის ხელფასის სრული ოდენობით, ხოლო უფლებამოსილების ვადის გასვლის შემდგომ 1200 ლარის ოდენობით სახელმწიფო კომპენსაციის მიღების უფლებით, რომელთაც უფლებამოსილება 2005 წლის 1 იანვრიდან 2006 წლის 1 იანვრამდე პერიოდში შეუწყდათ. </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როგორც დასახელებული ნორმების ანალიზით დგინდება,  „საქართველოს უზენაესი სასამართლოს შესახებ“ საქართველოს ორგანული კანონის ორივე ცვლილების შემთხვევაში კანონმდებელი მე-40 მუხლით გამოყოფდა კონკრეტულ მოსამართლეებს, რომელთაც განსხვავებულ სამართლებრივ რეჟიმს უწესებდა. ამასთან, მნიშვნელოვანია, რომ დასახელებული ორივე ცვლილების შედეგად ჩამოყალიბებული „საქართველოს უზენაესი სასამართლოს შესახებ“ საქართველოს ორგანული კანონის მე-40 მუხლის მე-7 პუნქტი უშუალოდ ადგენდა უფლებას შესაბამისი მოსამართლეებისთვის, მიეღოთ სახელმწიფო კომპენსაცია, ესარგებლათ ამ სარგებლით. ამ შემთხვევაში თავად ნორმა ქმნიდა შესაბამისი ფულადი სარგებლის მიღების საფუძველს.</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 „საქართველოს უზენაესი სასამართლოს შესახებ“ საქართველოს ორგანული კანონის მე-40 მუხლის მე-7 პუნქტი მკაფიოდ განსაზღვრავდა ნორმით მოწესრიგებული ურთიერთობის მონაწილეებს, ნორმის მოქმედების ადრესატებს, კერძოდ, მოსამართლეებს, რომელთაც 2005 წლის 1 იანვრიდან 2006 წლის 1 იანვრამდე პერიოდში საკუთარი განცხადების საფუძველზე შეუწყდათ უზენაესი სასამართლოს მოსამართლის უფლებამოსილება. აშკარაა კანონმდებლის ნება, მხოლოდ ამ ვადის ფარგლებში მოქცეული პირებისთვის გაეთვალისწინებინა  სახელმწიფო კომპენსაცია. კანონმდებლის დასახელებული ნება უცვლელი იყო მითითებულ ნორმაში განხორციელებული ყველა ცვლილების კვალდაკვალ და </w:t>
      </w:r>
      <w:r>
        <w:rPr>
          <w:rFonts w:ascii="Sylfaen" w:hAnsi="Sylfaen"/>
          <w:sz w:val="24"/>
          <w:szCs w:val="24"/>
          <w:lang w:val="ka-GE"/>
        </w:rPr>
        <w:lastRenderedPageBreak/>
        <w:t xml:space="preserve">კანონმდებელს არც ერთ ეტაპზე არ შეუცვლია ნორმის ნორმატიული შინაარსი იმგვარად, რომ  გაეთვალისწინებინა ის მოსამართლეები, რომლებიც, მართალია, საკუთარი განცხადების საფუძველზე გათავისუფლდნენ დაკავებული თანამდებობებიდან, მაგრამ მათი გათავისუფლების პერიოდი არ ექცეოდა ნორმით განსაზღვრულ სადავო ვადაში. </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როგორც ვხედავთ, მითითებულ  ნორმას აქვს თავისი ლეგიტიმური მიზანი, კომპენსაცია გაიცეს მხოლოდ იმ მოსამართლეებზე, რომლებიც საკუთარი განცხადების საფუძველზე გათავისუფლდნენ მოსამართლის თანამდებობიდან  2005 წლის 1 იანვრიდან 2006 წლის 1 იანვრამდე პერიოდში.  შესაბამისად, დასახელებულმა საკანონმდებლო ნორმამ მკაცრი დროითი სივრცე შექმნა, რომლის ფარგლებში მოქცეული საკუთარი განცხადების საფუძველზე გათავისუფლებული მოსამართლეები მიიღებდნენ კომპენსაციას. </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წარსულში მოქმედი ნორმების ანალიზის ფონზე საინტერესოა უშუალოდ განსახილველ საქმეში სადავოდ გამხდარი ნორმა, რომელიც იმეორებს იგივე დროის პერიოდს იმავე სუბიექტების მიმართ. ამასთან, მნიშვნელოვანია, რომ წინა პუნქტებში დასახელებული წესებისაგან ის განსხვავდება როგორც საკუთარი ფორმულირებით, ისე მასში გადმოცემული ნორმატიული შინაარსით. კერძოდ, „საერთო სასამართლოების შესახებ“ საქართველოს ორგანული კანონის 77-ე მუხლის პირველი პუნქტი ითვალისწინებს არა სახელმწიფო კომპენსაციაზე უფლების წარმოშობას, არამედ წარსულში უკვე არსებული და წარსულშივე პრაქტიკულად რეალიზებული უფლების მომავალში გაგრძელების ლეგიტიმაციას. მისი შინაარსი ეხება კონკრეტულ, 2005 წლის 1 იანვრიდან 2006 წლის 1 იანვრამდე პერიოდში </w:t>
      </w:r>
      <w:proofErr w:type="spellStart"/>
      <w:r>
        <w:rPr>
          <w:rFonts w:ascii="Sylfaen" w:hAnsi="Sylfaen"/>
          <w:sz w:val="24"/>
          <w:szCs w:val="24"/>
          <w:lang w:val="ka-GE"/>
        </w:rPr>
        <w:t>უფლებამოსილებაშეწყვეტილ</w:t>
      </w:r>
      <w:proofErr w:type="spellEnd"/>
      <w:r>
        <w:rPr>
          <w:rFonts w:ascii="Sylfaen" w:hAnsi="Sylfaen"/>
          <w:sz w:val="24"/>
          <w:szCs w:val="24"/>
          <w:lang w:val="ka-GE"/>
        </w:rPr>
        <w:t xml:space="preserve">  უზენაესი სასამართლოს ყოფილ მოსამართლეებს, რომელთაც „საქართველოს უზენაესი სასამართლოს შესახებ“ საქართველოს ორგანული კანონის საფუძველზე უკვე დაენიშნათ სახელმწიფო კომპენსაცია და მათთვის ითვალისწინებს ამ კომპენსაციის მიღების გაგრძელებას. მისით მოწესრიგებულ საკითხთა ფარგლებს სცდება რომელიმე სხვა სუბიექტისთვის სახელმწიფო კომპენსაციაზე უფლების წარმოშობა, ის წარმოადგენს წარსულში არსებული საკანონმდებლო მოწესრიგების დროში </w:t>
      </w:r>
      <w:proofErr w:type="spellStart"/>
      <w:r>
        <w:rPr>
          <w:rFonts w:ascii="Sylfaen" w:hAnsi="Sylfaen"/>
          <w:sz w:val="24"/>
          <w:szCs w:val="24"/>
          <w:lang w:val="ka-GE"/>
        </w:rPr>
        <w:t>გამახანგრძლივებელ</w:t>
      </w:r>
      <w:proofErr w:type="spellEnd"/>
      <w:r>
        <w:rPr>
          <w:rFonts w:ascii="Sylfaen" w:hAnsi="Sylfaen"/>
          <w:sz w:val="24"/>
          <w:szCs w:val="24"/>
          <w:lang w:val="ka-GE"/>
        </w:rPr>
        <w:t xml:space="preserve"> რეგულაციას.</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მნიშვნელოვანია, რომ დღეს მოქმედი სადავო ნორმა ფორმალურად წარმოადგენს მოქმედ სამართალს, ნორმას, თუმცა მას გააჩნია კანონმდებლის მიერ მისთვის მინიჭებული ვიწროდ მიზანმიმართული მოქმედების არეალი. კერძოდ, ის არ ადგენს რაიმე ახალ წესრიგს, არ ადგენს კონკრეტულ უფლებას, არამედ კანონმდებლის მიერ მკაცრად განსაზღვრულ პირთა წრის მიმართ ითვალისწინებს წარსულში წარმოშობილი უფლებების დროში გაგრძელების ნორმატიულ საფუძველს. სადავო ნორმით ჩამოყალიბებულ სამართლებრივ სივრცეში ვერ </w:t>
      </w:r>
      <w:r>
        <w:rPr>
          <w:rFonts w:ascii="Sylfaen" w:hAnsi="Sylfaen"/>
          <w:sz w:val="24"/>
          <w:szCs w:val="24"/>
          <w:lang w:val="ka-GE"/>
        </w:rPr>
        <w:lastRenderedPageBreak/>
        <w:t>მოექცევა მოსარჩელე და მის მდგომარეობაში მყოფი ვერც ერთი პირი. ეს უკანასკნელნი არ წარმოადგენენ სადავო ნორმის ადრესატებს.</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 xml:space="preserve">მოსარჩელის მიერ სადავოდ გამხდარი პრობლემა მიმართულია მისი როგორც  უზენაესი სასამართლოს ყოფილი მოსამართლის სოციალური დაცვის გარანტიების საკითხისადმი.  ბუნებრივია,  მოთხოვნას  -   სახელმწიფომ გამოიჩინოს ძალისხმევა  და შეიმუშაოს სოციალური პოლიტიკა ისეთი უმნიშვნელოვანესი თანამდებობის პირების მიმართ, როგორსაც მოსარჩელე, როგორც უზენაესი სასამართლოს ყოფილი მოსამართლე  წარმოადგენს, გააჩნია ლეგიტიმური საფუძველი, თუმცა ისიც უნდა აღინიშნოს, რომ მოსარჩელის მიერ მითითებული პრობლემა არ გამომდინარეობს უშუალოდ სადავო ნორმიდან. ეს ნორმა არ წარმოადგენს მოსარჩელისათვის რაიმე დაბრკოლებას, გააჩნდეს სახელმწიფო კომპენსაციის მიღების უფლება, ვინაიდან სადავო ნორმა სრულიად არ ეხება მას და არის ნეიტრალური შინაარსის მოსარჩელისა და მოსარჩელის მდგომარეობაში მყოფი ყველა სხვა პირის მიმართ. </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სადავო ნორმა მოქმედებს და ამოწურავს საკუთარი მოქმედების რესურსს მკაცრად განსაზღვრული ნორმით მოწესრიგებული ურთიერთობის ადრესატების მიმართ. ნორმას სხვა პირთა წრის მიმართ მოქმედების რესურსი და სხვა პირთა წრეზე გავრცელების შესაძლებლობა/ნორმატიული შინაარსი არ გააჩნია. სადავო ნორმა მიეკუთვნება იმ ნორმათა კატეგორიას, რომელიც თავის თავს ამოწურავს კონკრეტული კატეგორიის პირთა წრის მიმართ და ამ პირთა წრეში მოსარჩელის მსგავსი პირები ვერ იქნებიან  გათვალისწინებული.</w:t>
      </w:r>
    </w:p>
    <w:p w:rsidR="00370CE6" w:rsidRDefault="00370CE6" w:rsidP="00370CE6">
      <w:pPr>
        <w:pStyle w:val="ListParagraph"/>
        <w:numPr>
          <w:ilvl w:val="0"/>
          <w:numId w:val="1"/>
        </w:numPr>
        <w:spacing w:after="160"/>
        <w:ind w:left="0" w:firstLine="360"/>
        <w:jc w:val="both"/>
        <w:rPr>
          <w:rFonts w:ascii="Sylfaen" w:hAnsi="Sylfaen"/>
          <w:sz w:val="24"/>
          <w:szCs w:val="24"/>
          <w:lang w:val="ka-GE"/>
        </w:rPr>
      </w:pPr>
      <w:r>
        <w:rPr>
          <w:rFonts w:ascii="Sylfaen" w:hAnsi="Sylfaen"/>
          <w:sz w:val="24"/>
          <w:szCs w:val="24"/>
          <w:lang w:val="ka-GE"/>
        </w:rPr>
        <w:t>აღნიშნულიდან გამომდინარე, მიმაჩნია, რომ მოსარჩელის მოთხოვნა არ მიემართება სადავო ნორმის შინაარსს. ამ თვალსაზრისით, ლოგიკურია ვიფიქროთ, რომ თავიდანვე არ არსებობდა სარჩელის არსებითად განსახილველად მიღების საფუძველი</w:t>
      </w:r>
      <w:r>
        <w:rPr>
          <w:rFonts w:ascii="Sylfaen" w:hAnsi="Sylfaen"/>
          <w:sz w:val="24"/>
          <w:szCs w:val="24"/>
        </w:rPr>
        <w:t xml:space="preserve">. </w:t>
      </w:r>
    </w:p>
    <w:p w:rsidR="00370CE6" w:rsidRDefault="00370CE6" w:rsidP="00370CE6">
      <w:pPr>
        <w:pStyle w:val="ListParagraph"/>
        <w:ind w:left="360"/>
        <w:jc w:val="both"/>
        <w:rPr>
          <w:rFonts w:ascii="Sylfaen" w:hAnsi="Sylfaen"/>
          <w:sz w:val="24"/>
          <w:szCs w:val="24"/>
          <w:lang w:val="ka-GE"/>
        </w:rPr>
      </w:pPr>
      <w:r>
        <w:rPr>
          <w:rFonts w:ascii="Sylfaen" w:hAnsi="Sylfaen"/>
          <w:sz w:val="24"/>
          <w:szCs w:val="24"/>
          <w:lang w:val="ka-GE"/>
        </w:rPr>
        <w:t xml:space="preserve"> </w:t>
      </w:r>
    </w:p>
    <w:p w:rsidR="00370CE6" w:rsidRDefault="00370CE6" w:rsidP="00370CE6">
      <w:pPr>
        <w:pStyle w:val="ListParagraph"/>
        <w:ind w:left="360"/>
        <w:jc w:val="both"/>
        <w:rPr>
          <w:rFonts w:ascii="Sylfaen" w:hAnsi="Sylfaen"/>
          <w:sz w:val="24"/>
          <w:szCs w:val="24"/>
          <w:lang w:val="ka-GE"/>
        </w:rPr>
      </w:pPr>
    </w:p>
    <w:p w:rsidR="00370CE6" w:rsidRDefault="00370CE6" w:rsidP="00370CE6">
      <w:pPr>
        <w:jc w:val="both"/>
        <w:rPr>
          <w:rFonts w:ascii="Sylfaen" w:hAnsi="Sylfaen"/>
          <w:sz w:val="24"/>
          <w:szCs w:val="24"/>
          <w:lang w:val="ka-GE"/>
        </w:rPr>
      </w:pPr>
      <w:r>
        <w:rPr>
          <w:rFonts w:ascii="Sylfaen" w:hAnsi="Sylfaen"/>
          <w:sz w:val="24"/>
          <w:szCs w:val="24"/>
          <w:lang w:val="ka-GE"/>
        </w:rPr>
        <w:t>მაია კოპალეიშვილი</w:t>
      </w:r>
    </w:p>
    <w:p w:rsidR="00370CE6" w:rsidRDefault="00370CE6" w:rsidP="00370CE6">
      <w:pPr>
        <w:jc w:val="both"/>
        <w:rPr>
          <w:rFonts w:ascii="Sylfaen" w:hAnsi="Sylfaen"/>
          <w:sz w:val="24"/>
          <w:szCs w:val="24"/>
          <w:lang w:val="ka-GE"/>
        </w:rPr>
      </w:pPr>
      <w:r>
        <w:rPr>
          <w:rFonts w:ascii="Sylfaen" w:hAnsi="Sylfaen"/>
          <w:sz w:val="24"/>
          <w:szCs w:val="24"/>
          <w:lang w:val="ka-GE"/>
        </w:rPr>
        <w:t>საქართველოს საკონსტიტუციო</w:t>
      </w:r>
    </w:p>
    <w:p w:rsidR="00370CE6" w:rsidRDefault="00370CE6" w:rsidP="00370CE6">
      <w:pPr>
        <w:jc w:val="both"/>
        <w:rPr>
          <w:rFonts w:ascii="Sylfaen" w:hAnsi="Sylfaen"/>
          <w:sz w:val="24"/>
          <w:szCs w:val="24"/>
          <w:lang w:val="ka-GE"/>
        </w:rPr>
      </w:pPr>
      <w:r>
        <w:rPr>
          <w:rFonts w:ascii="Sylfaen" w:hAnsi="Sylfaen"/>
          <w:sz w:val="24"/>
          <w:szCs w:val="24"/>
          <w:lang w:val="ka-GE"/>
        </w:rPr>
        <w:t>სასამართლოს წევრი</w:t>
      </w:r>
    </w:p>
    <w:p w:rsidR="00370CE6" w:rsidRDefault="00370CE6" w:rsidP="00370CE6">
      <w:pPr>
        <w:jc w:val="both"/>
        <w:rPr>
          <w:rFonts w:ascii="Sylfaen" w:hAnsi="Sylfaen"/>
          <w:sz w:val="24"/>
          <w:szCs w:val="24"/>
          <w:lang w:val="ka-GE"/>
        </w:rPr>
      </w:pPr>
      <w:r>
        <w:rPr>
          <w:rFonts w:ascii="Sylfaen" w:hAnsi="Sylfaen"/>
          <w:sz w:val="24"/>
          <w:szCs w:val="24"/>
          <w:lang w:val="ka-GE"/>
        </w:rPr>
        <w:t>10.11.2017წ.</w:t>
      </w:r>
    </w:p>
    <w:p w:rsidR="00626537" w:rsidRDefault="00626537"/>
    <w:sectPr w:rsidR="00626537" w:rsidSect="00370CE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70269"/>
    <w:multiLevelType w:val="hybridMultilevel"/>
    <w:tmpl w:val="2DFA357A"/>
    <w:lvl w:ilvl="0" w:tplc="2320FB5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CE6"/>
    <w:rsid w:val="00370CE6"/>
    <w:rsid w:val="00626537"/>
    <w:rsid w:val="00A0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B4C4D-52AD-4A33-9898-67D1D5D7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C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3</cp:revision>
  <dcterms:created xsi:type="dcterms:W3CDTF">2019-12-19T08:43:00Z</dcterms:created>
  <dcterms:modified xsi:type="dcterms:W3CDTF">2019-12-19T08:48:00Z</dcterms:modified>
</cp:coreProperties>
</file>