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29" w:rsidRDefault="003B5A29"/>
    <w:p w:rsidR="003B5A29" w:rsidRDefault="007E0BDA">
      <w:pPr>
        <w:jc w:val="right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დამტკიცებულია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საქართველოს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საკონსტიტუციო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სასამართლოს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პლენუმის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2011 </w:t>
      </w:r>
      <w:r>
        <w:rPr>
          <w:rFonts w:ascii="Arial Unicode MS" w:eastAsia="Arial Unicode MS" w:hAnsi="Arial Unicode MS" w:cs="Arial Unicode MS"/>
          <w:sz w:val="18"/>
          <w:szCs w:val="18"/>
        </w:rPr>
        <w:t>წლის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18 </w:t>
      </w:r>
      <w:r>
        <w:rPr>
          <w:rFonts w:ascii="Arial Unicode MS" w:eastAsia="Arial Unicode MS" w:hAnsi="Arial Unicode MS" w:cs="Arial Unicode MS"/>
          <w:sz w:val="18"/>
          <w:szCs w:val="18"/>
        </w:rPr>
        <w:t>აპრილის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N81/3 </w:t>
      </w:r>
      <w:r>
        <w:rPr>
          <w:rFonts w:ascii="Arial Unicode MS" w:eastAsia="Arial Unicode MS" w:hAnsi="Arial Unicode MS" w:cs="Arial Unicode MS"/>
          <w:sz w:val="18"/>
          <w:szCs w:val="18"/>
        </w:rPr>
        <w:t>დადგენილებით</w:t>
      </w:r>
    </w:p>
    <w:tbl>
      <w:tblPr>
        <w:tblStyle w:val="a5"/>
        <w:tblW w:w="109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8"/>
        <w:gridCol w:w="3690"/>
        <w:gridCol w:w="4050"/>
      </w:tblGrid>
      <w:tr w:rsidR="003B5A29">
        <w:trPr>
          <w:trHeight w:val="2200"/>
        </w:trPr>
        <w:tc>
          <w:tcPr>
            <w:tcW w:w="3258" w:type="dxa"/>
            <w:shd w:val="clear" w:color="auto" w:fill="C0C0C0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-19049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0" t="0" r="0" b="0"/>
                  <wp:wrapTopAndBottom distT="0" dist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:rsidR="003B5A29" w:rsidRDefault="003B5A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>სარჩელის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>რეგისტრაციის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 xml:space="preserve">  N   _______</w:t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>თარიღი</w:t>
            </w:r>
            <w:r>
              <w:rPr>
                <w:rFonts w:ascii="Arial Unicode MS" w:eastAsia="Arial Unicode MS" w:hAnsi="Arial Unicode MS" w:cs="Arial Unicode MS"/>
                <w:b/>
                <w:color w:val="000080"/>
                <w:sz w:val="20"/>
                <w:szCs w:val="20"/>
              </w:rPr>
              <w:t>:   __ /__  /__</w:t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80"/>
                <w:sz w:val="20"/>
                <w:szCs w:val="20"/>
              </w:rPr>
            </w:pPr>
          </w:p>
        </w:tc>
      </w:tr>
      <w:tr w:rsidR="003B5A29">
        <w:trPr>
          <w:trHeight w:val="88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კონსტიტუციური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სარჩელი</w:t>
            </w:r>
          </w:p>
        </w:tc>
      </w:tr>
      <w:tr w:rsidR="003B5A29">
        <w:trPr>
          <w:trHeight w:val="1680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კონსტიტუციის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მეორე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თავით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აღიარებულ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ადამიანის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ძირითად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უფლებებთან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თავისუფლებებთან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მიმართებით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ნორმატიული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აქტის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შესაბამისობის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თაობაზე</w:t>
            </w:r>
            <w:r>
              <w:rPr>
                <w:color w:val="000000"/>
              </w:rPr>
              <w:t xml:space="preserve"> (</w:t>
            </w:r>
            <w:r>
              <w:rPr>
                <w:rFonts w:ascii="Merriweather" w:eastAsia="Merriweather" w:hAnsi="Merriweather" w:cs="Merriweather"/>
              </w:rPr>
              <w:t>„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საკონსტიტუციო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სასამართლოს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შესახებ</w:t>
            </w:r>
            <w:r>
              <w:rPr>
                <w:rFonts w:ascii="Merriweather" w:eastAsia="Merriweather" w:hAnsi="Merriweather" w:cs="Merriweather"/>
              </w:rPr>
              <w:t>“</w:t>
            </w:r>
            <w:r>
              <w:rPr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ორგანული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კანონის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მე</w:t>
            </w:r>
            <w:r>
              <w:rPr>
                <w:color w:val="000000"/>
              </w:rPr>
              <w:t xml:space="preserve">-19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მუხლის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პირველი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პუნქტის</w:t>
            </w:r>
            <w:r>
              <w:rPr>
                <w:color w:val="000000"/>
              </w:rPr>
              <w:t xml:space="preserve"> </w:t>
            </w:r>
            <w:r>
              <w:rPr>
                <w:rFonts w:ascii="Merriweather" w:eastAsia="Merriweather" w:hAnsi="Merriweather" w:cs="Merriweather"/>
              </w:rPr>
              <w:t>„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ე</w:t>
            </w:r>
            <w:r>
              <w:rPr>
                <w:rFonts w:ascii="Merriweather" w:eastAsia="Merriweather" w:hAnsi="Merriweather" w:cs="Merriweather"/>
              </w:rPr>
              <w:t>“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ქვეპუნქტი</w:t>
            </w:r>
            <w:r>
              <w:rPr>
                <w:color w:val="000000"/>
              </w:rPr>
              <w:t>)</w:t>
            </w:r>
          </w:p>
        </w:tc>
      </w:tr>
      <w:tr w:rsidR="003B5A29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კონსტიტუციური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სარჩელის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ფორმასთან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კითხვის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შენიშვნის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რეკომენდაციის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არსებობის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შემთხვევაში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შეგიძლიათ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დაგვიკავშირდეთ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ნომერზე</w:t>
            </w:r>
            <w:r>
              <w:rPr>
                <w:color w:val="000000"/>
                <w:sz w:val="20"/>
                <w:szCs w:val="20"/>
              </w:rPr>
              <w:t xml:space="preserve"> +995 422-27-00-99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მოგვწეროთ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ელექტრონული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ფოსტის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მეშვეობით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მისამართზე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const@constcourt.ge</w:t>
              </w:r>
            </w:hyperlink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ვებგვერდი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www.constcourt.ge</w:t>
              </w:r>
            </w:hyperlink>
            <w:r>
              <w:rPr>
                <w:rFonts w:ascii="Merriweather" w:eastAsia="Merriweather" w:hAnsi="Merriweather" w:cs="Merriweather"/>
                <w:color w:val="00000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5A29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თუ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რომელიმე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პუნქტის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შესავსებად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გამოყოფილი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ადგილი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იქნება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საკმარისი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შეგიძლიათ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ფორმას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გვერდი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დაურთოთ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ყოველ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გვერდზე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გადაიტანეთ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პუნქტის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სათაური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რომელსაც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ავსებთ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დასრულების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შემდეგ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ფორმა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დანომრეთ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B5A29" w:rsidRDefault="003B5A29"/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7E0BDA">
      <w:pPr>
        <w:rPr>
          <w:rFonts w:ascii="Merriweather" w:eastAsia="Merriweather" w:hAnsi="Merriweather" w:cs="Merriweather"/>
        </w:rPr>
      </w:pPr>
      <w:r>
        <w:br w:type="page"/>
      </w:r>
    </w:p>
    <w:p w:rsidR="003B5A29" w:rsidRDefault="003B5A29">
      <w:pPr>
        <w:rPr>
          <w:rFonts w:ascii="Merriweather" w:eastAsia="Merriweather" w:hAnsi="Merriweather" w:cs="Merriweather"/>
        </w:rPr>
      </w:pPr>
    </w:p>
    <w:tbl>
      <w:tblPr>
        <w:tblStyle w:val="a6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3B5A29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before="360" w:after="36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bookmarkStart w:id="0" w:name="gjdgxs" w:colFirst="0" w:colLast="0"/>
            <w:bookmarkEnd w:id="0"/>
            <w:r>
              <w:rPr>
                <w:b/>
                <w:color w:val="000000"/>
                <w:sz w:val="36"/>
                <w:szCs w:val="36"/>
              </w:rPr>
              <w:t xml:space="preserve">I.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ფორმალური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ნაწილი</w:t>
            </w:r>
          </w:p>
        </w:tc>
      </w:tr>
      <w:tr w:rsidR="003B5A29">
        <w:tc>
          <w:tcPr>
            <w:tcW w:w="3672" w:type="dxa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მხარეთა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3B5A29" w:rsidRDefault="003B5A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72" w:type="dxa"/>
          </w:tcPr>
          <w:p w:rsidR="003B5A29" w:rsidRDefault="003B5A29">
            <w:pPr>
              <w:spacing w:after="0" w:line="240" w:lineRule="auto"/>
              <w:rPr>
                <w:color w:val="000000"/>
              </w:rPr>
            </w:pPr>
          </w:p>
        </w:tc>
      </w:tr>
      <w:tr w:rsidR="003B5A29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1.1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მოსარჩელე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მოსარჩელეები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3B5A29">
            <w:pPr>
              <w:spacing w:after="0" w:line="240" w:lineRule="auto"/>
              <w:rPr>
                <w:color w:val="000000"/>
              </w:rPr>
            </w:pPr>
          </w:p>
        </w:tc>
      </w:tr>
      <w:tr w:rsidR="003B5A29">
        <w:tc>
          <w:tcPr>
            <w:tcW w:w="3672" w:type="dxa"/>
            <w:tcBorders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გოჩა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გაბოძე</w:t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ლევან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ბერიანიძე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29" w:rsidRDefault="003B5A29" w:rsidP="00D36AD1">
            <w:pPr>
              <w:spacing w:after="0" w:line="240" w:lineRule="auto"/>
              <w:ind w:left="720"/>
              <w:contextualSpacing/>
              <w:rPr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000000"/>
            </w:tcBorders>
          </w:tcPr>
          <w:p w:rsidR="003B5A29" w:rsidRDefault="003B5A29" w:rsidP="00D36AD1">
            <w:pPr>
              <w:spacing w:after="0" w:line="240" w:lineRule="auto"/>
              <w:contextualSpacing/>
            </w:pPr>
          </w:p>
        </w:tc>
      </w:tr>
      <w:tr w:rsidR="003B5A29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სახელი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პირადი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საიდენტიფიკაციო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მისამართი</w:t>
            </w:r>
          </w:p>
        </w:tc>
      </w:tr>
      <w:tr w:rsidR="003B5A29">
        <w:tc>
          <w:tcPr>
            <w:tcW w:w="3672" w:type="dxa"/>
            <w:tcBorders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     </w:t>
            </w:r>
          </w:p>
        </w:tc>
        <w:tc>
          <w:tcPr>
            <w:tcW w:w="3672" w:type="dxa"/>
            <w:tcBorders>
              <w:left w:val="single" w:sz="4" w:space="0" w:color="000000"/>
            </w:tcBorders>
          </w:tcPr>
          <w:p w:rsidR="003B5A29" w:rsidRDefault="003B5A29">
            <w:pPr>
              <w:spacing w:after="0" w:line="240" w:lineRule="auto"/>
            </w:pPr>
          </w:p>
        </w:tc>
        <w:tc>
          <w:tcPr>
            <w:tcW w:w="3672" w:type="dxa"/>
            <w:tcBorders>
              <w:left w:val="single" w:sz="4" w:space="0" w:color="000000"/>
            </w:tcBorders>
          </w:tcPr>
          <w:p w:rsidR="003B5A29" w:rsidRDefault="007E0BDA" w:rsidP="00D36AD1">
            <w:pPr>
              <w:spacing w:after="0" w:line="240" w:lineRule="auto"/>
              <w:contextualSpacing/>
            </w:pPr>
            <w:r>
              <w:t xml:space="preserve"> </w:t>
            </w:r>
          </w:p>
        </w:tc>
      </w:tr>
      <w:tr w:rsidR="003B5A29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ალტერნატიული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მისამართი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ელექტრონული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ფოსტა</w:t>
            </w:r>
          </w:p>
        </w:tc>
      </w:tr>
    </w:tbl>
    <w:p w:rsidR="003B5A29" w:rsidRDefault="003B5A29">
      <w:pPr>
        <w:spacing w:after="0"/>
        <w:rPr>
          <w:rFonts w:ascii="Merriweather" w:eastAsia="Merriweather" w:hAnsi="Merriweather" w:cs="Merriweather"/>
        </w:rPr>
      </w:pPr>
    </w:p>
    <w:tbl>
      <w:tblPr>
        <w:tblStyle w:val="a7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3B5A29">
        <w:tc>
          <w:tcPr>
            <w:tcW w:w="7344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bookmarkStart w:id="1" w:name="tyjcwt" w:colFirst="0" w:colLast="0"/>
            <w:bookmarkStart w:id="2" w:name="1t3h5sf" w:colFirst="0" w:colLast="0"/>
            <w:bookmarkEnd w:id="1"/>
            <w:bookmarkEnd w:id="2"/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1.2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მოსარჩელის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წარმომადგენელი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წარმომადგენლები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3B5A29">
            <w:pPr>
              <w:spacing w:after="0" w:line="240" w:lineRule="auto"/>
              <w:rPr>
                <w:color w:val="000000"/>
              </w:rPr>
            </w:pPr>
          </w:p>
        </w:tc>
      </w:tr>
      <w:tr w:rsidR="003B5A29">
        <w:tc>
          <w:tcPr>
            <w:tcW w:w="3672" w:type="dxa"/>
            <w:tcBorders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ნინო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ბოლქვაძე</w:t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გიორგი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გოცირიძე</w:t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Arial Unicode MS" w:eastAsia="Arial Unicode MS" w:hAnsi="Arial Unicode MS" w:cs="Arial Unicode MS"/>
              </w:rPr>
              <w:t>თამარ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მჭედლიშვილი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29" w:rsidRDefault="007E0BDA" w:rsidP="00D36AD1">
            <w:pPr>
              <w:spacing w:after="0" w:line="240" w:lineRule="auto"/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  </w:t>
            </w:r>
          </w:p>
        </w:tc>
        <w:tc>
          <w:tcPr>
            <w:tcW w:w="3672" w:type="dxa"/>
            <w:tcBorders>
              <w:lef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</w:p>
        </w:tc>
      </w:tr>
      <w:tr w:rsidR="003B5A29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სახელი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პირადი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საიდენტიფიკაციო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მისამართი</w:t>
            </w:r>
          </w:p>
        </w:tc>
      </w:tr>
      <w:tr w:rsidR="003B5A29">
        <w:tc>
          <w:tcPr>
            <w:tcW w:w="3672" w:type="dxa"/>
            <w:tcBorders>
              <w:bottom w:val="nil"/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     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29" w:rsidRDefault="003B5A29" w:rsidP="00D36AD1">
            <w:pPr>
              <w:spacing w:after="0" w:line="240" w:lineRule="auto"/>
              <w:ind w:left="720"/>
              <w:contextualSpacing/>
            </w:pPr>
            <w:bookmarkStart w:id="3" w:name="_GoBack"/>
            <w:bookmarkEnd w:id="3"/>
          </w:p>
        </w:tc>
        <w:tc>
          <w:tcPr>
            <w:tcW w:w="3672" w:type="dxa"/>
            <w:tcBorders>
              <w:left w:val="single" w:sz="4" w:space="0" w:color="000000"/>
              <w:bottom w:val="nil"/>
            </w:tcBorders>
          </w:tcPr>
          <w:p w:rsidR="003B5A29" w:rsidRDefault="003B5A29" w:rsidP="00D36AD1">
            <w:pPr>
              <w:spacing w:after="0" w:line="240" w:lineRule="auto"/>
              <w:rPr>
                <w:rFonts w:ascii="Arial" w:eastAsia="Arial" w:hAnsi="Arial" w:cs="Arial"/>
                <w:color w:val="777777"/>
                <w:sz w:val="18"/>
                <w:szCs w:val="18"/>
                <w:highlight w:val="white"/>
              </w:rPr>
            </w:pPr>
          </w:p>
        </w:tc>
      </w:tr>
      <w:tr w:rsidR="003B5A29"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ალტერნატიული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ელექტრონული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ფოსტა</w:t>
            </w:r>
          </w:p>
        </w:tc>
      </w:tr>
      <w:tr w:rsidR="003B5A29">
        <w:tc>
          <w:tcPr>
            <w:tcW w:w="3672" w:type="dxa"/>
            <w:tcBorders>
              <w:top w:val="single" w:sz="4" w:space="0" w:color="000000"/>
              <w:bottom w:val="single" w:sz="4" w:space="0" w:color="000000"/>
            </w:tcBorders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bottom w:val="single" w:sz="4" w:space="0" w:color="000000"/>
            </w:tcBorders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bottom w:val="single" w:sz="4" w:space="0" w:color="000000"/>
            </w:tcBorders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</w:p>
        </w:tc>
      </w:tr>
      <w:tr w:rsidR="003B5A29">
        <w:tc>
          <w:tcPr>
            <w:tcW w:w="36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1.3.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მოპასუხე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მოპასუხეები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</w:p>
        </w:tc>
      </w:tr>
      <w:tr w:rsidR="003B5A29">
        <w:tc>
          <w:tcPr>
            <w:tcW w:w="3672" w:type="dxa"/>
            <w:tcBorders>
              <w:top w:val="nil"/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მინისტრი</w:t>
            </w:r>
            <w:bookmarkStart w:id="4" w:name="4d34og8" w:colFirst="0" w:colLast="0"/>
            <w:bookmarkEnd w:id="4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ქალაქი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წერეთლის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გამზირი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#144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(+995  032) 2 51 00 26</w:t>
            </w:r>
          </w:p>
        </w:tc>
      </w:tr>
      <w:tr w:rsidR="003B5A29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ტელეფონი</w:t>
            </w: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tbl>
      <w:tblPr>
        <w:tblStyle w:val="a8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3672"/>
      </w:tblGrid>
      <w:tr w:rsidR="003B5A29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bookmarkStart w:id="5" w:name="2s8eyo1" w:colFirst="0" w:colLast="0"/>
            <w:bookmarkEnd w:id="5"/>
            <w:r>
              <w:rPr>
                <w:rFonts w:ascii="Merriweather" w:eastAsia="Merriweather" w:hAnsi="Merriweather" w:cs="Merriweather"/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ნორმატიული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აქტი</w:t>
            </w:r>
          </w:p>
        </w:tc>
      </w:tr>
      <w:tr w:rsidR="003B5A29">
        <w:tc>
          <w:tcPr>
            <w:tcW w:w="3672" w:type="dxa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3B5A29" w:rsidRDefault="003B5A29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3B5A29" w:rsidRDefault="003B5A29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3B5A29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აქტის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დასახელება</w:t>
            </w:r>
          </w:p>
        </w:tc>
      </w:tr>
      <w:tr w:rsidR="003B5A29">
        <w:tc>
          <w:tcPr>
            <w:tcW w:w="11016" w:type="dxa"/>
            <w:gridSpan w:val="4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ჩვენებების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2000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ბრძანება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B5A29">
        <w:trPr>
          <w:trHeight w:val="340"/>
        </w:trPr>
        <w:tc>
          <w:tcPr>
            <w:tcW w:w="5508" w:type="dxa"/>
            <w:gridSpan w:val="2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მიმღების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გამომცემის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დასახელება</w:t>
            </w:r>
          </w:p>
        </w:tc>
        <w:tc>
          <w:tcPr>
            <w:tcW w:w="5508" w:type="dxa"/>
            <w:gridSpan w:val="2"/>
            <w:tcBorders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/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გამოცემის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თარიღი</w:t>
            </w:r>
          </w:p>
        </w:tc>
      </w:tr>
      <w:tr w:rsidR="003B5A29">
        <w:tc>
          <w:tcPr>
            <w:tcW w:w="5508" w:type="dxa"/>
            <w:gridSpan w:val="2"/>
            <w:tcBorders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მინისტრი</w:t>
            </w:r>
          </w:p>
        </w:tc>
        <w:tc>
          <w:tcPr>
            <w:tcW w:w="550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2000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დეკემბერი</w:t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2017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24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ოქტომბერი</w:t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B5A29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ნორმები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1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</w:rPr>
              <w:t>1</w:t>
            </w:r>
          </w:p>
        </w:tc>
      </w:tr>
      <w:tr w:rsidR="003B5A29">
        <w:tc>
          <w:tcPr>
            <w:tcW w:w="11016" w:type="dxa"/>
            <w:gridSpan w:val="4"/>
          </w:tcPr>
          <w:p w:rsidR="003B5A29" w:rsidRDefault="007E0BDA">
            <w:pPr>
              <w:spacing w:after="0" w:line="24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ჩვენებების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2000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#1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პლაზმის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უჯრედების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შემოწმების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დებულება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V (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უკუჩვენება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) 65</w:t>
            </w:r>
            <w:r>
              <w:rPr>
                <w:rFonts w:ascii="Merriweather" w:eastAsia="Merriweather" w:hAnsi="Merriweather" w:cs="Merriweather"/>
                <w:color w:val="000000"/>
                <w:vertAlign w:val="superscript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მამაკაცის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).“ 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br/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7E0BDA">
      <w:pPr>
        <w:rPr>
          <w:rFonts w:ascii="Merriweather" w:eastAsia="Merriweather" w:hAnsi="Merriweather" w:cs="Merriweather"/>
        </w:rPr>
      </w:pPr>
      <w:r>
        <w:br w:type="page"/>
      </w:r>
    </w:p>
    <w:tbl>
      <w:tblPr>
        <w:tblStyle w:val="a9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B5A29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bookmarkStart w:id="6" w:name="17dp8vu" w:colFirst="0" w:colLast="0"/>
            <w:bookmarkStart w:id="7" w:name="3rdcrjn" w:colFirst="0" w:colLast="0"/>
            <w:bookmarkStart w:id="8" w:name="26in1rg" w:colFirst="0" w:colLast="0"/>
            <w:bookmarkStart w:id="9" w:name="lnxbz9" w:colFirst="0" w:colLast="0"/>
            <w:bookmarkStart w:id="10" w:name="35nkun2" w:colFirst="0" w:colLast="0"/>
            <w:bookmarkEnd w:id="6"/>
            <w:bookmarkEnd w:id="7"/>
            <w:bookmarkEnd w:id="8"/>
            <w:bookmarkEnd w:id="9"/>
            <w:bookmarkEnd w:id="10"/>
            <w:r>
              <w:rPr>
                <w:rFonts w:ascii="Merriweather" w:eastAsia="Merriweather" w:hAnsi="Merriweather" w:cs="Merriweather"/>
                <w:b/>
                <w:color w:val="000000"/>
              </w:rPr>
              <w:lastRenderedPageBreak/>
              <w:t>3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დებულება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დებულებანი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ეწინააღმდეგება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ნორმატიული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აქტი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.</w:t>
            </w:r>
          </w:p>
        </w:tc>
      </w:tr>
      <w:tr w:rsidR="003B5A29">
        <w:tc>
          <w:tcPr>
            <w:tcW w:w="11016" w:type="dxa"/>
            <w:gridSpan w:val="2"/>
          </w:tcPr>
          <w:p w:rsidR="003B5A29" w:rsidRDefault="003B5A29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3B5A29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გთხოვთ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მიუთითოთ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მუხლი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პუნქტი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წინადადება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</w:tr>
      <w:tr w:rsidR="003B5A29">
        <w:tc>
          <w:tcPr>
            <w:tcW w:w="11016" w:type="dxa"/>
            <w:gridSpan w:val="2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     </w:t>
            </w:r>
          </w:p>
        </w:tc>
      </w:tr>
      <w:tr w:rsidR="003B5A29">
        <w:trPr>
          <w:trHeight w:val="340"/>
        </w:trPr>
        <w:tc>
          <w:tcPr>
            <w:tcW w:w="1101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შემოწმებას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რამდენიმე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მუხლთან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ითხოვთ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გთხოვთ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დააზუსტოთ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რომელ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ნორმას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რომელ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მუხლთან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პუნქტთან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ქვეპუნქტთან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წინადადებასთან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ხდით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>სადავოდ</w:t>
            </w:r>
            <w:r>
              <w:rPr>
                <w:rFonts w:ascii="Arial Unicode MS" w:eastAsia="Arial Unicode MS" w:hAnsi="Arial Unicode MS" w:cs="Arial Unicode MS"/>
                <w:color w:val="000000"/>
                <w:shd w:val="clear" w:color="auto" w:fill="D9D9D9"/>
              </w:rPr>
              <w:t xml:space="preserve">.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2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2</w:t>
            </w:r>
          </w:p>
        </w:tc>
      </w:tr>
      <w:tr w:rsidR="003B5A2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ნორმატიული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აქტი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)</w:t>
            </w: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u w:val="single"/>
              </w:rPr>
              <w:t>დებულება</w:t>
            </w:r>
          </w:p>
        </w:tc>
      </w:tr>
      <w:tr w:rsidR="003B5A29">
        <w:trPr>
          <w:trHeight w:val="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ჩვენებების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2000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#1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პლაზმის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უჯრედების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დებულება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V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უკუჩვენება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 65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დაიშვება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უანგარო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(24.10.2017 N 01-63/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ამოქმედდეს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31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ოქტომბრიდან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)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უკანასკნელი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);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);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(24-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);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(B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 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);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).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დაბადებით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თავისუფალია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განურჩევლად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რასისა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ფერისა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ენისა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რელიგიისა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პოლიტიკური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შეხედულებებისა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ეთნიკური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კუთვნილებისა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წარმოშობისა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ქონებრივი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წოდებრივი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საცხოვრებელი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ადგილისა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„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B5A29">
        <w:trPr>
          <w:trHeight w:val="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ჩვენებების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2000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#1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პლაზმის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უჯრედების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დებულება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V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უკუჩვენება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 65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).“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.“</w:t>
            </w: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B5A29">
        <w:trPr>
          <w:trHeight w:val="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     </w:t>
            </w:r>
          </w:p>
        </w:tc>
      </w:tr>
      <w:tr w:rsidR="003B5A29">
        <w:trPr>
          <w:trHeight w:val="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tbl>
      <w:tblPr>
        <w:tblStyle w:val="aa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B5A29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4.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სასამართლოსადმი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მიმართვის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საფუძვლები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: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3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3</w:t>
            </w:r>
          </w:p>
        </w:tc>
      </w:tr>
      <w:tr w:rsidR="003B5A29">
        <w:tc>
          <w:tcPr>
            <w:tcW w:w="11016" w:type="dxa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42-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89-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39-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სამართალწარმოების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</w:tc>
      </w:tr>
    </w:tbl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7E0BDA">
      <w:pPr>
        <w:rPr>
          <w:rFonts w:ascii="Merriweather" w:eastAsia="Merriweather" w:hAnsi="Merriweather" w:cs="Merriweather"/>
        </w:rPr>
      </w:pPr>
      <w:r>
        <w:br w:type="page"/>
      </w:r>
    </w:p>
    <w:tbl>
      <w:tblPr>
        <w:tblStyle w:val="ab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B5A29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before="360" w:after="36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II.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სარჩელის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საფუძვლიანობა</w:t>
            </w:r>
            <w:r>
              <w:rPr>
                <w:b/>
                <w:color w:val="000000"/>
                <w:sz w:val="36"/>
                <w:szCs w:val="36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მოთხოვნის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არსი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და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დასაბუთება</w:t>
            </w:r>
          </w:p>
        </w:tc>
      </w:tr>
      <w:tr w:rsidR="003B5A29">
        <w:tc>
          <w:tcPr>
            <w:tcW w:w="11016" w:type="dxa"/>
          </w:tcPr>
          <w:p w:rsidR="003B5A29" w:rsidRDefault="007E0BDA">
            <w:pPr>
              <w:spacing w:before="120" w:after="12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1.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განმარტებები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სარჩელის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განსახილველად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მიღებასთან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დაკავშირებით</w:t>
            </w:r>
            <w:r>
              <w:rPr>
                <w:rFonts w:ascii="Merriweather" w:eastAsia="Merriweather" w:hAnsi="Merriweather" w:cs="Merriweather"/>
                <w:i/>
                <w:color w:val="000000"/>
              </w:rPr>
              <w:t xml:space="preserve"> </w:t>
            </w:r>
          </w:p>
        </w:tc>
      </w:tr>
      <w:tr w:rsidR="003B5A29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გთხოვთ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დაასაბუთოთ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თქვენი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სარჩელის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სასამართლოში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განსახილველად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არმიღების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საფუძვლები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4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4</w:t>
            </w:r>
          </w:p>
        </w:tc>
      </w:tr>
      <w:tr w:rsidR="003B5A29">
        <w:trPr>
          <w:trHeight w:val="360"/>
        </w:trPr>
        <w:tc>
          <w:tcPr>
            <w:tcW w:w="11016" w:type="dxa"/>
            <w:tcBorders>
              <w:top w:val="nil"/>
              <w:bottom w:val="single" w:sz="4" w:space="0" w:color="000000"/>
            </w:tcBorders>
          </w:tcPr>
          <w:p w:rsidR="003B5A29" w:rsidRDefault="007E0B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ფორმით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შინაარსით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შეესაბამება</w:t>
            </w:r>
            <w:r>
              <w:rPr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სამართალწარმოების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მოთხოვნებს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შეტანილია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უფლებამოსილი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სუბიექტის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ლევან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ბერიანიძე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გოჩა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გაბოძე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ისინი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იდენტიფიცირებას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ახდენენ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იყვნენ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დასრულებულ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#536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#878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უანგარო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არათანაბარ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აყენებს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,,B”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,,C”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65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მიუხედავად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,,B”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,,C”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უკრძალავს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მაშინ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ხანგრძლივ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აწესებს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არახელსაყრელ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აყენებს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განმახორციელებელ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ნაწილში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გასაჩივრებულ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ააჩნია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უწესებს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უზღუდავს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ალტრუისტული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განხორციელების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აცილებისათვის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არღვევს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აღიარებულ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დაარღვია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აღიარებულ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აღიარებული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ორგანული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39-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უფლებამოსილი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იდავონ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გასაჩივრებული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განსჯადი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№ 2/1/536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არაკონსტიტუციურად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სცნო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ჰომოსექსუალიზმი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უკრძალავდა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ივლისს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№ 1/13/878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განჩინებით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დამძლევ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არაკონსტიტუციურად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სცნო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უკრძალავდა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საგანს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ზემოხსენებული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საშუალებებისაგან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მიუხედავად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არაკონსტიტუციურია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ვინაიდან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არათანასწორად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თვალსაზრისით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აწესებს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იმდენად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ასაცილებლად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მიგვაჩნია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სასარჩელო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ხანდაზმულობის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არასაპატიო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მიზეზით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გაშვების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დგება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დღის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წესრიგში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გასაჩივრებულია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მსჯელობაც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ზემდგომი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ნორმატიული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გასაჩივრებისგა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დამოუკიდებლად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3B5A2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3B5A29">
      <w:pPr>
        <w:jc w:val="both"/>
        <w:rPr>
          <w:rFonts w:ascii="Merriweather" w:eastAsia="Merriweather" w:hAnsi="Merriweather" w:cs="Merriweather"/>
        </w:rPr>
      </w:pPr>
    </w:p>
    <w:p w:rsidR="003B5A29" w:rsidRDefault="007E0BDA">
      <w:pPr>
        <w:jc w:val="both"/>
        <w:rPr>
          <w:rFonts w:ascii="Merriweather" w:eastAsia="Merriweather" w:hAnsi="Merriweather" w:cs="Merriweather"/>
        </w:rPr>
      </w:pPr>
      <w:r>
        <w:br w:type="page"/>
      </w:r>
    </w:p>
    <w:tbl>
      <w:tblPr>
        <w:tblStyle w:val="ac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B5A29">
        <w:trPr>
          <w:trHeight w:val="460"/>
        </w:trPr>
        <w:tc>
          <w:tcPr>
            <w:tcW w:w="11016" w:type="dxa"/>
            <w:tcBorders>
              <w:top w:val="single" w:sz="4" w:space="0" w:color="000000"/>
              <w:left w:val="nil"/>
              <w:right w:val="nil"/>
            </w:tcBorders>
            <w:shd w:val="clear" w:color="auto" w:fill="C0C0C0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lastRenderedPageBreak/>
              <w:t xml:space="preserve">2.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მოთხოვნის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არსი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დასაბუთება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0"/>
                <w:szCs w:val="20"/>
              </w:rPr>
              <w:t xml:space="preserve"> 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5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5</w:t>
            </w:r>
          </w:p>
        </w:tc>
      </w:tr>
      <w:tr w:rsidR="003B5A29">
        <w:trPr>
          <w:trHeight w:val="580"/>
        </w:trPr>
        <w:tc>
          <w:tcPr>
            <w:tcW w:w="11016" w:type="dxa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თანახმად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დაბადებით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თავისუფალია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განურჩევლად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რასისა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ფერისა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ენისა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რელიგიისა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პოლიტიკური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შეხედულებებისა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ეთნიკური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კუთვნილების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წარმოშობისა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ქონებრივი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წოდებრივი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საცხოვრებელი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ადგილისა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.“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დეკემბერს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№1/1/493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გადაწყვეტილებაში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მოქალაქეთა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პოლიტიკური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გაერთიანებები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მემარჯვენეები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კონსერვატიული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პარლამენტის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განაცხადა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ფარგლებში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მსჯელობის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რიგში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დაადგინოს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: 1)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გადამწყვეტი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მნიშვნელობა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რადგან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კატეგორიებს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წარმოადგენდნენ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ისინი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შინაარსით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კრიტერიუმით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მსგავს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კატეგორიაში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ანალოგიურ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ხვდებოდნენ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იყვნენ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კონკრეტულ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ვითარებასა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რთიერთობებში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იგივე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გარკვეულ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ვითარებასთან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განხილულ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აშკარა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არათანასწორი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სფეროების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შესადარებელ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წარმაოდგენენ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შემავალი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ანალოგიურ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იდენტურ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მყოფნი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თვალსაზრით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შემავალი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შესაძლოა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ქმნიდნენ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B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ინფექციის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კატეგორიის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მიეკუთვნებიან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numPr>
                <w:ilvl w:val="0"/>
                <w:numId w:val="3"/>
              </w:numPr>
              <w:spacing w:after="0" w:line="240" w:lineRule="auto"/>
              <w:ind w:left="450"/>
              <w:contextualSpacing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პრეზერვატივის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გამოუყენებლობა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მნიშვნელოვნად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ზრდის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ქალსა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2)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არამონოგამიური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მნიშვნელოვნად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ზრდის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ცალკე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გამოჰყო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ოლიგამიური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ტრანსფუზია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3)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სექსმუშაკთან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კორტეჟში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დასაქმებულ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ანაზღაურების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სანაცვლოდ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გასწევს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მომსახურებას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კორტეჟში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მოკლე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მონაკვეთში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ინტენსიური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ჰეტესექ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დამყარების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ზრდის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გადასხმის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გადამცემი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ამიტომ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მარტო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კორტეჟში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მყოფი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ითვლებიან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გადაცემის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მატარებლად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ვინც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მომსახურებით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სარგებლობს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ნარკოტიკების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მომხმარებელთან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ინტრავენური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ნარკოტიკული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მომხმარებელთა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პოპულაცია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მიეკუთვნებიან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განსაკუთრებით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ზრდის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ნემსით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ვენაში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ნარკოტიკული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ნივთიერების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ხელახალი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ინექცია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ნარკომომხმარებელს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მიიჩნევის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გადასხმის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მატარებლად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საგანგებოდ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პირზეც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ნარკოტიკების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ინტრავენურ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მომხმარებელთან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N 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მატარებლები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ჩართულნი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იყვნენ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პოლიგამიურ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კავშირებშ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განხორციელდა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სტომატოლოგიური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კოსმეტიკური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მანიპულაცია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სავარაუდოდ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არასტერილური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ინსტრუმენტით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გადამცემი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შემცველად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მიიჩნევს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ნემსი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უჩხვლიტეს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ზემოხსნებულ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აერთიანებს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შეიცავს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შემავალ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აერთიანებს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დაკავებულნი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თვალსაზრისით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ზემოხს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ისეთსავე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უკანასკნელ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35-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მამრობითი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წამომადგენელთა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ბიოლოგიური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აგებულება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განაპირობებს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მიკროტრავმებისა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ალბათობას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მომეტებულია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38-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დამცავი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ჩაითვლება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საფრთხის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პრევენციის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ეფექტურ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რადგან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არასწორი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დაზიანების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მჩნეველი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დარჩეს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პარტნიორებისთვის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გამოვლინდეს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შერჩევის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ეტაპზე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</w:p>
          <w:p w:rsidR="003B5A29" w:rsidRDefault="003B5A29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შესადარებელ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წარმოადგენდნენ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წყვილები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39-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ნათქვამია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წყვილთა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პარტნიორისგან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ალბათობა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ბევრად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მოცემული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ფარგლებში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ჰომოსექსუალებსა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ჰეტეროსექსუალებს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წყვილებს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რომლიდანაც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დადასტურებუ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დაინფიცირებული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B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როდესაც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მსურველი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დადასტურებულად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დაინფიცირებული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ზემოხსენებული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დაინფიცირების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მსურველს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უდასტურდება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გადაცემის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მსურველი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მომდინარე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დადასტურებულად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B,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65-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პრიმა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ჩამოთვლილი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მომდინარეობს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ერთნაირი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აფრთხე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-18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სურვილი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რეალიზაციას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ინტერესი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ფაქტობრივი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გააჩნიათ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ორიენტაციის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მიუხედავად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გამომდინარე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მიიჩნევს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განსახილველ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სუბიექტებს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ნარკომომხმარებელი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სექსმუშაკი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გააჩნიათ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ინტერესი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ყოფნა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რეალიზაციას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ამიტომ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ისინი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განვსაზღვროთ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ბევრად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ხელსაყრელი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მცირე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დაუცველი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ექვსი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დაამყარა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პოლიგამიური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ინტრავენურ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ნარკომომხმარებელთან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ისარგებლა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კორტეჟის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მომსახურებით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ჰყავს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სტომატოლოგიური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მომსახურება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მიიღო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ტატუირება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გაიკეთა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არასტერ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ხელსაწყოთი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ჰყავს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დაუდგინეს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B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ჰეპატიტი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ეზღუდება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პარალელურად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მსგავსი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ეკრძალება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აშკარად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ხელსაყრელ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მდგომარეობაში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მყოფ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შედარებით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მონაწილეობისათვის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აშკარა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უთანასწორო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3B5A2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ორიენტაციისა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ძირითადად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ახასიათებს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ბისექსუალ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კაცებს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ბისექსუალობა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ორიენტაცია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ემოციურ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სულიერ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ლტლოვას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წარმომადგენლის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ქმედებას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ცხოვრებასა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განმახორციელებელი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ემოციური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სულიერი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ლტოლვის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მიუხედავად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3B5A29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25-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განაცხადა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დამკვიდრებული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ორგვარ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მკაცრი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მათგანით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იხელმძღვანელოს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წყდება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ფაქტორების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ინტენსივობისა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26-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უპირველეს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ყოვლისა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დაადგინოს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მოხსენიებულ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კლასიკურ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ტორიულად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ხდებოდა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ჩამოთვლა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აერთიანებდა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დამახასიათებელი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ფიზიკური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თვისებები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კულტურული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კუთვნილება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ჩამოთვლა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ხდებოდა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ზუსტად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დისკრიმინაციის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გამოცდილების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გაგრძელების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შიშის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საპასუხოდ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ორიენტაციას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ორიენტაცია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მიეკუთვნებ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კლასიკურ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ჩამოთვლილ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კლასიკური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მკაცრი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წინაპირობა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მკაცრი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წინაპირობას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რამდენად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მკვეთრად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დააცილებს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კონკრეტულ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საზოგადოებრივ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შესაძლებლობებისაგან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N1/1/493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მოქალაქეთა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პოლიტიკური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გაერთიანებები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მემარჯვენეები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კონსერვატიული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პარტია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პარლამენტის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მივუთითეთ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დგენილია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მონაწილეობისათის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იმდენად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მკვეთრად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აშორებს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მონაწილეობისაგან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მოცემულ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გამოიყენოს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მკაცრი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არაგონივრული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ხანგრძლივობის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უძლებს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შემოწმებასაც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შეეხება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36-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განაცხადა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სიცოცხლესა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ზრუნვის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ვალდებულია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რეციპიენტთათვის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მიწოდება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პოზიტიურ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ვალდებულებას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მოახდინოს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ცხადია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ემსახურება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მკვეთრად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გამოხატული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დისტანცირება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ტრანსფუზიის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აცილებული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რეციპიენტთათვის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გადაცემის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ინტენსივობის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გამართლებისათვის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რმებით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ნაკლებად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მზღუდავ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-40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მომწესრიგებელი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შერჩევის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შედგება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ეტაპისგან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თავდაპირველად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ანამნეზით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შეგროვება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შემდგომ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ჩაბარებული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სპეციალისტთა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მოწმეთა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განმარტებიდან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ცალსახად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დგინდება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სრულად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გამორიცხავს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რადგან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ცრუ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უარყოფითი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პასუხის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ალბათობა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განაპირობოს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ინკუბაციის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”.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პათოლოგიის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შიდსისა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კლინიკური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იმუნოლოგიის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ცენტრის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~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გაგრძელდეს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განხლვაზე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იგივე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პოზიცია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დააფიქსირა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მოწმემ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ლევან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საყვარელიძის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კონტროლისა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საზოგადოებრივი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ცენტრის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აჭარის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სამმართველოს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მოვალეობის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შემსრულებლმა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გუგეშაშვილმა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მოწმის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იდენტიფიცირებადი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გრძელდება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8-10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კვირას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აქსიმალური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სიზუსტისთვის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საჭიროა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შემდგომაც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ჰემატოლოგთა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ტრანსფუზიოლოგიის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ასოციაციის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პრეზიდენტი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გენადი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იოსავა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.“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დაკითხული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ადასტურებს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მეშვეობით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პოპულაციაში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ჩადენიდან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მოწმეს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უთქვამს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რაიმე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გრძე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მეტხანს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უმეტეს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წელიწადს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უზრუნველყოფა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მიიღწევა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ნაკლებად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მზღუდავი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იზღუდება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ჩამდენი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მხარეს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შეეძლო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ლეგიტიმური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ეფექტურად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არსებითად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თანასწორ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კერძოდ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დაეწესებინა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ჩადენის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მომენტიდან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დახვეწილი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დანერგვის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იქნებოდა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სარისკო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ჩამდენი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ყოველგვარი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კიდევ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შემცირება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მომხდარა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აღსანიშნავია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მკაცრი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უძლებს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აკმაყოფილებს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შემოწმებასაც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მემარჯვენეებისა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კონსერვატორების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თანახმად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საკმარისია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მოპყრობის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დასაბუთება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როდესაც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აშკარაა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რეალისტურობა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გარდუვალობა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საჭიროება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ობიექტურ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მიზეზსა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შედეგს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როდესაც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უკანაკნელი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გაკეთებული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უარყოფით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შედეგს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აჩვენებს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არავითარი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შემდგომი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უსასყიდლოდ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ამავდროულად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თვალსაზრისით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დადასტურებული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მტკიცებულება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გრძელდება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წელზ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მეტხანს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არაფერი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ჰეტეროსექსუალებსა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ინკუბაციის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გაამართლებდა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არავითარი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გონივრუ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დიფერენცირების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მიზეზს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სიცოცხლესა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შედეგს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ეწინააღმდეგება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ვითხოვთ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ძალ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ადაკარგულად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ცნობას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თანახმად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ყველას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თავისუფალი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გასაჩივრებული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შეძენის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დაიშვება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უანგარო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კონტაქტიდან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ახდენს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გადადებას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შემზღუდველი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57-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განაცხადა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ნებისმიერი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ფორმ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რეალიზაცია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მოსარჩელეების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გახდნენ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თავისუფალ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მიიღოს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საზოგადოებისათვის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სასარგებლო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საქმიანობაში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ლებით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მოსაქცევად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ალტრუისტული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-60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ყოველგვარი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ანაზღაურების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ქველმოქმედების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სოლიდარობის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გამოვლინება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გამოთქვამს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სურვილს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დაინტერესებული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რაიმე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მატერიალური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ანაზღაურებით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ერთადერთ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მოტივატორს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დახმარება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ალტრუისტული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ამყარებს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გარესამყაროსთან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განსაკუთრებულ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ყურადღებას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საჭიროებს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ინსტიტუტი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2000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N241/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ბრძანების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N1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დანართის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ნათესავები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აბარებენ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პლაზმას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უჯრედებს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სამკურნალო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გადასხმის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განყოფილებებში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რომლებშიც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ახლობე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წვანან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...“.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ციტირებული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სტატუსის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მოაზრებული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საკუთარ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გაიღებენ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ადრესატისთვის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ნათესავისთვის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ახლობლისთვის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დახმარების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პირადი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ურთიერთობების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61-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მეშვეობით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ახდენს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შინაგანი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რეალიზებას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პერსონალური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ოჯახური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უდავოდ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იროვნების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თვითრეალიზაციისა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შემადგენელ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უზღუდავს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უშლის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ალტრუისტული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გზით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ნათესაური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გამყარებაში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ჩარევას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68-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მოსახლეობის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საშიში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დაავადებებისაგან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შიდსი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71-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თანახმად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სამართალშემოქმედმა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გაითვალისწინოს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ინარჩუნებს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ქცევა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რისკებს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თვალსაზრისი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75-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რეგულირებისას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ძალისხმევა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სკრინინგის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აპარატურისა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მიდგომების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დანერგვისაკენ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შეამცირებს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კომპონენტების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უსაფრთხოებას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ნაკლებად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კეთილსინდისიერებაზე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დამოკიდებულს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პოტენციური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ნაკლებად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ბევრად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აღმოსაჩენად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ექსპერტთა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ჩვენებიდან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ირკვევა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ფარგლებშიც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შეუძლებელი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შემცირებაც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კერძოდ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ივლისს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განჩინების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წარმომადგენლების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არგუმენტაციით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იმუნოფერმენტული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ადრეულ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სტადიაზე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ქვეყანაში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ნუკლეინის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მჟავებით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საშუალებითაც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მოკლე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ვადაშია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იზიარებს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პოზიციას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იმავდროულად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ითვალისწინებს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წარმომადგენლის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განცხადებით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იმუნოფერმენტული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სამინისტროს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თუმცა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საჭიროებს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ვიდრე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ნუკლეინის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მჟავებით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ვალდებულია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ტექნოლოგიური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შეიმუშაოს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მხედველობაში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ფანჯრის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ხანგრძლი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დღეს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მოითხოვს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.“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აუცილებლობას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მოითხოვს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დღეს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ამიტომ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არაპროპორციულად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წინააღმ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დეგობაში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ვითხოვთ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არაკონსტიტუციურად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ცნობას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</w:p>
          <w:p w:rsidR="003B5A29" w:rsidRDefault="003B5A29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ბოლოდროინდელი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საერთაშორისო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დეკემბერის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№3/7/679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შპს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სამაუწყებლო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კომპანია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რუსთავი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შპს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ტელეკომპანია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პარლამენტის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მეორე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65-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ზოგადად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ყურადღებას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უთმობს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საერთაშორისო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უცხო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აღიარებულ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სტანდარტებს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იღებს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თუმცა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უზოგადესი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ტექსტის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განმარტებისას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ასამართლო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მხედველობაში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იღებს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მსოფლიოს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სისტემების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დამკვიდრებულ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მიდგომებს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.”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აღსანიშნავია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გარემოება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დინამიურ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დოკუმენტს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პროგრესის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სისტემებში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ღონისძიება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წარსულში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პასუხობდა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ბოლოდროინდელი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შესაძლოა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საწინააღმდეგო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აღმოჩნდეს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ამიტომ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მნიშვნელოვანია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მიმოვიხილოთ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რეალობა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მიიღო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გადაწყევტილება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  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იმსჯელა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მართლმსაჯულების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განმარტა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როდესაც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გადამდები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ეფექტური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ნაკლებად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მზღუდავი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საშუალება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გარანტირებული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რეციპიენტების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მაღალი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ხარისხი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ჯგუფისათვის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სამუდამო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ჩაითვლება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პროპორციულად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შემოწმებისათვის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მუდმივად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ვითარდებოდეს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იცვლებოდეს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სამედიცინო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მიღწევების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კვალდაკვალ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მართლმსაჯულების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29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აპრილის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C-528/13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„Geoffrey Léger v Ministre des Affaires sociales, de la Santé et des Droits des femmes, Établissement français du sang“, § 68).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ციტირებულია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პოზიცია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დემოკრატიულ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პრაქტიკის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კერძოდ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მტკიცე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ანუ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მსოფლიოს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უმრავლესობაში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განსაზღვრულია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აბსოლუტური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უკუჩვენება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ცალსახად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გადავადებას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განუსაზღვრელი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ისეთ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როგორებიცაა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ამერიკის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შეერთებული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შტატები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ბელგია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ავსტრია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ფინეთი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საფრანგეთი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გერმანია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საბერძნეთი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ირლანდია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ისრაელი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ნიდერლანდები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ნორვეგია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მალტა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სლოვენია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შვეიცარია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თურქ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ესტონეთი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პორტუგალია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.”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მართლმსაჯულების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დემოკრატიულ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ზემოხსენებულ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დასახელებული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უმრავლესობაში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ვითარება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რადიკალურად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შეცვლილი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საფრანგეთმა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მართლმსაჯულების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განხილული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მონაწილე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ქვეყანა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შემოიღო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მიხედვითაც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ჩაბარების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ცენტრში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მიუთითოს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ეძლევათ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შეცვალა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ნიდერლანდებმაც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მიანიჭა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შესაძლებლობა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გახდომის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მოსაცდელი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პორტუგალიამ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თანაბრად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გაავრცელა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ჰომოსექსუალზე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სექსმუშაკებზე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აფრიკის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ემიგრირებულ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ფართოდ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პორტუგალიაში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მოსაცდელი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ვრცელდება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პირზეც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ინფიცირებულ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პირთან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8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ლუქსემბურგის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გავლენით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გერმანიამ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გერმანიაში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სიცოცხლის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ეკრძალებოდათ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სექსმუშაკებს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ექსუალს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ხშირად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იცვლიდა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პარტნიორებს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სამუდამო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გერმანიამ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წლამდე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სექსუალური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ჰეტეროსექსუალისათვის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კორტეჟისათვის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სექსმუშაკი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ტრანსგენდერებისათვის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9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ერთწლი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ჩეხეთში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უნგრეთში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ევროპის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საზღვრებს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არგენტინასა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ბრაზილიაში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0"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2015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იგივე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ფინეთში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1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2015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დეკემბერში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ამერიკის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შეერთებული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შტატების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მომსახურების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საკვებისა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მედიკამენტის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ადმინისტრირების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ფედერალურმა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დეპარტამენტმა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გამოსცა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ინდუსტრიის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სახელმძღვანელო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დოკუმენტი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2"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დოკუმენტის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-14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გვერდზე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მოცემულია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რეკომენდაციები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რეკომენდაცია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#B 9-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,,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ჩვენ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ვუკრძალავთ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.“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ამავე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დოკუმენტით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ეკრძალება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ტატუს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გაკეთების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გაიხვრიტა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მომენტიდან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დაასრულა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გონორეაზე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სიფილისზე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მკურნალობა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მომენტიდან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გასულა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 </w:t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 xml:space="preserve">2016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ივნისში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კანადის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სამსახურმა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შემაცირა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ხუთი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წლამდე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ხუთწლიანი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ებისათის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1977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კანადაში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ეკრძალებიდათ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3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კიდევ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რომელზეც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მოპასუხე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მხარე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უთითებდა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გასამართლებლად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ბელგია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ბელგიის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ჯანმრთელობის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მინისტრმა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მეგი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ბლოკმა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გააუქმა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ბელგიაში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4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ირლანდია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იყო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კიდევ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როდესაც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მიიღო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ასათიანის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საქმეზე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იანვარს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შეიცვალა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სქესობრივი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აქტიდან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5"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აპრილიდან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ებისათვის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პერიოდით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შეცვალა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ნორვეგიამ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იგივე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გააკეთა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შვეიცარიამ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წელს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უვადო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ნაცვლად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აქაც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ადამიანს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მიეცა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თუკი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ჰქონია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7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2011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ინფექციური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დაავადებების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გავრცელების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საშიშროების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ბრიტანეთში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მამაკაცებს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ეკრძალებოდათ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არსებობის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ტესტირების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დანერგვის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შედეგად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რასაც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B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ჰეპატ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აივ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ვირუსის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სწრაფი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აღმოჩენა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მრჩეველთა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საბჭომ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მიმართა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რეკომენდაციით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რეკომენდაცია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გაზიარებული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იქნა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2017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ნოემბერში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შოტლანდიაში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შემცირ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თვემდე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ბოლო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კავშირიდან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), 2018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ამოქმედდა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ინგლისშიც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footnoteReference w:id="18"/>
            </w:r>
          </w:p>
          <w:p w:rsidR="003B5A29" w:rsidRDefault="007E0BDA">
            <w:pPr>
              <w:spacing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ამგვარად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მსოფლიოს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განვითარებული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სისტემების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საყოველთაოდ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აღიარებულ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მიდგომას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კავშირიდან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თვის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პირისთვის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დონო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რობის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უფლების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შეზღუდვა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კუთხით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გამონაკლისს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წარმოადგენს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გაერთიანებული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სამეფო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სამთვიანი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დაწესებული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სკანირების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განვითარებული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მეთოდების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დამკვიდრების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მსმ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ისათვის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შეზღუდვის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სტანდარტი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გააჩნია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განვითარებული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სამართლებრივი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სისტემის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სახელმწიფოს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ამ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ხანგრძლივობით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კრძალავენ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ქვეყნები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რომლებმაც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თებერვალს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შემდეგ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თქვეს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უარი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ისხლის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დონორობის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სამუდამო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აკრძალვაზე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:rsidR="003B5A29" w:rsidRDefault="003B5A2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7E0BDA">
      <w:pPr>
        <w:rPr>
          <w:rFonts w:ascii="Merriweather" w:eastAsia="Merriweather" w:hAnsi="Merriweather" w:cs="Merriweather"/>
        </w:rPr>
      </w:pPr>
      <w:r>
        <w:br w:type="page"/>
      </w:r>
    </w:p>
    <w:tbl>
      <w:tblPr>
        <w:tblStyle w:val="ad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B5A29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before="360" w:after="36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bookmarkStart w:id="11" w:name="1ksv4uv" w:colFirst="0" w:colLast="0"/>
            <w:bookmarkStart w:id="12" w:name="44sinio" w:colFirst="0" w:colLast="0"/>
            <w:bookmarkStart w:id="13" w:name="2jxsxqh" w:colFirst="0" w:colLast="0"/>
            <w:bookmarkEnd w:id="11"/>
            <w:bookmarkEnd w:id="12"/>
            <w:bookmarkEnd w:id="13"/>
            <w:r>
              <w:rPr>
                <w:b/>
                <w:color w:val="000000"/>
                <w:sz w:val="36"/>
                <w:szCs w:val="36"/>
              </w:rPr>
              <w:lastRenderedPageBreak/>
              <w:t xml:space="preserve">III.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შუამდგომლობები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19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6</w:t>
            </w:r>
          </w:p>
        </w:tc>
      </w:tr>
      <w:tr w:rsidR="003B5A29">
        <w:tc>
          <w:tcPr>
            <w:tcW w:w="11016" w:type="dxa"/>
          </w:tcPr>
          <w:p w:rsidR="003B5A29" w:rsidRDefault="007E0BDA">
            <w:pPr>
              <w:spacing w:before="120" w:after="12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A29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შუამდგომლობა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შუამდგომლობები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მოწმის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ექსპერტის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სპეციალისტის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მოწვევის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20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7</w:t>
            </w:r>
          </w:p>
        </w:tc>
      </w:tr>
      <w:tr w:rsidR="003B5A29">
        <w:trPr>
          <w:trHeight w:val="300"/>
        </w:trPr>
        <w:tc>
          <w:tcPr>
            <w:tcW w:w="11016" w:type="dxa"/>
            <w:tcBorders>
              <w:top w:val="nil"/>
              <w:bottom w:val="nil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3B5A29">
        <w:trPr>
          <w:trHeight w:val="42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ბ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შუამდგომლობა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სადავო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შეჩერების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21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8</w:t>
            </w:r>
          </w:p>
        </w:tc>
      </w:tr>
      <w:tr w:rsidR="003B5A29">
        <w:trPr>
          <w:trHeight w:val="280"/>
        </w:trPr>
        <w:tc>
          <w:tcPr>
            <w:tcW w:w="11016" w:type="dxa"/>
            <w:tcBorders>
              <w:top w:val="nil"/>
              <w:bottom w:val="nil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3B5A29">
        <w:trPr>
          <w:trHeight w:val="42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კანონმდებლობით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გათვალისწინებული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სახის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შუამდგომლობები</w:t>
            </w:r>
            <w:r>
              <w:rPr>
                <w:color w:val="000000"/>
              </w:rPr>
              <w:t>.</w:t>
            </w:r>
            <w:r>
              <w:rPr>
                <w:rFonts w:ascii="Merriweather" w:eastAsia="Merriweather" w:hAnsi="Merriweather" w:cs="Merriweather"/>
                <w:color w:val="000000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color w:val="548DD4"/>
                <w:sz w:val="26"/>
                <w:szCs w:val="26"/>
                <w:vertAlign w:val="superscript"/>
              </w:rPr>
              <w:footnoteReference w:id="22"/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color w:val="548DD4"/>
                <w:sz w:val="26"/>
                <w:szCs w:val="26"/>
              </w:rPr>
              <w:t xml:space="preserve"> 9</w:t>
            </w:r>
          </w:p>
        </w:tc>
      </w:tr>
      <w:tr w:rsidR="003B5A29">
        <w:trPr>
          <w:trHeight w:val="280"/>
        </w:trPr>
        <w:tc>
          <w:tcPr>
            <w:tcW w:w="11016" w:type="dxa"/>
            <w:tcBorders>
              <w:top w:val="nil"/>
              <w:bottom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3B5A29">
      <w:pPr>
        <w:rPr>
          <w:rFonts w:ascii="Merriweather" w:eastAsia="Merriweather" w:hAnsi="Merriweather" w:cs="Merriweather"/>
        </w:rPr>
      </w:pPr>
    </w:p>
    <w:p w:rsidR="003B5A29" w:rsidRDefault="007E0BDA">
      <w:pPr>
        <w:rPr>
          <w:rFonts w:ascii="Merriweather" w:eastAsia="Merriweather" w:hAnsi="Merriweather" w:cs="Merriweather"/>
        </w:rPr>
      </w:pPr>
      <w:r>
        <w:br w:type="page"/>
      </w:r>
    </w:p>
    <w:tbl>
      <w:tblPr>
        <w:tblStyle w:val="ae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31"/>
        <w:gridCol w:w="485"/>
      </w:tblGrid>
      <w:tr w:rsidR="003B5A29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B5A29" w:rsidRDefault="007E0BDA">
            <w:pPr>
              <w:spacing w:before="360" w:after="36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lastRenderedPageBreak/>
              <w:t>IV.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თანდართული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დოკუმენტების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სია</w:t>
            </w:r>
          </w:p>
        </w:tc>
      </w:tr>
      <w:tr w:rsidR="003B5A29">
        <w:trPr>
          <w:trHeight w:val="360"/>
        </w:trPr>
        <w:tc>
          <w:tcPr>
            <w:tcW w:w="11016" w:type="dxa"/>
            <w:gridSpan w:val="2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B5A29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B5A29" w:rsidRDefault="007E0BDA">
            <w:pPr>
              <w:spacing w:before="120" w:after="12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ა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დოკუმენტები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რომლებიც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სავალდებულოა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ერთვოდეს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სარჩელს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გთხოვთ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მონიშნოთ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უჯრა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)</w:t>
            </w:r>
          </w:p>
        </w:tc>
      </w:tr>
      <w:tr w:rsidR="003B5A29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სადავო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ნორმატიული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აქტის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ტექსტი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  <w:r>
              <w:rPr>
                <w:color w:val="000000"/>
              </w:rPr>
              <w:tab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3B5A29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მოსარჩელეების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წარმომადგენლის</w:t>
            </w:r>
            <w:r>
              <w:rPr>
                <w:color w:val="00000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წარმომადგენელთა</w:t>
            </w:r>
            <w:r>
              <w:rPr>
                <w:color w:val="00000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უფლებამოსილების</w:t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დამადასტურებელი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დოკუმენტ</w:t>
            </w:r>
            <w:r>
              <w:rPr>
                <w:rFonts w:ascii="Arial Unicode MS" w:eastAsia="Arial Unicode MS" w:hAnsi="Arial Unicode MS" w:cs="Arial Unicode MS"/>
              </w:rPr>
              <w:t>ები</w:t>
            </w:r>
            <w:r>
              <w:rPr>
                <w:rFonts w:ascii="Merriweather" w:eastAsia="Merriweather" w:hAnsi="Merriweather" w:cs="Merriweather"/>
                <w:color w:val="000000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3B5A29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სახელმწიფო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ბაჟის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გადახდის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დამადასტურებელი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დოკუმენტი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3B5A29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კონსტიტუციური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სარჩელის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ელექტრონული</w:t>
            </w:r>
            <w:r>
              <w:rPr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ვერსია</w:t>
            </w:r>
            <w:r>
              <w:rPr>
                <w:color w:val="000000"/>
              </w:rPr>
              <w:t xml:space="preserve">.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A29" w:rsidRDefault="007E0B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3B5A29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B5A29">
        <w:trPr>
          <w:trHeight w:val="420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ბ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დოკუმენტები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</w:rPr>
              <w:t>:</w:t>
            </w:r>
          </w:p>
        </w:tc>
      </w:tr>
      <w:tr w:rsidR="003B5A29">
        <w:trPr>
          <w:trHeight w:val="100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12"/>
                <w:szCs w:val="12"/>
              </w:rPr>
            </w:pPr>
          </w:p>
        </w:tc>
      </w:tr>
      <w:tr w:rsidR="003B5A29">
        <w:trPr>
          <w:trHeight w:val="420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1.</w:t>
            </w:r>
            <w:bookmarkStart w:id="14" w:name="z337ya" w:colFirst="0" w:colLast="0"/>
            <w:bookmarkEnd w:id="14"/>
            <w:r>
              <w:rPr>
                <w:rFonts w:ascii="Merriweather" w:eastAsia="Merriweather" w:hAnsi="Merriweather" w:cs="Merriweather"/>
                <w:color w:val="000000"/>
              </w:rPr>
              <w:t>     </w:t>
            </w:r>
            <w:r>
              <w:rPr>
                <w:rFonts w:ascii="Merriweather" w:eastAsia="Merriweather" w:hAnsi="Merriweather" w:cs="Merriweather"/>
                <w:color w:val="000000"/>
              </w:rPr>
              <w:br/>
            </w:r>
          </w:p>
          <w:p w:rsidR="003B5A29" w:rsidRDefault="007E0BD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2.</w:t>
            </w:r>
            <w:bookmarkStart w:id="15" w:name="3j2qqm3" w:colFirst="0" w:colLast="0"/>
            <w:bookmarkEnd w:id="15"/>
            <w:r>
              <w:rPr>
                <w:rFonts w:ascii="Merriweather" w:eastAsia="Merriweather" w:hAnsi="Merriweather" w:cs="Merriweather"/>
                <w:color w:val="000000"/>
              </w:rPr>
              <w:t>     </w:t>
            </w: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tbl>
      <w:tblPr>
        <w:tblStyle w:val="af"/>
        <w:tblW w:w="11016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3B5A29">
        <w:trPr>
          <w:trHeight w:val="420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5A29" w:rsidRDefault="007E0BDA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საკონსტიტუციო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სამართალწარმოების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მონაწილენი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მოვალენი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კეთილსინდისიერად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გამოიყენონ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თავიანთი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უფლებები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საკონსტიტუციო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სასამართლოსათვის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წინასწარი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შეცნობით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ყალბი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ცნობების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მიწოდება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იწვევს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კანონით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გათვალისწინებულ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პასუხისმგებლობას</w:t>
            </w:r>
            <w:r>
              <w:rPr>
                <w:b/>
                <w:color w:val="000000"/>
              </w:rPr>
              <w:t xml:space="preserve"> („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საკონსტიტუციო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სამართალწარმოების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შესახებ</w:t>
            </w:r>
            <w:r>
              <w:rPr>
                <w:b/>
                <w:color w:val="000000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საქართველოს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კანონის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მე</w:t>
            </w:r>
            <w:r>
              <w:rPr>
                <w:b/>
                <w:color w:val="000000"/>
              </w:rPr>
              <w:t xml:space="preserve">–14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მუხლი</w:t>
            </w:r>
            <w:r>
              <w:rPr>
                <w:b/>
                <w:color w:val="000000"/>
              </w:rPr>
              <w:t>)</w:t>
            </w:r>
          </w:p>
        </w:tc>
      </w:tr>
      <w:tr w:rsidR="003B5A29">
        <w:trPr>
          <w:trHeight w:val="420"/>
        </w:trPr>
        <w:tc>
          <w:tcPr>
            <w:tcW w:w="586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მოსარჩელის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ხელმოწერა</w:t>
            </w:r>
            <w:r>
              <w:rPr>
                <w:color w:val="000000"/>
              </w:rPr>
              <w:t>: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3B5A29">
            <w:pPr>
              <w:spacing w:after="0" w:line="240" w:lineRule="auto"/>
            </w:pPr>
          </w:p>
          <w:p w:rsidR="003B5A29" w:rsidRDefault="007E0BDA">
            <w:pPr>
              <w:spacing w:after="0" w:line="240" w:lineRule="auto"/>
            </w:pPr>
            <w:r>
              <w:t>ლევან</w:t>
            </w:r>
            <w:r>
              <w:t xml:space="preserve"> </w:t>
            </w:r>
            <w:r>
              <w:t>ბერიანიძე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7E0BDA">
            <w:pPr>
              <w:spacing w:after="0" w:line="240" w:lineRule="auto"/>
            </w:pPr>
            <w:r>
              <w:t>მოსარჩელეების</w:t>
            </w:r>
            <w:r>
              <w:t xml:space="preserve">  </w:t>
            </w:r>
            <w:r>
              <w:t>წარმომადგენლები</w:t>
            </w:r>
            <w:r>
              <w:t xml:space="preserve">: 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7E0BDA">
            <w:pPr>
              <w:spacing w:after="0" w:line="240" w:lineRule="auto"/>
            </w:pPr>
            <w:r>
              <w:t>გიორგი</w:t>
            </w:r>
            <w:r>
              <w:t xml:space="preserve"> </w:t>
            </w:r>
            <w:r>
              <w:t>გოცირიძე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7E0BDA">
            <w:pPr>
              <w:spacing w:after="0" w:line="240" w:lineRule="auto"/>
            </w:pPr>
            <w:r>
              <w:t>ნინო</w:t>
            </w:r>
            <w:r>
              <w:t xml:space="preserve"> </w:t>
            </w:r>
            <w:r>
              <w:t>ბოლქვაძე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7E0BDA">
            <w:pPr>
              <w:spacing w:after="0" w:line="240" w:lineRule="auto"/>
            </w:pPr>
            <w:r>
              <w:t>თამარ</w:t>
            </w:r>
            <w:r>
              <w:t xml:space="preserve"> </w:t>
            </w:r>
            <w:r>
              <w:t>მჭედლიშვილი</w:t>
            </w:r>
          </w:p>
          <w:p w:rsidR="003B5A29" w:rsidRDefault="003B5A29">
            <w:pPr>
              <w:spacing w:after="0" w:line="240" w:lineRule="auto"/>
            </w:pPr>
          </w:p>
          <w:p w:rsidR="003B5A29" w:rsidRDefault="003B5A29">
            <w:pPr>
              <w:spacing w:after="0" w:line="240" w:lineRule="auto"/>
            </w:pP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:rsidR="003B5A29" w:rsidRDefault="003B5A29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:rsidR="003B5A29" w:rsidRDefault="007E0BD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თარიღი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: </w:t>
            </w:r>
            <w:bookmarkStart w:id="16" w:name="1y810tw" w:colFirst="0" w:colLast="0"/>
            <w:bookmarkEnd w:id="16"/>
            <w:r>
              <w:rPr>
                <w:rFonts w:ascii="Merriweather" w:eastAsia="Merriweather" w:hAnsi="Merriweather" w:cs="Merriweather"/>
                <w:color w:val="000000"/>
              </w:rPr>
              <w:t>   </w:t>
            </w:r>
            <w:r>
              <w:rPr>
                <w:rFonts w:ascii="Merriweather" w:eastAsia="Merriweather" w:hAnsi="Merriweather" w:cs="Merriweather"/>
                <w:color w:val="000000"/>
              </w:rPr>
              <w:t>1</w:t>
            </w:r>
            <w:r>
              <w:rPr>
                <w:rFonts w:ascii="Merriweather" w:eastAsia="Merriweather" w:hAnsi="Merriweather" w:cs="Merriweather"/>
              </w:rPr>
              <w:t>6.08.2018</w:t>
            </w:r>
            <w:r>
              <w:rPr>
                <w:rFonts w:ascii="Merriweather" w:eastAsia="Merriweather" w:hAnsi="Merriweather" w:cs="Merriweather"/>
                <w:color w:val="000000"/>
              </w:rPr>
              <w:t>  </w:t>
            </w:r>
          </w:p>
        </w:tc>
      </w:tr>
    </w:tbl>
    <w:p w:rsidR="003B5A29" w:rsidRDefault="003B5A29">
      <w:pPr>
        <w:rPr>
          <w:rFonts w:ascii="Merriweather" w:eastAsia="Merriweather" w:hAnsi="Merriweather" w:cs="Merriweather"/>
        </w:rPr>
      </w:pPr>
    </w:p>
    <w:sectPr w:rsidR="003B5A29">
      <w:footerReference w:type="default" r:id="rId10"/>
      <w:pgSz w:w="12240" w:h="15840"/>
      <w:pgMar w:top="630" w:right="720" w:bottom="720" w:left="72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DA" w:rsidRDefault="007E0BDA">
      <w:pPr>
        <w:spacing w:after="0" w:line="240" w:lineRule="auto"/>
      </w:pPr>
      <w:r>
        <w:separator/>
      </w:r>
    </w:p>
  </w:endnote>
  <w:endnote w:type="continuationSeparator" w:id="0">
    <w:p w:rsidR="007E0BDA" w:rsidRDefault="007E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29" w:rsidRDefault="007E0BD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36AD1">
      <w:rPr>
        <w:color w:val="000000"/>
      </w:rPr>
      <w:fldChar w:fldCharType="separate"/>
    </w:r>
    <w:r w:rsidR="00D36AD1">
      <w:rPr>
        <w:noProof/>
        <w:color w:val="000000"/>
      </w:rPr>
      <w:t>1</w:t>
    </w:r>
    <w:r>
      <w:rPr>
        <w:color w:val="000000"/>
      </w:rPr>
      <w:fldChar w:fldCharType="end"/>
    </w:r>
  </w:p>
  <w:p w:rsidR="003B5A29" w:rsidRDefault="003B5A2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DA" w:rsidRDefault="007E0BDA">
      <w:pPr>
        <w:spacing w:after="0" w:line="240" w:lineRule="auto"/>
      </w:pPr>
      <w:r>
        <w:separator/>
      </w:r>
    </w:p>
  </w:footnote>
  <w:footnote w:type="continuationSeparator" w:id="0">
    <w:p w:rsidR="007E0BDA" w:rsidRDefault="007E0BDA">
      <w:pPr>
        <w:spacing w:after="0" w:line="240" w:lineRule="auto"/>
      </w:pPr>
      <w:r>
        <w:continuationSeparator/>
      </w:r>
    </w:p>
  </w:footnote>
  <w:footnote w:id="1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ნორმატიული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აქტის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კონკრეტულად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რომელ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ნაწილს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პრეამბულას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კარს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წიგნს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თავს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მუხლს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პუნქტს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ქვეპუნქტს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წინადადებას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სასვენ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ნიშანს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კავშირს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სიტყვას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ხდით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</w:p>
  </w:footnote>
  <w:footnote w:id="2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ქვემოთ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მოყვანილ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ველში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კონკრეტული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გასწვრივ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დებულება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რომლის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მიმართაც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მოითხოვთ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აღნიშნული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არაკონსტიტუციურად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ცნობას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  <w:footnote w:id="3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3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კანონმდებლობის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ნორმები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რომლებიც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უფლებას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გაძლევთ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იმართოთ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  <w:footnote w:id="4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4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- „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სამართალწარმოებისხ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“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-18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მუხლის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თანახმად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კონსტიტუციური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სარჩელი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კონსტიტუციური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წარდგინება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განსახილველად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მიიღება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თუ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: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ფორმით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შინაარსით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შეესაბამება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-16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მუხლით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დადგენილ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მოთხოვნებს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ბ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შეტანილი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უფლებამოსილი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პირის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ორგანოს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სუბიექტის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მიერ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მასში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მითითებული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ერთი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საკითხი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განსჯადი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მასში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მითითებული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ყველა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საკითხი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უკვე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გადაწყვეტილი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მიერ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გარდა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„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“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ორგანული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21</w:t>
      </w:r>
      <w:r>
        <w:rPr>
          <w:rFonts w:ascii="Merriweather" w:eastAsia="Merriweather" w:hAnsi="Merriweather" w:cs="Merriweather"/>
          <w:color w:val="000000"/>
          <w:sz w:val="20"/>
          <w:szCs w:val="20"/>
          <w:vertAlign w:val="superscript"/>
        </w:rPr>
        <w:t>1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მუხლით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გათვალისწინებული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შემთხვევებისა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მასში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მითითებული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ერთი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საკითხი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გადაწყვეტილი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რასაპატიო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მიზეზით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დარღვეულია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მისი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შეტანის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დადგენილი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ვადა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ზ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კანონქვემდებარე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ნორმატიული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აქტის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კონსტიტუციურობაზე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სრულფასოვანი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მსჯელობა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შეუძლებელია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ნორმატიული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აქტების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იერარქიაში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მასზე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მაღლა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მდგომი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ნორმატიული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აქტის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კონსტიტუციურობაზე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მსჯელობი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გარეშე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რომელიც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კონსტიტუციური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სარჩელით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გასაჩივრებული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  <w:footnote w:id="5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5 -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წარმოადგინოთ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დასაბუთება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მითითებულ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ნორმასთან</w:t>
      </w:r>
      <w:r>
        <w:rPr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შეუსაბამობის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თაობაზე</w:t>
      </w:r>
      <w:r>
        <w:rPr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იმ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შემთხვევაში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თუ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ნორმის</w:t>
      </w:r>
      <w:r>
        <w:rPr>
          <w:color w:val="000000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ნორმების</w:t>
      </w:r>
      <w:r>
        <w:rPr>
          <w:color w:val="000000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შემოწმებას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კონსტიტუციის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რამდენიმე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მუხლთან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ითხოვთ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ცალ</w:t>
      </w:r>
      <w:r>
        <w:rPr>
          <w:color w:val="000000"/>
          <w:sz w:val="20"/>
          <w:szCs w:val="20"/>
        </w:rPr>
        <w:t>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ცალკე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წარმოადგინოთ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დასაბუთება</w:t>
      </w:r>
      <w:r>
        <w:rPr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იმ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შემთხვევაში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თუ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ეყრდობით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საკონსტიტუციო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საერთო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ადამიანის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უფლებათა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ევროპულ</w:t>
      </w:r>
      <w:r>
        <w:rPr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საზღვარგარეთის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ქვეყნების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გადაწყვეტილებებს</w:t>
      </w:r>
      <w:r>
        <w:rPr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საქმის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დასახელება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გადაწყვეტილების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შესაბამისი</w:t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პარაგრაფი</w:t>
      </w:r>
      <w:r>
        <w:rPr>
          <w:color w:val="000000"/>
          <w:sz w:val="20"/>
          <w:szCs w:val="20"/>
        </w:rPr>
        <w:t>.</w:t>
      </w:r>
    </w:p>
  </w:footnote>
  <w:footnote w:id="6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https://www.telegraph.co.uk/news/2018/06/23/france-taken-court-no-sex-rule-gay-blood-donors/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7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">
        <w:r>
          <w:rPr>
            <w:color w:val="0000FF"/>
            <w:sz w:val="20"/>
            <w:szCs w:val="20"/>
            <w:u w:val="single"/>
          </w:rPr>
          <w:t>https://www.ibtimes.co.uk/netherlands-ends-lifetime-bl</w:t>
        </w:r>
        <w:r>
          <w:rPr>
            <w:color w:val="0000FF"/>
            <w:sz w:val="20"/>
            <w:szCs w:val="20"/>
            <w:u w:val="single"/>
          </w:rPr>
          <w:t>ood-ban-gay-bisexual-men-1526299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8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">
        <w:r>
          <w:rPr>
            <w:color w:val="0000FF"/>
            <w:sz w:val="20"/>
            <w:szCs w:val="20"/>
            <w:u w:val="single"/>
          </w:rPr>
          <w:t>http://theportugalnews.com/news/blood-donation-rules-set-to-be-overhauled/39600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9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4">
        <w:r>
          <w:rPr>
            <w:color w:val="0000FF"/>
            <w:sz w:val="20"/>
            <w:szCs w:val="20"/>
            <w:u w:val="single"/>
          </w:rPr>
          <w:t>http://www.spiegel.de/gesundheit/diagnose/blutspende-homosexuelle-maenner-duerfen-spenden-nach-einem-jahr-enthaltsamkeit-a-1161737.html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0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5">
        <w:r>
          <w:rPr>
            <w:color w:val="0000FF"/>
            <w:sz w:val="20"/>
            <w:szCs w:val="20"/>
            <w:u w:val="single"/>
          </w:rPr>
          <w:t>http://www.gmhc.org/news-and-events/press-releases/gay-mens-health-crisis-calls-for-risk-based-scree</w:t>
        </w:r>
        <w:r>
          <w:rPr>
            <w:color w:val="0000FF"/>
            <w:sz w:val="20"/>
            <w:szCs w:val="20"/>
            <w:u w:val="single"/>
          </w:rPr>
          <w:t>ning-for-blood-donors-at-fda-meeting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1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6" w:anchor="t-ECR_62013CC0528_EN_01-E0061">
        <w:r>
          <w:rPr>
            <w:color w:val="0000FF"/>
            <w:sz w:val="20"/>
            <w:szCs w:val="20"/>
            <w:u w:val="single"/>
          </w:rPr>
          <w:t>https://eur-lex.europa.eu/legal-content/EN/TXT/?uri=CELEX%3A62013CC0528#t-ECR_62013CC0528_EN_01-E0061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2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hyperlink r:id="rId7">
        <w:r>
          <w:rPr>
            <w:color w:val="0000FF"/>
            <w:sz w:val="20"/>
            <w:szCs w:val="20"/>
            <w:u w:val="single"/>
          </w:rPr>
          <w:t>https://www.fda.gov/downloads/BiologicsBloodVaccines/GuidanceComplianceRegulatoryInformation/Guidance/Blood/UCM446580.pdf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3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0000FF"/>
            <w:sz w:val="20"/>
            <w:szCs w:val="20"/>
            <w:u w:val="single"/>
          </w:rPr>
          <w:t>https://blood.ca/en/men-who-have-sex-men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4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9">
        <w:r>
          <w:rPr>
            <w:color w:val="0000FF"/>
            <w:sz w:val="20"/>
            <w:szCs w:val="20"/>
            <w:u w:val="single"/>
          </w:rPr>
          <w:t>http://www.cebap.org/news/belgian-minister-of-health-changes-the-conditions-for-blood-donation/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5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http://www.thejournal.ie/gay-men-blood-ban-lifted-ireland-3188949-Jan2017/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6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1" w:anchor="hvem-kan-v%C3%A6re-blodgiver">
        <w:r>
          <w:rPr>
            <w:color w:val="0000FF"/>
            <w:sz w:val="20"/>
            <w:szCs w:val="20"/>
            <w:u w:val="single"/>
          </w:rPr>
          <w:t>https://h</w:t>
        </w:r>
        <w:r>
          <w:rPr>
            <w:color w:val="0000FF"/>
            <w:sz w:val="20"/>
            <w:szCs w:val="20"/>
            <w:u w:val="single"/>
          </w:rPr>
          <w:t>elsedirektoratet.no/transfusjonsmedisin/hvem-kan-og-hvem-kan-ikke-vere-blodgivere#hvem-kan-v%C3%A6re-blodgiver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7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https://www.srf.ch/news/schweiz/homosexuel</w:t>
        </w:r>
        <w:r>
          <w:rPr>
            <w:color w:val="0000FF"/>
            <w:sz w:val="20"/>
            <w:szCs w:val="20"/>
            <w:u w:val="single"/>
          </w:rPr>
          <w:t>le-maenner-sollen-blut-spenden-duerfen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8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3">
        <w:r>
          <w:rPr>
            <w:color w:val="0000FF"/>
            <w:sz w:val="20"/>
            <w:szCs w:val="20"/>
            <w:u w:val="single"/>
          </w:rPr>
          <w:t>https://www.theguardian.com/world/2017/jul/23/gay-men-blood-donation-three-months-after-sex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19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6 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მოსარჩელეს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შეუძლია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წარმოადგინოს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დასაბუთებული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შუამდგომლობა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საქმეზე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მოწმის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ექსპერტის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სპეციალისტის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მოწვევის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თაობაზე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არსებითი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განხილვის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ზეპირი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მოსმენის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გარეშე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ჩატარების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;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მოქმედების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შეჩერების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თაობაზე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სხვ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  <w:footnote w:id="20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7 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დასაბუთებაში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უნდა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თუ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კონკრეტულად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რატომ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იწვევთ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შესაბამის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მოწმეს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ექსპერტს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სპეციალისტს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განსახილველი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გადასაწყვეტად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მნიშვნელოვანი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ინფორმაციის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წარმოდგენა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შეუძლიათ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  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ქვემოთ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მოყვანილ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ველში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მიუთითოთ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ვისი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მოწვევა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გსუ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მოწმის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ექსპერტის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სპეციალისტის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ხოლო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შემდეგ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მათი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ვინაობა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პროფესია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სამუშაო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ადგილი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საკონტაქტო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ინფორმაცია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).</w:t>
      </w:r>
    </w:p>
  </w:footnote>
  <w:footnote w:id="21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8 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ქვემოთ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მოყვანილ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ველში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წარმოუდგინოთ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მტკიცებულებები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რომლებიც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ადასტურებენ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სადავო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ნორმატიული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აქტის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ოქმედების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შეჩერების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მოთხოვნის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საფუძვლიანობას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  <w:footnote w:id="22">
    <w:p w:rsidR="003B5A29" w:rsidRDefault="007E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შენიშვნა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9 -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გთხოვთ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ქვემოთ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მოყვანილ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ველში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სასამართლოს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წარმოუდგინოთ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მტკიცებულებები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რომლებიც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ადასტურებენ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შუამდგომლობის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საფუძვლიანობას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895"/>
    <w:multiLevelType w:val="multilevel"/>
    <w:tmpl w:val="56CC4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EA48F6"/>
    <w:multiLevelType w:val="multilevel"/>
    <w:tmpl w:val="B01827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1021006"/>
    <w:multiLevelType w:val="multilevel"/>
    <w:tmpl w:val="F4FC08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36D4FCE"/>
    <w:multiLevelType w:val="multilevel"/>
    <w:tmpl w:val="AEFEC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175B80"/>
    <w:multiLevelType w:val="multilevel"/>
    <w:tmpl w:val="F452B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327EA"/>
    <w:multiLevelType w:val="multilevel"/>
    <w:tmpl w:val="E6144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A796602"/>
    <w:multiLevelType w:val="multilevel"/>
    <w:tmpl w:val="63763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A29"/>
    <w:rsid w:val="003B5A29"/>
    <w:rsid w:val="007E0BDA"/>
    <w:rsid w:val="00D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E523-8516-4236-87CF-669DCB6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lood.ca/en/men-who-have-sex-men" TargetMode="External"/><Relationship Id="rId13" Type="http://schemas.openxmlformats.org/officeDocument/2006/relationships/hyperlink" Target="https://www.theguardian.com/world/2017/jul/23/gay-men-blood-donation-three-months-after-sex" TargetMode="External"/><Relationship Id="rId3" Type="http://schemas.openxmlformats.org/officeDocument/2006/relationships/hyperlink" Target="http://theportugalnews.com/news/blood-donation-rules-set-to-be-overhauled/39600" TargetMode="External"/><Relationship Id="rId7" Type="http://schemas.openxmlformats.org/officeDocument/2006/relationships/hyperlink" Target="https://www.fda.gov/downloads/BiologicsBloodVaccines/GuidanceComplianceRegulatoryInformation/Guidance/Blood/UCM446580.pdf" TargetMode="External"/><Relationship Id="rId12" Type="http://schemas.openxmlformats.org/officeDocument/2006/relationships/hyperlink" Target="https://www.srf.ch/news/schweiz/homosexuelle-maenner-sollen-blut-spenden-duerfen" TargetMode="External"/><Relationship Id="rId2" Type="http://schemas.openxmlformats.org/officeDocument/2006/relationships/hyperlink" Target="https://www.ibtimes.co.uk/netherlands-ends-lifetime-blood-ban-gay-bisexual-men-1526299" TargetMode="External"/><Relationship Id="rId1" Type="http://schemas.openxmlformats.org/officeDocument/2006/relationships/hyperlink" Target="https://www.telegraph.co.uk/news/2018/06/23/france-taken-court-no-sex-rule-gay-blood-donors/" TargetMode="External"/><Relationship Id="rId6" Type="http://schemas.openxmlformats.org/officeDocument/2006/relationships/hyperlink" Target="https://eur-lex.europa.eu/legal-content/EN/TXT/?uri=CELEX%3A62013CC0528" TargetMode="External"/><Relationship Id="rId11" Type="http://schemas.openxmlformats.org/officeDocument/2006/relationships/hyperlink" Target="https://helsedirektoratet.no/transfusjonsmedisin/hvem-kan-og-hvem-kan-ikke-vere-blodgivere" TargetMode="External"/><Relationship Id="rId5" Type="http://schemas.openxmlformats.org/officeDocument/2006/relationships/hyperlink" Target="http://www.gmhc.org/news-and-events/press-releases/gay-mens-health-crisis-calls-for-risk-based-screening-for-blood-donors-at-fda-meeting" TargetMode="External"/><Relationship Id="rId10" Type="http://schemas.openxmlformats.org/officeDocument/2006/relationships/hyperlink" Target="http://www.thejournal.ie/gay-men-blood-ban-lifted-ireland-3188949-Jan2017/" TargetMode="External"/><Relationship Id="rId4" Type="http://schemas.openxmlformats.org/officeDocument/2006/relationships/hyperlink" Target="http://www.spiegel.de/gesundheit/diagnose/blutspende-homosexuelle-maenner-duerfen-spenden-nach-einem-jahr-enthaltsamkeit-a-1161737.html" TargetMode="External"/><Relationship Id="rId9" Type="http://schemas.openxmlformats.org/officeDocument/2006/relationships/hyperlink" Target="http://www.cebap.org/news/belgian-minister-of-health-changes-the-conditions-for-blood-do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6467</Words>
  <Characters>36862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nika khibaia</cp:lastModifiedBy>
  <cp:revision>3</cp:revision>
  <dcterms:created xsi:type="dcterms:W3CDTF">2018-09-11T07:02:00Z</dcterms:created>
  <dcterms:modified xsi:type="dcterms:W3CDTF">2018-09-11T07:03:00Z</dcterms:modified>
</cp:coreProperties>
</file>