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Hyperlink"/>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Hyperlink"/>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FootnoteReference"/>
          <w:rFonts w:ascii="Sylfaen" w:hAnsi="Sylfaen"/>
          <w:i/>
          <w:color w:val="5B9BD5" w:themeColor="accent1"/>
          <w:lang w:val="ka-GE"/>
        </w:rPr>
        <w:footnoteReference w:id="1"/>
      </w:r>
    </w:p>
    <w:tbl>
      <w:tblPr>
        <w:tblStyle w:val="TableGrid"/>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9D15B18" w:rsidR="003E44A8" w:rsidRPr="007D34F4" w:rsidRDefault="00DC6A83" w:rsidP="007D34F4">
            <w:pPr>
              <w:pStyle w:val="ListParagraph"/>
              <w:numPr>
                <w:ilvl w:val="0"/>
                <w:numId w:val="10"/>
              </w:numPr>
              <w:ind w:left="337" w:right="-18"/>
              <w:rPr>
                <w:rFonts w:ascii="Sylfaen" w:hAnsi="Sylfaen"/>
                <w:lang w:val="ka-GE"/>
              </w:rPr>
            </w:pPr>
            <w:permStart w:id="1281835721" w:edGrp="everyone"/>
            <w:r>
              <w:rPr>
                <w:rFonts w:ascii="Sylfaen" w:hAnsi="Sylfaen"/>
                <w:lang w:val="ka-GE"/>
              </w:rPr>
              <w:t>საქართველოს ახალგაზრდა იურისტთა ასოციაცია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CDF0557" w:rsidR="003E44A8" w:rsidRPr="007D34F4" w:rsidRDefault="003E44A8" w:rsidP="007D34F4">
            <w:pPr>
              <w:pStyle w:val="ListParagraph"/>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6B70420" w:rsidR="003E44A8" w:rsidRPr="007D34F4" w:rsidRDefault="003E44A8" w:rsidP="00DC6A83">
            <w:pPr>
              <w:pStyle w:val="ListParagraph"/>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EB36095" w:rsidR="001C7E3E" w:rsidRPr="007D34F4" w:rsidRDefault="001C7E3E" w:rsidP="007D34F4">
            <w:pPr>
              <w:pStyle w:val="ListParagraph"/>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DD4259A" w:rsidR="001C7E3E" w:rsidRPr="007D34F4" w:rsidRDefault="001C7E3E" w:rsidP="007D34F4">
            <w:pPr>
              <w:pStyle w:val="ListParagraph"/>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62613D7" w:rsidR="001C7E3E" w:rsidRPr="007D34F4" w:rsidRDefault="001C7E3E" w:rsidP="007D34F4">
            <w:pPr>
              <w:pStyle w:val="ListParagraph"/>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FootnoteReference"/>
          <w:rFonts w:ascii="Sylfaen" w:hAnsi="Sylfaen"/>
          <w:i/>
          <w:color w:val="5B9BD5" w:themeColor="accent1"/>
          <w:lang w:val="ka-GE"/>
        </w:rPr>
        <w:footnoteReference w:id="2"/>
      </w:r>
    </w:p>
    <w:tbl>
      <w:tblPr>
        <w:tblStyle w:val="TableGrid"/>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FEFD46A" w:rsidR="00A2210B" w:rsidRPr="007D34F4" w:rsidRDefault="00A2210B" w:rsidP="007D34F4">
            <w:pPr>
              <w:pStyle w:val="ListParagraph"/>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E850DAE" w:rsidR="00A2210B" w:rsidRPr="007D34F4" w:rsidRDefault="00A2210B" w:rsidP="007D34F4">
            <w:pPr>
              <w:pStyle w:val="ListParagraph"/>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913712E" w:rsidR="00A2210B" w:rsidRPr="007D34F4" w:rsidRDefault="00A2210B" w:rsidP="007D34F4">
            <w:pPr>
              <w:pStyle w:val="ListParagraph"/>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704A84D" w:rsidR="00A2210B" w:rsidRPr="007D34F4" w:rsidRDefault="00A2210B" w:rsidP="007D34F4">
            <w:pPr>
              <w:pStyle w:val="ListParagraph"/>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00CC31A" w:rsidR="00A2210B" w:rsidRPr="007D34F4" w:rsidRDefault="00A2210B" w:rsidP="007D34F4">
            <w:pPr>
              <w:pStyle w:val="ListParagraph"/>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FootnoteReference"/>
          <w:rFonts w:ascii="Sylfaen" w:hAnsi="Sylfaen"/>
          <w:i/>
          <w:color w:val="5B9BD5" w:themeColor="accent1"/>
          <w:lang w:val="ka-GE"/>
        </w:rPr>
        <w:footnoteReference w:id="3"/>
      </w:r>
    </w:p>
    <w:tbl>
      <w:tblPr>
        <w:tblStyle w:val="TableGrid"/>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7A06E588" w14:textId="77777777" w:rsidR="00144FCF" w:rsidRDefault="00B33CA8" w:rsidP="007D34F4">
            <w:pPr>
              <w:pStyle w:val="ListParagraph"/>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ორგანული კანონი „საქართველოს საარჩევნო კოდექსი“.</w:t>
            </w:r>
          </w:p>
          <w:p w14:paraId="0206A26F" w14:textId="22351702" w:rsidR="00144FCF" w:rsidRPr="007D34F4" w:rsidRDefault="00BA4137" w:rsidP="007D34F4">
            <w:pPr>
              <w:pStyle w:val="ListParagraph"/>
              <w:numPr>
                <w:ilvl w:val="0"/>
                <w:numId w:val="21"/>
              </w:numPr>
              <w:ind w:left="257" w:right="-113" w:hanging="270"/>
              <w:rPr>
                <w:rFonts w:ascii="Sylfaen" w:hAnsi="Sylfaen"/>
                <w:lang w:val="ka-GE"/>
              </w:rPr>
            </w:pPr>
            <w:r>
              <w:rPr>
                <w:rFonts w:ascii="Sylfaen" w:hAnsi="Sylfaen"/>
                <w:lang w:val="ka-GE"/>
              </w:rPr>
              <w:t>ს</w:t>
            </w:r>
            <w:r w:rsidR="00B33CA8">
              <w:rPr>
                <w:rFonts w:ascii="Sylfaen" w:hAnsi="Sylfaen"/>
                <w:lang w:val="ka-GE"/>
              </w:rPr>
              <w:t>აქართველოს ცენტრალური საარჩევნო კომისიის დადგენილება N8/2012 „საარჩევნო ადმინისტრაციაში განცხადება/საჩივრის შეტანისა და განხილვის ინსტრუქციის დამტკიცების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610B1778" w14:textId="77777777" w:rsidR="00144FCF" w:rsidRPr="00B33CA8" w:rsidRDefault="00B33CA8" w:rsidP="007D34F4">
            <w:pPr>
              <w:pStyle w:val="ListParagraph"/>
              <w:numPr>
                <w:ilvl w:val="0"/>
                <w:numId w:val="22"/>
              </w:numPr>
              <w:ind w:left="257" w:right="-113" w:hanging="270"/>
              <w:rPr>
                <w:rFonts w:ascii="Sylfaen" w:hAnsi="Sylfaen"/>
                <w:lang w:val="ka-GE"/>
              </w:rPr>
            </w:pPr>
            <w:permStart w:id="667764277" w:edGrp="everyone"/>
            <w:r>
              <w:rPr>
                <w:rFonts w:ascii="Helvetica" w:hAnsi="Helvetica" w:cs="Helvetica"/>
                <w:color w:val="333333"/>
                <w:sz w:val="21"/>
                <w:szCs w:val="21"/>
                <w:shd w:val="clear" w:color="auto" w:fill="FFFFFF"/>
              </w:rPr>
              <w:t>27/12/2011</w:t>
            </w:r>
          </w:p>
          <w:p w14:paraId="13B34F4E" w14:textId="01B86297" w:rsidR="00144FCF" w:rsidRPr="007D34F4" w:rsidRDefault="00B33CA8" w:rsidP="007D34F4">
            <w:pPr>
              <w:pStyle w:val="ListParagraph"/>
              <w:numPr>
                <w:ilvl w:val="0"/>
                <w:numId w:val="22"/>
              </w:numPr>
              <w:ind w:left="257" w:right="-113" w:hanging="270"/>
              <w:rPr>
                <w:rFonts w:ascii="Sylfaen" w:hAnsi="Sylfaen"/>
                <w:lang w:val="ka-GE"/>
              </w:rPr>
            </w:pPr>
            <w:r>
              <w:rPr>
                <w:rFonts w:ascii="Helvetica" w:hAnsi="Helvetica" w:cs="Helvetica"/>
                <w:color w:val="333333"/>
                <w:sz w:val="21"/>
                <w:szCs w:val="21"/>
                <w:shd w:val="clear" w:color="auto" w:fill="FFFFFF"/>
              </w:rPr>
              <w:t>02/03/2012</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9CF6069" w14:textId="77777777" w:rsidR="00496B05" w:rsidRDefault="00B33CA8" w:rsidP="007D34F4">
            <w:pPr>
              <w:pStyle w:val="ListParagraph"/>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76BA1A17" w:rsidR="00496B05" w:rsidRPr="007D34F4" w:rsidRDefault="00B33CA8" w:rsidP="007D34F4">
            <w:pPr>
              <w:pStyle w:val="ListParagraph"/>
              <w:numPr>
                <w:ilvl w:val="0"/>
                <w:numId w:val="23"/>
              </w:numPr>
              <w:ind w:left="257" w:right="-113" w:hanging="270"/>
              <w:rPr>
                <w:rFonts w:ascii="Sylfaen" w:hAnsi="Sylfaen"/>
                <w:lang w:val="ka-GE"/>
              </w:rPr>
            </w:pPr>
            <w:r>
              <w:rPr>
                <w:rFonts w:ascii="Sylfaen" w:hAnsi="Sylfaen"/>
                <w:lang w:val="ka-GE"/>
              </w:rPr>
              <w:t>საქართველოს ცენტრალური საარჩევნო კომისია</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8B6E684" w14:textId="37AC4EDC" w:rsidR="00496B05" w:rsidRDefault="00B33CA8" w:rsidP="007D34F4">
            <w:pPr>
              <w:pStyle w:val="ListParagraph"/>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8</w:t>
            </w:r>
            <w:r w:rsidR="005D01DE">
              <w:rPr>
                <w:rFonts w:ascii="Sylfaen" w:hAnsi="Sylfaen"/>
                <w:lang w:val="ka-GE"/>
              </w:rPr>
              <w:t>, 0118</w:t>
            </w:r>
          </w:p>
          <w:p w14:paraId="358BCD04" w14:textId="3D873532" w:rsidR="00496B05" w:rsidRPr="007D34F4" w:rsidRDefault="00B33CA8" w:rsidP="007D34F4">
            <w:pPr>
              <w:pStyle w:val="ListParagraph"/>
              <w:numPr>
                <w:ilvl w:val="0"/>
                <w:numId w:val="24"/>
              </w:numPr>
              <w:ind w:left="257" w:right="-113" w:hanging="270"/>
              <w:rPr>
                <w:rFonts w:ascii="Sylfaen" w:hAnsi="Sylfaen"/>
                <w:lang w:val="ka-GE"/>
              </w:rPr>
            </w:pPr>
            <w:r>
              <w:rPr>
                <w:rFonts w:ascii="Sylfaen" w:hAnsi="Sylfaen"/>
                <w:lang w:val="ka-GE"/>
              </w:rPr>
              <w:t>დავით აღმაშენებლის ხეივანი მე-13 კმ. / 0131, თბილისი, საქართველო</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FootnoteReference"/>
          <w:rFonts w:ascii="Sylfaen" w:hAnsi="Sylfaen"/>
          <w:i/>
          <w:color w:val="5B9BD5" w:themeColor="accent1"/>
          <w:lang w:val="ka-GE"/>
        </w:rPr>
        <w:footnoteReference w:id="4"/>
      </w:r>
    </w:p>
    <w:tbl>
      <w:tblPr>
        <w:tblStyle w:val="TableGrid"/>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14219515" w:rsidR="002F127B" w:rsidRPr="0052060E" w:rsidRDefault="00EC2A2D" w:rsidP="00EC2A2D">
            <w:pPr>
              <w:spacing w:after="0" w:line="240" w:lineRule="auto"/>
              <w:jc w:val="both"/>
              <w:rPr>
                <w:rFonts w:ascii="Sylfaen" w:hAnsi="Sylfaen"/>
                <w:color w:val="000000"/>
                <w:lang w:val="ka-GE"/>
              </w:rPr>
            </w:pPr>
            <w:permStart w:id="903088963" w:edGrp="everyone"/>
            <w:r w:rsidRPr="0052060E">
              <w:rPr>
                <w:rFonts w:ascii="Sylfaen" w:hAnsi="Sylfaen"/>
                <w:color w:val="000000"/>
                <w:lang w:val="ka-GE"/>
              </w:rPr>
              <w:t>საქართველოს ორგანული კანონი „საქართველოს საარჩევნო კოდექსის“ 77-ე მუხლის პირველი ნაწილი, რომლის მიხედვითაც: „საქართველოს საარჩევნო კანონმდებლობის დარღვევა შეიძლება გასაჩივრდეს შესაბამის საარჩევნო კომისიაში. საარჩევნო კომისიის გადაწყვეტილება შეიძლება გასაჩივრდეს ზემდგომ საარჩევნო კომისიაში ან სასამართლოში ამ კანონით დადგენილი წესით და დადგენილ ვადებში, თუ ამ კანონით სხვა რამ არ არის გათვალისწინებული“.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36F7A9AD" w:rsidR="002F127B" w:rsidRPr="0052060E" w:rsidRDefault="0052060E" w:rsidP="0052060E">
            <w:pPr>
              <w:rPr>
                <w:rFonts w:ascii="Sylfaen" w:hAnsi="Sylfaen"/>
                <w:lang w:val="ka-GE"/>
              </w:rPr>
            </w:pPr>
            <w:r w:rsidRPr="0052060E">
              <w:rPr>
                <w:rFonts w:ascii="Sylfaen" w:hAnsi="Sylfaen"/>
                <w:lang w:val="ka-GE"/>
              </w:rPr>
              <w:t>საქართველოს კონსტიტუციის 31-ე მუხლის პირველი პუნქტი, რომლის მიხედვითაც: „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2E2A1807" w:rsidR="002F127B" w:rsidRPr="00B93430" w:rsidRDefault="008B5F1A" w:rsidP="008B5F1A">
            <w:pPr>
              <w:ind w:right="168"/>
              <w:jc w:val="both"/>
              <w:rPr>
                <w:rFonts w:ascii="Sylfaen" w:hAnsi="Sylfaen"/>
                <w:lang w:val="ka-GE"/>
              </w:rPr>
            </w:pPr>
            <w:r>
              <w:rPr>
                <w:rFonts w:ascii="Sylfaen" w:hAnsi="Sylfaen"/>
                <w:lang w:val="ka-GE"/>
              </w:rPr>
              <w:t xml:space="preserve">„ საარჩევნო ადმინისტრაციაში განცხადება/საჩივრის შეტანისა და განხილვის ინსტრუქციის დამტკიცების შესახებ“ საქართველოს ცენტრალური საარჩევნო კომისიის </w:t>
            </w:r>
            <w:r>
              <w:rPr>
                <w:rFonts w:ascii="Sylfaen" w:hAnsi="Sylfaen"/>
                <w:lang w:val="ka-GE"/>
              </w:rPr>
              <w:lastRenderedPageBreak/>
              <w:t>2012 წლის 2 მარტის N8/2012 დადგენილების მე-7 მუხლის მე-2 პუნქტი, რომლის მიხედვითაც: „</w:t>
            </w:r>
            <w:r w:rsidRPr="008B5F1A">
              <w:rPr>
                <w:rFonts w:ascii="Sylfaen" w:hAnsi="Sylfaen"/>
                <w:lang w:val="ka-GE"/>
              </w:rPr>
              <w:t>ადმინისტრაციულ სამართალდარღვევათა ოქმებს ადგენენ</w:t>
            </w:r>
            <w:r>
              <w:rPr>
                <w:rFonts w:ascii="Sylfaen" w:hAnsi="Sylfaen"/>
                <w:lang w:val="ka-GE"/>
              </w:rPr>
              <w:t xml:space="preserve">: </w:t>
            </w:r>
            <w:r w:rsidRPr="008B5F1A">
              <w:rPr>
                <w:rFonts w:ascii="Sylfaen" w:hAnsi="Sylfaen"/>
                <w:lang w:val="ka-GE"/>
              </w:rPr>
              <w:t>ა) ცესკო</w:t>
            </w:r>
            <w:r>
              <w:rPr>
                <w:rFonts w:ascii="Sylfaen" w:hAnsi="Sylfaen"/>
                <w:lang w:val="ka-GE"/>
              </w:rPr>
              <w:t xml:space="preserve">; </w:t>
            </w:r>
            <w:r w:rsidRPr="008B5F1A">
              <w:rPr>
                <w:rFonts w:ascii="Sylfaen" w:hAnsi="Sylfaen"/>
                <w:lang w:val="ka-GE"/>
              </w:rPr>
              <w:t>ბ) ცესკოს მიერ უფლებამოსილი პირი;</w:t>
            </w:r>
            <w:r>
              <w:rPr>
                <w:rFonts w:ascii="Sylfaen" w:hAnsi="Sylfaen"/>
                <w:lang w:val="ka-GE"/>
              </w:rPr>
              <w:t xml:space="preserve"> </w:t>
            </w:r>
            <w:r w:rsidRPr="008B5F1A">
              <w:rPr>
                <w:rFonts w:ascii="Sylfaen" w:hAnsi="Sylfaen"/>
                <w:lang w:val="ka-GE"/>
              </w:rPr>
              <w:t>გ) შესაბამისი საოლქო საარჩევნო კომისიის მიერ უფლებამოსილი პირი.</w:t>
            </w:r>
          </w:p>
        </w:tc>
        <w:tc>
          <w:tcPr>
            <w:tcW w:w="5411" w:type="dxa"/>
            <w:shd w:val="clear" w:color="auto" w:fill="auto"/>
          </w:tcPr>
          <w:p w14:paraId="49209568" w14:textId="4F5947E6" w:rsidR="002F127B" w:rsidRPr="00B93430" w:rsidRDefault="00C83467" w:rsidP="00D650B6">
            <w:pPr>
              <w:ind w:right="168"/>
              <w:rPr>
                <w:rFonts w:ascii="Sylfaen" w:hAnsi="Sylfaen"/>
                <w:lang w:val="ka-GE"/>
              </w:rPr>
            </w:pPr>
            <w:r w:rsidRPr="0052060E">
              <w:rPr>
                <w:rFonts w:ascii="Sylfaen" w:hAnsi="Sylfaen"/>
                <w:lang w:val="ka-GE"/>
              </w:rPr>
              <w:lastRenderedPageBreak/>
              <w:t xml:space="preserve">საქართველოს კონსტიტუციის 31-ე მუხლის პირველი პუნქტი, რომლის მიხედვითაც: „ ყოველ ადამიანს აქვს უფლება თავის უფლებათა დასაცავად მიმართოს სასამართლოს. საქმის </w:t>
            </w:r>
            <w:r w:rsidRPr="0052060E">
              <w:rPr>
                <w:rFonts w:ascii="Sylfaen" w:hAnsi="Sylfaen"/>
                <w:lang w:val="ka-GE"/>
              </w:rPr>
              <w:lastRenderedPageBreak/>
              <w:t>სამართლიანი და დროული განხილვის უფლება უზრუნველყოფილია.“</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586FEDC0" w:rsidR="002F127B" w:rsidRPr="00B93430" w:rsidRDefault="008B5F1A" w:rsidP="008B5F1A">
            <w:pPr>
              <w:ind w:right="168"/>
              <w:jc w:val="both"/>
              <w:rPr>
                <w:rFonts w:ascii="Sylfaen" w:hAnsi="Sylfaen"/>
                <w:lang w:val="ka-GE"/>
              </w:rPr>
            </w:pPr>
            <w:r>
              <w:rPr>
                <w:rFonts w:ascii="Sylfaen" w:hAnsi="Sylfaen"/>
                <w:lang w:val="ka-GE"/>
              </w:rPr>
              <w:lastRenderedPageBreak/>
              <w:t>საარჩევნო ადმინისტრაციაში განცხადება/საჩივრის შეტანისა და განხილვის ინსტრუქციის დამტკიცების შესახებ“ საქართველოს ცენტრალური საარჩევნო კომისიის 2012 წლის 2 მარტის N8/2012 დადგენილების მე-7 მუხლის მე-3 პუნქტი, რომლის მიხედვითაც: „</w:t>
            </w:r>
            <w:r w:rsidRPr="008B5F1A">
              <w:rPr>
                <w:rFonts w:ascii="Sylfaen" w:hAnsi="Sylfaen"/>
                <w:lang w:val="ka-GE"/>
              </w:rPr>
              <w:t>ადმინისტრაციულ სამართალდარღვევათა ოქმის შედგენის თაობაზე წარდგენილ განცხადება/საჩივარს იხილავს და გადაწყვეტილებას იღებს ოქმის შედგენაზე უფლებამოსილი პირი „საქართველოს ადმინისტრაციულ სამართალდარღვევათა კოდექსით” დადგენილი წესის შესაბამისად (საქართველოს ადმინისტრაციულ სამართალდარღვევათა კოდექსის 231-ე მუხლი). განცხადება/საჩივრის განხილვის პირობები და წესი განისაზღვრება საქართველოს ზოგადი ადმინისტრაციული კოდექსით.</w:t>
            </w:r>
            <w:r>
              <w:rPr>
                <w:rFonts w:ascii="Sylfaen" w:hAnsi="Sylfaen"/>
                <w:lang w:val="ka-GE"/>
              </w:rPr>
              <w:t>“</w:t>
            </w:r>
          </w:p>
        </w:tc>
        <w:tc>
          <w:tcPr>
            <w:tcW w:w="5411" w:type="dxa"/>
            <w:shd w:val="clear" w:color="auto" w:fill="auto"/>
          </w:tcPr>
          <w:p w14:paraId="52E7E1FA" w14:textId="6B8C6714" w:rsidR="002F127B" w:rsidRPr="00B93430" w:rsidRDefault="00C83467" w:rsidP="00D650B6">
            <w:pPr>
              <w:ind w:right="168"/>
              <w:rPr>
                <w:rFonts w:ascii="Sylfaen" w:hAnsi="Sylfaen"/>
                <w:lang w:val="ka-GE"/>
              </w:rPr>
            </w:pPr>
            <w:r w:rsidRPr="0052060E">
              <w:rPr>
                <w:rFonts w:ascii="Sylfaen" w:hAnsi="Sylfaen"/>
                <w:lang w:val="ka-GE"/>
              </w:rPr>
              <w:t>საქართველოს კონსტიტუციის 31-ე მუხლის პირველი პუნქტი, რომლის მიხედვითაც: „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TableGrid"/>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7F68323" w:rsidR="00474A54" w:rsidRPr="00B93430" w:rsidRDefault="00250B85" w:rsidP="00433931">
            <w:pPr>
              <w:tabs>
                <w:tab w:val="left" w:pos="1644"/>
              </w:tabs>
              <w:rPr>
                <w:rFonts w:ascii="Sylfaen" w:hAnsi="Sylfaen"/>
              </w:rPr>
            </w:pPr>
            <w:permStart w:id="2105233546" w:edGrp="everyone" w:colFirst="0" w:colLast="0"/>
            <w:r w:rsidRPr="00C35AE7">
              <w:rPr>
                <w:rFonts w:ascii="Sylfaen" w:hAnsi="Sylfaen"/>
                <w:color w:val="000000"/>
                <w:sz w:val="24"/>
                <w:szCs w:val="24"/>
                <w:lang w:val="ka-GE"/>
              </w:rPr>
              <w:t xml:space="preserve">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w:t>
            </w:r>
            <w:r>
              <w:rPr>
                <w:rFonts w:ascii="Sylfaen" w:hAnsi="Sylfaen"/>
                <w:color w:val="000000"/>
                <w:sz w:val="24"/>
                <w:szCs w:val="24"/>
                <w:lang w:val="ka-GE"/>
              </w:rPr>
              <w:t>31</w:t>
            </w:r>
            <w:r>
              <w:rPr>
                <w:rFonts w:ascii="Sylfaen" w:hAnsi="Sylfaen"/>
                <w:color w:val="000000"/>
                <w:sz w:val="24"/>
                <w:szCs w:val="24"/>
                <w:vertAlign w:val="superscript"/>
                <w:lang w:val="ka-GE"/>
              </w:rPr>
              <w:t>1</w:t>
            </w:r>
            <w:r w:rsidRPr="00C35AE7">
              <w:rPr>
                <w:rFonts w:ascii="Sylfaen" w:hAnsi="Sylfaen"/>
                <w:color w:val="000000"/>
                <w:sz w:val="24"/>
                <w:szCs w:val="24"/>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FootnoteReference"/>
          <w:rFonts w:ascii="Sylfaen" w:hAnsi="Sylfaen"/>
          <w:i/>
          <w:color w:val="5B9BD5" w:themeColor="accent1"/>
          <w:lang w:val="ka-GE"/>
        </w:rPr>
        <w:footnoteReference w:id="5"/>
      </w:r>
    </w:p>
    <w:tbl>
      <w:tblPr>
        <w:tblStyle w:val="TableGrid"/>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1130145" w14:textId="77777777" w:rsidR="003C1E15" w:rsidRPr="00FE2179" w:rsidRDefault="003C1E15" w:rsidP="003C1E15">
            <w:pPr>
              <w:rPr>
                <w:color w:val="000000"/>
                <w:sz w:val="24"/>
                <w:szCs w:val="24"/>
                <w:lang w:val="ka-GE"/>
              </w:rPr>
            </w:pPr>
            <w:permStart w:id="1105795011" w:edGrp="everyone" w:colFirst="0" w:colLast="0"/>
            <w:r w:rsidRPr="00FE2179">
              <w:rPr>
                <w:rFonts w:ascii="Sylfaen" w:hAnsi="Sylfaen" w:cs="Sylfaen"/>
                <w:color w:val="000000"/>
                <w:sz w:val="24"/>
                <w:szCs w:val="24"/>
                <w:lang w:val="ka-GE"/>
              </w:rPr>
              <w:t>ა</w:t>
            </w:r>
            <w:r w:rsidRPr="00FE2179">
              <w:rPr>
                <w:color w:val="000000"/>
                <w:sz w:val="24"/>
                <w:szCs w:val="24"/>
                <w:lang w:val="ka-GE"/>
              </w:rPr>
              <w:t xml:space="preserve">) </w:t>
            </w:r>
            <w:r w:rsidRPr="00FE2179">
              <w:rPr>
                <w:rFonts w:ascii="Sylfaen" w:hAnsi="Sylfaen" w:cs="Sylfaen"/>
                <w:color w:val="000000"/>
                <w:sz w:val="24"/>
                <w:szCs w:val="24"/>
                <w:lang w:val="ka-GE"/>
              </w:rPr>
              <w:t>სარჩელი</w:t>
            </w:r>
            <w:r w:rsidRPr="00FE2179">
              <w:rPr>
                <w:color w:val="000000"/>
                <w:sz w:val="24"/>
                <w:szCs w:val="24"/>
                <w:lang w:val="ka-GE"/>
              </w:rPr>
              <w:t xml:space="preserve"> </w:t>
            </w:r>
            <w:r w:rsidRPr="00FE2179">
              <w:rPr>
                <w:rFonts w:ascii="Sylfaen" w:hAnsi="Sylfaen" w:cs="Sylfaen"/>
                <w:color w:val="000000"/>
                <w:sz w:val="24"/>
                <w:szCs w:val="24"/>
                <w:lang w:val="ka-GE"/>
              </w:rPr>
              <w:t>ფორმით</w:t>
            </w:r>
            <w:r w:rsidRPr="00FE2179">
              <w:rPr>
                <w:color w:val="000000"/>
                <w:sz w:val="24"/>
                <w:szCs w:val="24"/>
                <w:lang w:val="ka-GE"/>
              </w:rPr>
              <w:t xml:space="preserve"> </w:t>
            </w:r>
            <w:r w:rsidRPr="00FE2179">
              <w:rPr>
                <w:rFonts w:ascii="Sylfaen" w:hAnsi="Sylfaen" w:cs="Sylfaen"/>
                <w:color w:val="000000"/>
                <w:sz w:val="24"/>
                <w:szCs w:val="24"/>
                <w:lang w:val="ka-GE"/>
              </w:rPr>
              <w:t>და</w:t>
            </w:r>
            <w:r w:rsidRPr="00FE2179">
              <w:rPr>
                <w:color w:val="000000"/>
                <w:sz w:val="24"/>
                <w:szCs w:val="24"/>
                <w:lang w:val="ka-GE"/>
              </w:rPr>
              <w:t xml:space="preserve"> </w:t>
            </w:r>
            <w:r w:rsidRPr="00FE2179">
              <w:rPr>
                <w:rFonts w:ascii="Sylfaen" w:hAnsi="Sylfaen" w:cs="Sylfaen"/>
                <w:color w:val="000000"/>
                <w:sz w:val="24"/>
                <w:szCs w:val="24"/>
                <w:lang w:val="ka-GE"/>
              </w:rPr>
              <w:t>შინაარსით</w:t>
            </w:r>
            <w:r w:rsidRPr="00FE2179">
              <w:rPr>
                <w:color w:val="000000"/>
                <w:sz w:val="24"/>
                <w:szCs w:val="24"/>
                <w:lang w:val="ka-GE"/>
              </w:rPr>
              <w:t xml:space="preserve"> </w:t>
            </w:r>
            <w:r w:rsidRPr="00FE2179">
              <w:rPr>
                <w:rFonts w:ascii="Sylfaen" w:hAnsi="Sylfaen" w:cs="Sylfaen"/>
                <w:color w:val="000000"/>
                <w:sz w:val="24"/>
                <w:szCs w:val="24"/>
                <w:lang w:val="ka-GE"/>
              </w:rPr>
              <w:t>შეესაბამება</w:t>
            </w:r>
            <w:r w:rsidRPr="00FE2179">
              <w:rPr>
                <w:color w:val="000000"/>
                <w:sz w:val="24"/>
                <w:szCs w:val="24"/>
                <w:lang w:val="ka-GE"/>
              </w:rPr>
              <w:t xml:space="preserve"> „</w:t>
            </w:r>
            <w:r w:rsidRPr="00FE2179">
              <w:rPr>
                <w:rFonts w:ascii="Sylfaen" w:hAnsi="Sylfaen" w:cs="Sylfaen"/>
                <w:color w:val="000000"/>
                <w:sz w:val="24"/>
                <w:szCs w:val="24"/>
                <w:lang w:val="ka-GE"/>
              </w:rPr>
              <w:t>საკონსტიტუციო</w:t>
            </w:r>
            <w:r w:rsidRPr="00FE2179">
              <w:rPr>
                <w:color w:val="000000"/>
                <w:sz w:val="24"/>
                <w:szCs w:val="24"/>
                <w:lang w:val="ka-GE"/>
              </w:rPr>
              <w:t xml:space="preserve"> </w:t>
            </w:r>
            <w:r w:rsidRPr="00FE2179">
              <w:rPr>
                <w:rFonts w:ascii="Sylfaen" w:hAnsi="Sylfaen" w:cs="Sylfaen"/>
                <w:color w:val="000000"/>
                <w:sz w:val="24"/>
                <w:szCs w:val="24"/>
                <w:lang w:val="ka-GE"/>
              </w:rPr>
              <w:t>სასამართლოს</w:t>
            </w:r>
            <w:r w:rsidRPr="00FE2179">
              <w:rPr>
                <w:color w:val="000000"/>
                <w:sz w:val="24"/>
                <w:szCs w:val="24"/>
                <w:lang w:val="ka-GE"/>
              </w:rPr>
              <w:t xml:space="preserve"> </w:t>
            </w:r>
            <w:r w:rsidRPr="00FE2179">
              <w:rPr>
                <w:rFonts w:ascii="Sylfaen" w:hAnsi="Sylfaen" w:cs="Sylfaen"/>
                <w:color w:val="000000"/>
                <w:sz w:val="24"/>
                <w:szCs w:val="24"/>
                <w:lang w:val="ka-GE"/>
              </w:rPr>
              <w:t>შესახებ</w:t>
            </w:r>
            <w:r w:rsidRPr="00FE2179">
              <w:rPr>
                <w:color w:val="000000"/>
                <w:sz w:val="24"/>
                <w:szCs w:val="24"/>
                <w:lang w:val="ka-GE"/>
              </w:rPr>
              <w:t xml:space="preserve">“ </w:t>
            </w:r>
            <w:r w:rsidRPr="00FE2179">
              <w:rPr>
                <w:rFonts w:ascii="Sylfaen" w:hAnsi="Sylfaen" w:cs="Sylfaen"/>
                <w:color w:val="000000"/>
                <w:sz w:val="24"/>
                <w:szCs w:val="24"/>
                <w:lang w:val="ka-GE"/>
              </w:rPr>
              <w:t>საქართველოს</w:t>
            </w:r>
            <w:r w:rsidRPr="00FE2179">
              <w:rPr>
                <w:color w:val="000000"/>
                <w:sz w:val="24"/>
                <w:szCs w:val="24"/>
                <w:lang w:val="ka-GE"/>
              </w:rPr>
              <w:t xml:space="preserve"> </w:t>
            </w:r>
            <w:r w:rsidRPr="00FE2179">
              <w:rPr>
                <w:rFonts w:ascii="Sylfaen" w:hAnsi="Sylfaen" w:cs="Sylfaen"/>
                <w:color w:val="000000"/>
                <w:sz w:val="24"/>
                <w:szCs w:val="24"/>
                <w:lang w:val="ka-GE"/>
              </w:rPr>
              <w:t>ორგანული</w:t>
            </w:r>
            <w:r w:rsidRPr="00FE2179">
              <w:rPr>
                <w:color w:val="000000"/>
                <w:sz w:val="24"/>
                <w:szCs w:val="24"/>
                <w:lang w:val="ka-GE"/>
              </w:rPr>
              <w:t xml:space="preserve"> </w:t>
            </w:r>
            <w:r w:rsidRPr="00FE2179">
              <w:rPr>
                <w:rFonts w:ascii="Sylfaen" w:hAnsi="Sylfaen" w:cs="Sylfaen"/>
                <w:color w:val="000000"/>
                <w:sz w:val="24"/>
                <w:szCs w:val="24"/>
                <w:lang w:val="ka-GE"/>
              </w:rPr>
              <w:t>კანონის</w:t>
            </w:r>
            <w:r w:rsidRPr="00FE2179">
              <w:rPr>
                <w:color w:val="000000"/>
                <w:sz w:val="24"/>
                <w:szCs w:val="24"/>
                <w:lang w:val="ka-GE"/>
              </w:rPr>
              <w:t xml:space="preserve"> 31</w:t>
            </w:r>
            <w:r w:rsidRPr="00FE2179">
              <w:rPr>
                <w:color w:val="000000"/>
                <w:sz w:val="24"/>
                <w:szCs w:val="24"/>
                <w:vertAlign w:val="superscript"/>
                <w:lang w:val="ka-GE"/>
              </w:rPr>
              <w:t>1</w:t>
            </w:r>
            <w:r w:rsidRPr="00FE2179">
              <w:rPr>
                <w:color w:val="000000"/>
                <w:sz w:val="24"/>
                <w:szCs w:val="24"/>
                <w:lang w:val="ka-GE"/>
              </w:rPr>
              <w:t xml:space="preserve"> </w:t>
            </w:r>
            <w:r w:rsidRPr="00FE2179">
              <w:rPr>
                <w:rFonts w:ascii="Sylfaen" w:hAnsi="Sylfaen" w:cs="Sylfaen"/>
                <w:color w:val="000000"/>
                <w:sz w:val="24"/>
                <w:szCs w:val="24"/>
                <w:lang w:val="ka-GE"/>
              </w:rPr>
              <w:t>მუხლის</w:t>
            </w:r>
            <w:r w:rsidRPr="00FE2179">
              <w:rPr>
                <w:color w:val="000000"/>
                <w:sz w:val="24"/>
                <w:szCs w:val="24"/>
                <w:lang w:val="ka-GE"/>
              </w:rPr>
              <w:t xml:space="preserve"> </w:t>
            </w:r>
            <w:r w:rsidRPr="00FE2179">
              <w:rPr>
                <w:rFonts w:ascii="Sylfaen" w:hAnsi="Sylfaen" w:cs="Sylfaen"/>
                <w:color w:val="000000"/>
                <w:sz w:val="24"/>
                <w:szCs w:val="24"/>
                <w:lang w:val="ka-GE"/>
              </w:rPr>
              <w:t>მოთხოვნებს</w:t>
            </w:r>
            <w:r w:rsidRPr="00FE2179">
              <w:rPr>
                <w:color w:val="000000"/>
                <w:sz w:val="24"/>
                <w:szCs w:val="24"/>
                <w:lang w:val="ka-GE"/>
              </w:rPr>
              <w:t>;</w:t>
            </w:r>
          </w:p>
          <w:p w14:paraId="212469B8" w14:textId="77777777" w:rsidR="003C1E15" w:rsidRPr="00FE2179" w:rsidRDefault="003C1E15" w:rsidP="003C1E15">
            <w:pPr>
              <w:rPr>
                <w:color w:val="000000"/>
                <w:sz w:val="24"/>
                <w:szCs w:val="24"/>
                <w:lang w:val="ka-GE"/>
              </w:rPr>
            </w:pPr>
          </w:p>
          <w:p w14:paraId="0CF86D6C" w14:textId="77777777" w:rsidR="003C1E15" w:rsidRDefault="003C1E15" w:rsidP="003C1E15">
            <w:pPr>
              <w:rPr>
                <w:color w:val="000000"/>
                <w:sz w:val="24"/>
                <w:szCs w:val="24"/>
                <w:lang w:val="ka-GE"/>
              </w:rPr>
            </w:pPr>
            <w:r w:rsidRPr="00FE2179">
              <w:rPr>
                <w:rFonts w:ascii="Sylfaen" w:hAnsi="Sylfaen" w:cs="Sylfaen"/>
                <w:color w:val="000000"/>
                <w:sz w:val="24"/>
                <w:szCs w:val="24"/>
                <w:lang w:val="ka-GE"/>
              </w:rPr>
              <w:t>ბ</w:t>
            </w:r>
            <w:r w:rsidRPr="00FE2179">
              <w:rPr>
                <w:color w:val="000000"/>
                <w:sz w:val="24"/>
                <w:szCs w:val="24"/>
                <w:lang w:val="ka-GE"/>
              </w:rPr>
              <w:t xml:space="preserve">) </w:t>
            </w:r>
            <w:r w:rsidRPr="00FE2179">
              <w:rPr>
                <w:rFonts w:ascii="Sylfaen" w:hAnsi="Sylfaen" w:cs="Sylfaen"/>
                <w:color w:val="000000"/>
                <w:sz w:val="24"/>
                <w:szCs w:val="24"/>
                <w:lang w:val="ka-GE"/>
              </w:rPr>
              <w:t>სარჩელი</w:t>
            </w:r>
            <w:r w:rsidRPr="00FE2179">
              <w:rPr>
                <w:color w:val="000000"/>
                <w:sz w:val="24"/>
                <w:szCs w:val="24"/>
                <w:lang w:val="ka-GE"/>
              </w:rPr>
              <w:t xml:space="preserve"> </w:t>
            </w:r>
            <w:r w:rsidRPr="00FE2179">
              <w:rPr>
                <w:rFonts w:ascii="Sylfaen" w:hAnsi="Sylfaen" w:cs="Sylfaen"/>
                <w:color w:val="000000"/>
                <w:sz w:val="24"/>
                <w:szCs w:val="24"/>
                <w:lang w:val="ka-GE"/>
              </w:rPr>
              <w:t>შეტანილია</w:t>
            </w:r>
            <w:r w:rsidRPr="00FE2179">
              <w:rPr>
                <w:color w:val="000000"/>
                <w:sz w:val="24"/>
                <w:szCs w:val="24"/>
                <w:lang w:val="ka-GE"/>
              </w:rPr>
              <w:t xml:space="preserve"> </w:t>
            </w:r>
            <w:r w:rsidRPr="00FE2179">
              <w:rPr>
                <w:rFonts w:ascii="Sylfaen" w:hAnsi="Sylfaen" w:cs="Sylfaen"/>
                <w:color w:val="000000"/>
                <w:sz w:val="24"/>
                <w:szCs w:val="24"/>
                <w:lang w:val="ka-GE"/>
              </w:rPr>
              <w:t>უფლებამოსილი</w:t>
            </w:r>
            <w:r w:rsidRPr="00FE2179">
              <w:rPr>
                <w:color w:val="000000"/>
                <w:sz w:val="24"/>
                <w:szCs w:val="24"/>
                <w:lang w:val="ka-GE"/>
              </w:rPr>
              <w:t xml:space="preserve"> </w:t>
            </w:r>
            <w:r w:rsidRPr="00FE2179">
              <w:rPr>
                <w:rFonts w:ascii="Sylfaen" w:hAnsi="Sylfaen" w:cs="Sylfaen"/>
                <w:color w:val="000000"/>
                <w:sz w:val="24"/>
                <w:szCs w:val="24"/>
                <w:lang w:val="ka-GE"/>
              </w:rPr>
              <w:t>პირის</w:t>
            </w:r>
            <w:r w:rsidRPr="00FE2179">
              <w:rPr>
                <w:color w:val="000000"/>
                <w:sz w:val="24"/>
                <w:szCs w:val="24"/>
                <w:lang w:val="ka-GE"/>
              </w:rPr>
              <w:t xml:space="preserve"> </w:t>
            </w:r>
            <w:r w:rsidRPr="00FE2179">
              <w:rPr>
                <w:rFonts w:ascii="Sylfaen" w:hAnsi="Sylfaen" w:cs="Sylfaen"/>
                <w:color w:val="000000"/>
                <w:sz w:val="24"/>
                <w:szCs w:val="24"/>
                <w:lang w:val="ka-GE"/>
              </w:rPr>
              <w:t>მიერ</w:t>
            </w:r>
            <w:r w:rsidRPr="00FE2179">
              <w:rPr>
                <w:color w:val="000000"/>
                <w:sz w:val="24"/>
                <w:szCs w:val="24"/>
                <w:lang w:val="ka-GE"/>
              </w:rPr>
              <w:t>:</w:t>
            </w:r>
          </w:p>
          <w:p w14:paraId="318A76D7" w14:textId="77777777" w:rsidR="003C1E15" w:rsidRDefault="003C1E15" w:rsidP="003C1E15">
            <w:pPr>
              <w:rPr>
                <w:color w:val="000000"/>
                <w:sz w:val="24"/>
                <w:szCs w:val="24"/>
                <w:lang w:val="ka-GE"/>
              </w:rPr>
            </w:pPr>
          </w:p>
          <w:p w14:paraId="7D12D94C" w14:textId="177D24F6" w:rsidR="003C1E15" w:rsidRDefault="006820C9" w:rsidP="00B353C2">
            <w:pPr>
              <w:jc w:val="both"/>
              <w:rPr>
                <w:rFonts w:ascii="Sylfaen" w:hAnsi="Sylfaen"/>
                <w:color w:val="000000"/>
                <w:sz w:val="24"/>
                <w:szCs w:val="24"/>
                <w:lang w:val="ka-GE"/>
              </w:rPr>
            </w:pPr>
            <w:r>
              <w:rPr>
                <w:rFonts w:ascii="Sylfaen" w:hAnsi="Sylfaen"/>
                <w:color w:val="000000"/>
                <w:sz w:val="24"/>
                <w:szCs w:val="24"/>
                <w:lang w:val="ka-GE"/>
              </w:rPr>
              <w:t xml:space="preserve">2018 წლის 17 დეკემბერს თბილისის საქალაქო სასამართლოს ადმინისტრაციულ საქმეთა კოლეგიას სარჩელით მიმართა საქართველოს ახალგაზრდა იურისტთა ასოციაციამ და მოითხოვა საქართველოს ცენტრალური საარჩევნო კომისიის თავმჯდომარის 14 ნოემბრის N01-02/2022 გადაწყვეტილების, N59 ქუთაისის საოლქო საარჩევნო კომისიის თავმჯდომარის 12 ოქტომბრის N108/გ02 გადაწყვეტილება და კიდევ </w:t>
            </w:r>
            <w:r w:rsidR="00A575A2">
              <w:rPr>
                <w:rFonts w:ascii="Sylfaen" w:hAnsi="Sylfaen"/>
                <w:color w:val="000000"/>
                <w:sz w:val="24"/>
                <w:szCs w:val="24"/>
                <w:lang w:val="ka-GE"/>
              </w:rPr>
              <w:t>რამ</w:t>
            </w:r>
            <w:r>
              <w:rPr>
                <w:rFonts w:ascii="Sylfaen" w:hAnsi="Sylfaen"/>
                <w:color w:val="000000"/>
                <w:sz w:val="24"/>
                <w:szCs w:val="24"/>
                <w:lang w:val="ka-GE"/>
              </w:rPr>
              <w:t>დენიმე</w:t>
            </w:r>
            <w:r w:rsidR="00A575A2">
              <w:rPr>
                <w:rFonts w:ascii="Sylfaen" w:hAnsi="Sylfaen"/>
                <w:color w:val="000000"/>
                <w:sz w:val="24"/>
                <w:szCs w:val="24"/>
                <w:lang w:val="ka-GE"/>
              </w:rPr>
              <w:t xml:space="preserve"> საოლქო საარჩევნო კომისიის თავმჯდომარეების </w:t>
            </w:r>
            <w:r>
              <w:rPr>
                <w:rFonts w:ascii="Sylfaen" w:hAnsi="Sylfaen"/>
                <w:color w:val="000000"/>
                <w:sz w:val="24"/>
                <w:szCs w:val="24"/>
                <w:lang w:val="ka-GE"/>
              </w:rPr>
              <w:t xml:space="preserve">  ბათილად ცნობა.</w:t>
            </w:r>
            <w:r w:rsidR="00650F92">
              <w:rPr>
                <w:rFonts w:ascii="Sylfaen" w:hAnsi="Sylfaen"/>
                <w:color w:val="000000"/>
                <w:sz w:val="24"/>
                <w:szCs w:val="24"/>
                <w:lang w:val="ka-GE"/>
              </w:rPr>
              <w:t xml:space="preserve"> </w:t>
            </w:r>
          </w:p>
          <w:p w14:paraId="65C6BFA1" w14:textId="44738E2F" w:rsidR="00650F92" w:rsidRDefault="00650F92" w:rsidP="00B353C2">
            <w:pPr>
              <w:jc w:val="both"/>
              <w:rPr>
                <w:rFonts w:ascii="Sylfaen" w:hAnsi="Sylfaen"/>
                <w:color w:val="000000"/>
                <w:sz w:val="24"/>
                <w:szCs w:val="24"/>
                <w:lang w:val="ka-GE"/>
              </w:rPr>
            </w:pPr>
          </w:p>
          <w:p w14:paraId="4685FF6C" w14:textId="77777777" w:rsidR="005D77D9" w:rsidRDefault="00650F92" w:rsidP="00B353C2">
            <w:pPr>
              <w:jc w:val="both"/>
              <w:rPr>
                <w:rFonts w:ascii="Sylfaen" w:hAnsi="Sylfaen"/>
                <w:color w:val="000000"/>
                <w:sz w:val="24"/>
                <w:szCs w:val="24"/>
                <w:lang w:val="ka-GE"/>
              </w:rPr>
            </w:pPr>
            <w:r>
              <w:rPr>
                <w:rFonts w:ascii="Sylfaen" w:hAnsi="Sylfaen"/>
                <w:color w:val="000000"/>
                <w:sz w:val="24"/>
                <w:szCs w:val="24"/>
                <w:lang w:val="ka-GE"/>
              </w:rPr>
              <w:t>საქართველოს ცენტრალური საარჩევნო კომისიის თავმჯდომარის 14 ნოემბრის N01-02/2022 გადაწყვეტილებით ცენტრალური კომისიის თავმჯდომარემ მიზანშეუწონლად მიიჩნია N58 წყალტუბოს, N59 ქუთაისის N32 გორის, N41 ნინოწმინდის საოლქო საარჩევნო კომისიების თავმჯდომარეების მიმართ ადმინისტრაციული სამართალდარღვევის ოქმის შედგენა.</w:t>
            </w:r>
            <w:r w:rsidR="00EE15DA">
              <w:rPr>
                <w:rFonts w:ascii="Sylfaen" w:hAnsi="Sylfaen"/>
                <w:color w:val="000000"/>
                <w:sz w:val="24"/>
                <w:szCs w:val="24"/>
                <w:lang w:val="ka-GE"/>
              </w:rPr>
              <w:t xml:space="preserve"> </w:t>
            </w:r>
          </w:p>
          <w:p w14:paraId="053EE683" w14:textId="77777777" w:rsidR="005D77D9" w:rsidRDefault="005D77D9" w:rsidP="00B353C2">
            <w:pPr>
              <w:jc w:val="both"/>
              <w:rPr>
                <w:rFonts w:ascii="Sylfaen" w:hAnsi="Sylfaen"/>
                <w:color w:val="000000"/>
                <w:sz w:val="24"/>
                <w:szCs w:val="24"/>
                <w:lang w:val="ka-GE"/>
              </w:rPr>
            </w:pPr>
          </w:p>
          <w:p w14:paraId="20227632" w14:textId="3CC48E16" w:rsidR="00650F92" w:rsidRDefault="005D77D9" w:rsidP="00B353C2">
            <w:pPr>
              <w:jc w:val="both"/>
              <w:rPr>
                <w:rFonts w:ascii="Sylfaen" w:hAnsi="Sylfaen"/>
                <w:color w:val="000000"/>
                <w:sz w:val="24"/>
                <w:szCs w:val="24"/>
                <w:lang w:val="ka-GE"/>
              </w:rPr>
            </w:pPr>
            <w:r>
              <w:rPr>
                <w:rFonts w:ascii="Sylfaen" w:hAnsi="Sylfaen"/>
                <w:color w:val="000000"/>
                <w:sz w:val="24"/>
                <w:szCs w:val="24"/>
                <w:lang w:val="ka-GE"/>
              </w:rPr>
              <w:t>თბილისის საქალაქო სასამართლო გაეცნო სარჩელს, თანდართულ მასალებს და მიიჩნია, რომ წარმოდგენილი სარჩელი არ უნდა მიეღო წარმოებაში.</w:t>
            </w:r>
            <w:r w:rsidR="00DE33F9">
              <w:rPr>
                <w:rFonts w:ascii="Sylfaen" w:hAnsi="Sylfaen"/>
                <w:color w:val="000000"/>
                <w:sz w:val="24"/>
                <w:szCs w:val="24"/>
                <w:lang w:val="ka-GE"/>
              </w:rPr>
              <w:t xml:space="preserve"> </w:t>
            </w:r>
            <w:r w:rsidR="00650F92">
              <w:rPr>
                <w:rFonts w:ascii="Sylfaen" w:hAnsi="Sylfaen"/>
                <w:color w:val="000000"/>
                <w:sz w:val="24"/>
                <w:szCs w:val="24"/>
                <w:lang w:val="ka-GE"/>
              </w:rPr>
              <w:t xml:space="preserve"> </w:t>
            </w:r>
            <w:r w:rsidR="00DE33F9">
              <w:rPr>
                <w:rFonts w:ascii="Sylfaen" w:hAnsi="Sylfaen"/>
                <w:color w:val="000000"/>
                <w:sz w:val="24"/>
                <w:szCs w:val="24"/>
                <w:lang w:val="ka-GE"/>
              </w:rPr>
              <w:t xml:space="preserve">სასამართლოს განმარტებით: „სასამართლოს მიაჩნია, რომ სასამართლო მხოლოდ იმ შემთხვევაში იქნებოდა უფლებამოსილი ემსჯელა საკითხზე, თუკი უფლებამოსილი ორგანო საქართველოს ორგანული კანონის „საქართველოს საარჩევნო“ კოდექსით გათვალისწინებული სამართალდარღვევის ჩადენის ფაქტთან დაკავშირებით შეადგენდა ადმინისტრაციულ სამართალდარღვევის ოქმებს, რომელიც „საარჩევნო ადმინისტრაციაში განცხადება/საჩივრის შეტანისა და განხილვის ინსტრუქციის დამტკიცების შესახებ“ საქართველოს ცენტრალური საარჩევნო კომისიის 2012 წლის 2 მარტის N8/2012 დადგენილების მე-7 მუხლის მე-4 მუხლის მოთხოვნის გათვალისწინებით დაუყოვნებლივ გამოეგზავნებოდა თბილისის საქალაქო სასამართლოს ადმინისტრაციულ საქმეთა კოლეგიას. იმ პირობებში, კი როდესაც სარჩელის მოთხოვნასთან დაკავშირებით (სადავო წერილის ბათილად ცნობა და შესაბამისად, ადმინისტრაციული სამართალდარღვევის ოქმების შედგენის დავალება) არსებობს უფლებამოსილი ადმინისტრაციული ორგანოს მიერ მიღებული გადაწყვეტილება და  ამავდროულად, ადმინისტრაციული სამართალდარღვევის ოქმის შედგენის დავალება, ზემოაღნიშნულ სამართლებრივ ნორმათა ანალიზის საფუძველზე, არ მიეკუთვნება სასამართლოს განსახილველ საკითხთა კატეგორიას, სასამართლო მიიჩნევს, რომ არ არსებობს ააიპ საქართველოს ახალგაზრდა იურისტთა ასოციაციის სარჩელის წარმოებაში მიღების </w:t>
            </w:r>
            <w:r w:rsidR="00DE33F9">
              <w:rPr>
                <w:rFonts w:ascii="Sylfaen" w:hAnsi="Sylfaen"/>
                <w:color w:val="000000"/>
                <w:sz w:val="24"/>
                <w:szCs w:val="24"/>
                <w:lang w:val="ka-GE"/>
              </w:rPr>
              <w:lastRenderedPageBreak/>
              <w:t>საფუ</w:t>
            </w:r>
            <w:r w:rsidR="00A95E65">
              <w:rPr>
                <w:rFonts w:ascii="Sylfaen" w:hAnsi="Sylfaen"/>
                <w:color w:val="000000"/>
                <w:sz w:val="24"/>
                <w:szCs w:val="24"/>
                <w:lang w:val="ka-GE"/>
              </w:rPr>
              <w:t>ძ</w:t>
            </w:r>
            <w:r w:rsidR="00DE33F9">
              <w:rPr>
                <w:rFonts w:ascii="Sylfaen" w:hAnsi="Sylfaen"/>
                <w:color w:val="000000"/>
                <w:sz w:val="24"/>
                <w:szCs w:val="24"/>
                <w:lang w:val="ka-GE"/>
              </w:rPr>
              <w:t>ველი და სარჩელი, თანდართული მასალებით, მოსარჩელე მხარეს უნდა და</w:t>
            </w:r>
            <w:r w:rsidR="00A95E65">
              <w:rPr>
                <w:rFonts w:ascii="Sylfaen" w:hAnsi="Sylfaen"/>
                <w:color w:val="000000"/>
                <w:sz w:val="24"/>
                <w:szCs w:val="24"/>
                <w:lang w:val="ka-GE"/>
              </w:rPr>
              <w:t>უბ</w:t>
            </w:r>
            <w:r w:rsidR="00DE33F9">
              <w:rPr>
                <w:rFonts w:ascii="Sylfaen" w:hAnsi="Sylfaen"/>
                <w:color w:val="000000"/>
                <w:sz w:val="24"/>
                <w:szCs w:val="24"/>
                <w:lang w:val="ka-GE"/>
              </w:rPr>
              <w:t>რუნდეს უკან</w:t>
            </w:r>
            <w:r w:rsidR="00A95E65">
              <w:rPr>
                <w:rFonts w:ascii="Sylfaen" w:hAnsi="Sylfaen"/>
                <w:color w:val="000000"/>
                <w:sz w:val="24"/>
                <w:szCs w:val="24"/>
                <w:lang w:val="ka-GE"/>
              </w:rPr>
              <w:t>.</w:t>
            </w:r>
            <w:r w:rsidR="00C61B42">
              <w:rPr>
                <w:rFonts w:ascii="Sylfaen" w:hAnsi="Sylfaen"/>
                <w:color w:val="000000"/>
                <w:sz w:val="24"/>
                <w:szCs w:val="24"/>
                <w:lang w:val="ka-GE"/>
              </w:rPr>
              <w:t>(იხ. დანართი 1)</w:t>
            </w:r>
          </w:p>
          <w:p w14:paraId="2B089E35" w14:textId="426CB6D7" w:rsidR="0095002B" w:rsidRDefault="0095002B" w:rsidP="00B353C2">
            <w:pPr>
              <w:jc w:val="both"/>
              <w:rPr>
                <w:rFonts w:ascii="Sylfaen" w:hAnsi="Sylfaen"/>
                <w:color w:val="000000"/>
                <w:sz w:val="24"/>
                <w:szCs w:val="24"/>
                <w:lang w:val="ka-GE"/>
              </w:rPr>
            </w:pPr>
          </w:p>
          <w:p w14:paraId="5FAF2A2C" w14:textId="78DF47DD" w:rsidR="0095002B" w:rsidRDefault="0095002B" w:rsidP="00B353C2">
            <w:pPr>
              <w:jc w:val="both"/>
              <w:rPr>
                <w:rFonts w:ascii="Sylfaen" w:hAnsi="Sylfaen"/>
                <w:color w:val="000000"/>
                <w:sz w:val="24"/>
                <w:szCs w:val="24"/>
                <w:lang w:val="ka-GE"/>
              </w:rPr>
            </w:pPr>
            <w:r>
              <w:rPr>
                <w:rFonts w:ascii="Sylfaen" w:hAnsi="Sylfaen"/>
                <w:color w:val="000000"/>
                <w:sz w:val="24"/>
                <w:szCs w:val="24"/>
                <w:lang w:val="ka-GE"/>
              </w:rPr>
              <w:t xml:space="preserve">ამის შემდეგ საქართველოს ახალგაზრდა იურისტთა ასოციაციამ საქალაქო სასამართლოს 2018 წლის 17 დეკემბრის N3/7839-18 განჩინება გაასაჩივრა სააპელაციო სასამართლოში. </w:t>
            </w:r>
            <w:r w:rsidR="00CB5648">
              <w:rPr>
                <w:rFonts w:ascii="Sylfaen" w:hAnsi="Sylfaen"/>
                <w:color w:val="000000"/>
                <w:sz w:val="24"/>
                <w:szCs w:val="24"/>
                <w:lang w:val="ka-GE"/>
              </w:rPr>
              <w:t xml:space="preserve">სააპელაციო სასამართლომ 2018 წლის 20 დეკემბრის N3ბ/3423-18 განჩინებით გაიზიარა საქალაქო სასამართლოს დასაბუთება და აღნიშნა, რომ „სასამართლო მხოლოდ იმ შემთხვევაში იქნებოდა უფლებამოსილი ორგანო საქართველოს საარჩევნო კოდექსით გათვალისწინებული სამართალდარღვევის ჩადენის ფაქტთან დაკავშირებით </w:t>
            </w:r>
            <w:r w:rsidR="006C0CEA">
              <w:rPr>
                <w:rFonts w:ascii="Sylfaen" w:hAnsi="Sylfaen"/>
                <w:color w:val="000000"/>
                <w:sz w:val="24"/>
                <w:szCs w:val="24"/>
                <w:lang w:val="ka-GE"/>
              </w:rPr>
              <w:t>შე</w:t>
            </w:r>
            <w:r w:rsidR="00CB5648">
              <w:rPr>
                <w:rFonts w:ascii="Sylfaen" w:hAnsi="Sylfaen"/>
                <w:color w:val="000000"/>
                <w:sz w:val="24"/>
                <w:szCs w:val="24"/>
                <w:lang w:val="ka-GE"/>
              </w:rPr>
              <w:t>ადგენდა ადმინისტრაციულ სამართალდარღვევის ოქმებს, რომელიც „საარჩევნო ადმინისტრაციაში განცხადება/საჩივრის შეტანისა და განხილვის ინსტრუქციის დამტკიცების შესახებ“ საქართველოს ცენტრალური საარჩევნო კომისიის 2012 წლის 2 მარტის N8/2012 წლის დადგენილების შესაბამისად დაუყოვნებლივ გადაეგზავნებოდა თბილისის საქალაქო სასამართლოს ადმინისტრაციულ საქმეთა კოლეგიას.</w:t>
            </w:r>
            <w:r w:rsidR="004C04CF">
              <w:rPr>
                <w:rFonts w:ascii="Sylfaen" w:hAnsi="Sylfaen"/>
                <w:color w:val="000000"/>
                <w:sz w:val="24"/>
                <w:szCs w:val="24"/>
                <w:lang w:val="ka-GE"/>
              </w:rPr>
              <w:t>“</w:t>
            </w:r>
            <w:r w:rsidR="00C61B42">
              <w:rPr>
                <w:rFonts w:ascii="Sylfaen" w:hAnsi="Sylfaen"/>
                <w:color w:val="000000"/>
                <w:sz w:val="24"/>
                <w:szCs w:val="24"/>
                <w:lang w:val="ka-GE"/>
              </w:rPr>
              <w:t>(იხ. დანართი 2)</w:t>
            </w:r>
          </w:p>
          <w:p w14:paraId="2661E1E1" w14:textId="0F04BFCC" w:rsidR="00C61B42" w:rsidRDefault="00C61B42" w:rsidP="00B353C2">
            <w:pPr>
              <w:jc w:val="both"/>
              <w:rPr>
                <w:rFonts w:ascii="Sylfaen" w:hAnsi="Sylfaen"/>
                <w:color w:val="000000"/>
                <w:sz w:val="24"/>
                <w:szCs w:val="24"/>
                <w:lang w:val="ka-GE"/>
              </w:rPr>
            </w:pPr>
          </w:p>
          <w:p w14:paraId="443EA0A5" w14:textId="5EDF491C" w:rsidR="00C61B42" w:rsidRPr="006820C9" w:rsidRDefault="00C61B42" w:rsidP="00B353C2">
            <w:pPr>
              <w:jc w:val="both"/>
              <w:rPr>
                <w:rFonts w:ascii="Sylfaen" w:hAnsi="Sylfaen"/>
                <w:color w:val="000000"/>
                <w:sz w:val="24"/>
                <w:szCs w:val="24"/>
                <w:lang w:val="ka-GE"/>
              </w:rPr>
            </w:pPr>
            <w:r>
              <w:rPr>
                <w:rFonts w:ascii="Sylfaen" w:hAnsi="Sylfaen"/>
                <w:color w:val="000000"/>
                <w:sz w:val="24"/>
                <w:szCs w:val="24"/>
                <w:lang w:val="ka-GE"/>
              </w:rPr>
              <w:t xml:space="preserve">აღნიშნული </w:t>
            </w:r>
            <w:r w:rsidR="001E6039">
              <w:rPr>
                <w:rFonts w:ascii="Sylfaen" w:hAnsi="Sylfaen"/>
                <w:color w:val="000000"/>
                <w:sz w:val="24"/>
                <w:szCs w:val="24"/>
                <w:lang w:val="ka-GE"/>
              </w:rPr>
              <w:t>განჩინებებიდან ირკვევა, რომ საია არის წინამდებარე სარჩელის შემოტანაზე უფლებამოსილი პირი, რადგან მას შეეზღუდა სასამართლოსთვის მიმართვის უფლება</w:t>
            </w:r>
            <w:r w:rsidR="009A2849">
              <w:rPr>
                <w:rFonts w:ascii="Sylfaen" w:hAnsi="Sylfaen"/>
                <w:color w:val="000000"/>
                <w:sz w:val="24"/>
                <w:szCs w:val="24"/>
                <w:lang w:val="ka-GE"/>
              </w:rPr>
              <w:t xml:space="preserve"> - სასამართლოში  </w:t>
            </w:r>
            <w:r w:rsidR="001E6039">
              <w:rPr>
                <w:rFonts w:ascii="Sylfaen" w:hAnsi="Sylfaen"/>
                <w:color w:val="000000"/>
                <w:sz w:val="24"/>
                <w:szCs w:val="24"/>
                <w:lang w:val="ka-GE"/>
              </w:rPr>
              <w:t xml:space="preserve"> გაესაჩივრებინა ცენტრალური საარჩევნო კომისიის მიერ სამართალდარღვევის ოქმის შედგენაზე უარის </w:t>
            </w:r>
            <w:r w:rsidR="005F1BE6">
              <w:rPr>
                <w:rFonts w:ascii="Sylfaen" w:hAnsi="Sylfaen"/>
                <w:color w:val="000000"/>
                <w:sz w:val="24"/>
                <w:szCs w:val="24"/>
                <w:lang w:val="ka-GE"/>
              </w:rPr>
              <w:t>კანონიერების საკითხი</w:t>
            </w:r>
            <w:r w:rsidR="009A2849">
              <w:rPr>
                <w:rFonts w:ascii="Sylfaen" w:hAnsi="Sylfaen"/>
                <w:color w:val="000000"/>
                <w:sz w:val="24"/>
                <w:szCs w:val="24"/>
                <w:lang w:val="ka-GE"/>
              </w:rPr>
              <w:t>.</w:t>
            </w:r>
          </w:p>
          <w:p w14:paraId="57272794" w14:textId="77777777" w:rsidR="003C1E15" w:rsidRPr="00FE2179" w:rsidRDefault="003C1E15" w:rsidP="003C1E15">
            <w:pPr>
              <w:rPr>
                <w:color w:val="000000"/>
                <w:sz w:val="24"/>
                <w:szCs w:val="24"/>
                <w:lang w:val="ka-GE"/>
              </w:rPr>
            </w:pPr>
          </w:p>
          <w:p w14:paraId="1426330F" w14:textId="77777777" w:rsidR="003C1E15" w:rsidRPr="00FE2179" w:rsidRDefault="003C1E15" w:rsidP="003C1E15">
            <w:pPr>
              <w:rPr>
                <w:color w:val="000000"/>
                <w:sz w:val="24"/>
                <w:szCs w:val="24"/>
                <w:lang w:val="ka-GE"/>
              </w:rPr>
            </w:pPr>
            <w:r w:rsidRPr="00FE2179">
              <w:rPr>
                <w:rFonts w:ascii="Sylfaen" w:hAnsi="Sylfaen" w:cs="Sylfaen"/>
                <w:color w:val="000000"/>
                <w:sz w:val="24"/>
                <w:szCs w:val="24"/>
                <w:lang w:val="ka-GE"/>
              </w:rPr>
              <w:t>გ</w:t>
            </w:r>
            <w:r w:rsidRPr="00FE2179">
              <w:rPr>
                <w:color w:val="000000"/>
                <w:sz w:val="24"/>
                <w:szCs w:val="24"/>
                <w:lang w:val="ka-GE"/>
              </w:rPr>
              <w:t>)</w:t>
            </w:r>
            <w:r w:rsidRPr="00FE2179">
              <w:rPr>
                <w:rFonts w:ascii="Sylfaen" w:hAnsi="Sylfaen" w:cs="Sylfaen"/>
                <w:color w:val="000000"/>
                <w:sz w:val="24"/>
                <w:szCs w:val="24"/>
                <w:lang w:val="ka-GE"/>
              </w:rPr>
              <w:t>სარჩელში</w:t>
            </w:r>
            <w:r w:rsidRPr="00FE2179">
              <w:rPr>
                <w:color w:val="000000"/>
                <w:sz w:val="24"/>
                <w:szCs w:val="24"/>
                <w:lang w:val="ka-GE"/>
              </w:rPr>
              <w:t xml:space="preserve"> </w:t>
            </w:r>
            <w:r w:rsidRPr="00FE2179">
              <w:rPr>
                <w:rFonts w:ascii="Sylfaen" w:hAnsi="Sylfaen" w:cs="Sylfaen"/>
                <w:color w:val="000000"/>
                <w:sz w:val="24"/>
                <w:szCs w:val="24"/>
                <w:lang w:val="ka-GE"/>
              </w:rPr>
              <w:t>მითითებული</w:t>
            </w:r>
            <w:r w:rsidRPr="00FE2179">
              <w:rPr>
                <w:color w:val="000000"/>
                <w:sz w:val="24"/>
                <w:szCs w:val="24"/>
                <w:lang w:val="ka-GE"/>
              </w:rPr>
              <w:t xml:space="preserve"> </w:t>
            </w:r>
            <w:r w:rsidRPr="00FE2179">
              <w:rPr>
                <w:rFonts w:ascii="Sylfaen" w:hAnsi="Sylfaen" w:cs="Sylfaen"/>
                <w:color w:val="000000"/>
                <w:sz w:val="24"/>
                <w:szCs w:val="24"/>
                <w:lang w:val="ka-GE"/>
              </w:rPr>
              <w:t>საკითხი</w:t>
            </w:r>
            <w:r w:rsidRPr="00FE2179">
              <w:rPr>
                <w:color w:val="000000"/>
                <w:sz w:val="24"/>
                <w:szCs w:val="24"/>
                <w:lang w:val="ka-GE"/>
              </w:rPr>
              <w:t xml:space="preserve"> </w:t>
            </w:r>
            <w:r w:rsidRPr="00FE2179">
              <w:rPr>
                <w:rFonts w:ascii="Sylfaen" w:hAnsi="Sylfaen" w:cs="Sylfaen"/>
                <w:color w:val="000000"/>
                <w:sz w:val="24"/>
                <w:szCs w:val="24"/>
                <w:lang w:val="ka-GE"/>
              </w:rPr>
              <w:t>არის</w:t>
            </w:r>
            <w:r w:rsidRPr="00FE2179">
              <w:rPr>
                <w:color w:val="000000"/>
                <w:sz w:val="24"/>
                <w:szCs w:val="24"/>
                <w:lang w:val="ka-GE"/>
              </w:rPr>
              <w:t xml:space="preserve"> </w:t>
            </w:r>
            <w:r w:rsidRPr="00FE2179">
              <w:rPr>
                <w:rFonts w:ascii="Sylfaen" w:hAnsi="Sylfaen" w:cs="Sylfaen"/>
                <w:color w:val="000000"/>
                <w:sz w:val="24"/>
                <w:szCs w:val="24"/>
                <w:lang w:val="ka-GE"/>
              </w:rPr>
              <w:t>საკონსტიტუციო</w:t>
            </w:r>
            <w:r w:rsidRPr="00FE2179">
              <w:rPr>
                <w:color w:val="000000"/>
                <w:sz w:val="24"/>
                <w:szCs w:val="24"/>
                <w:lang w:val="ka-GE"/>
              </w:rPr>
              <w:t xml:space="preserve"> </w:t>
            </w:r>
            <w:r w:rsidRPr="00FE2179">
              <w:rPr>
                <w:rFonts w:ascii="Sylfaen" w:hAnsi="Sylfaen" w:cs="Sylfaen"/>
                <w:color w:val="000000"/>
                <w:sz w:val="24"/>
                <w:szCs w:val="24"/>
                <w:lang w:val="ka-GE"/>
              </w:rPr>
              <w:t>სასამართლოს</w:t>
            </w:r>
            <w:r w:rsidRPr="00FE2179">
              <w:rPr>
                <w:color w:val="000000"/>
                <w:sz w:val="24"/>
                <w:szCs w:val="24"/>
                <w:lang w:val="ka-GE"/>
              </w:rPr>
              <w:t xml:space="preserve"> </w:t>
            </w:r>
            <w:r w:rsidRPr="00FE2179">
              <w:rPr>
                <w:rFonts w:ascii="Sylfaen" w:hAnsi="Sylfaen" w:cs="Sylfaen"/>
                <w:color w:val="000000"/>
                <w:sz w:val="24"/>
                <w:szCs w:val="24"/>
                <w:lang w:val="ka-GE"/>
              </w:rPr>
              <w:t>განსჯადი</w:t>
            </w:r>
            <w:r w:rsidRPr="00FE2179">
              <w:rPr>
                <w:color w:val="000000"/>
                <w:sz w:val="24"/>
                <w:szCs w:val="24"/>
                <w:lang w:val="ka-GE"/>
              </w:rPr>
              <w:t>;</w:t>
            </w:r>
          </w:p>
          <w:p w14:paraId="18817535" w14:textId="77777777" w:rsidR="003C1E15" w:rsidRPr="00FE2179" w:rsidRDefault="003C1E15" w:rsidP="003C1E15">
            <w:pPr>
              <w:rPr>
                <w:color w:val="000000"/>
                <w:sz w:val="24"/>
                <w:szCs w:val="24"/>
                <w:lang w:val="ka-GE"/>
              </w:rPr>
            </w:pPr>
          </w:p>
          <w:p w14:paraId="397A32EB" w14:textId="77777777" w:rsidR="003C1E15" w:rsidRPr="00FE2179" w:rsidRDefault="003C1E15" w:rsidP="003C1E15">
            <w:pPr>
              <w:rPr>
                <w:color w:val="000000"/>
                <w:sz w:val="24"/>
                <w:szCs w:val="24"/>
                <w:lang w:val="ka-GE"/>
              </w:rPr>
            </w:pPr>
            <w:r w:rsidRPr="00FE2179">
              <w:rPr>
                <w:rFonts w:ascii="Sylfaen" w:hAnsi="Sylfaen" w:cs="Sylfaen"/>
                <w:color w:val="000000"/>
                <w:sz w:val="24"/>
                <w:szCs w:val="24"/>
                <w:lang w:val="ka-GE"/>
              </w:rPr>
              <w:t>დ</w:t>
            </w:r>
            <w:r w:rsidRPr="00FE2179">
              <w:rPr>
                <w:color w:val="000000"/>
                <w:sz w:val="24"/>
                <w:szCs w:val="24"/>
                <w:lang w:val="ka-GE"/>
              </w:rPr>
              <w:t xml:space="preserve">) </w:t>
            </w:r>
            <w:r w:rsidRPr="00FE2179">
              <w:rPr>
                <w:rFonts w:ascii="Sylfaen" w:hAnsi="Sylfaen" w:cs="Sylfaen"/>
                <w:color w:val="000000"/>
                <w:sz w:val="24"/>
                <w:szCs w:val="24"/>
                <w:lang w:val="ka-GE"/>
              </w:rPr>
              <w:t>სარჩელში</w:t>
            </w:r>
            <w:r w:rsidRPr="00FE2179">
              <w:rPr>
                <w:color w:val="000000"/>
                <w:sz w:val="24"/>
                <w:szCs w:val="24"/>
                <w:lang w:val="ka-GE"/>
              </w:rPr>
              <w:t xml:space="preserve"> </w:t>
            </w:r>
            <w:r w:rsidRPr="00FE2179">
              <w:rPr>
                <w:rFonts w:ascii="Sylfaen" w:hAnsi="Sylfaen" w:cs="Sylfaen"/>
                <w:color w:val="000000"/>
                <w:sz w:val="24"/>
                <w:szCs w:val="24"/>
                <w:lang w:val="ka-GE"/>
              </w:rPr>
              <w:t>მითითებული</w:t>
            </w:r>
            <w:r w:rsidRPr="00FE2179">
              <w:rPr>
                <w:color w:val="000000"/>
                <w:sz w:val="24"/>
                <w:szCs w:val="24"/>
                <w:lang w:val="ka-GE"/>
              </w:rPr>
              <w:t xml:space="preserve"> </w:t>
            </w:r>
            <w:r w:rsidRPr="00FE2179">
              <w:rPr>
                <w:rFonts w:ascii="Sylfaen" w:hAnsi="Sylfaen" w:cs="Sylfaen"/>
                <w:color w:val="000000"/>
                <w:sz w:val="24"/>
                <w:szCs w:val="24"/>
                <w:lang w:val="ka-GE"/>
              </w:rPr>
              <w:t>საკითხი</w:t>
            </w:r>
            <w:r w:rsidRPr="00FE2179">
              <w:rPr>
                <w:color w:val="000000"/>
                <w:sz w:val="24"/>
                <w:szCs w:val="24"/>
                <w:lang w:val="ka-GE"/>
              </w:rPr>
              <w:t xml:space="preserve"> </w:t>
            </w:r>
            <w:r w:rsidRPr="00FE2179">
              <w:rPr>
                <w:rFonts w:ascii="Sylfaen" w:hAnsi="Sylfaen" w:cs="Sylfaen"/>
                <w:color w:val="000000"/>
                <w:sz w:val="24"/>
                <w:szCs w:val="24"/>
                <w:lang w:val="ka-GE"/>
              </w:rPr>
              <w:t>არ</w:t>
            </w:r>
            <w:r w:rsidRPr="00FE2179">
              <w:rPr>
                <w:color w:val="000000"/>
                <w:sz w:val="24"/>
                <w:szCs w:val="24"/>
                <w:lang w:val="ka-GE"/>
              </w:rPr>
              <w:t xml:space="preserve"> </w:t>
            </w:r>
            <w:r w:rsidRPr="00FE2179">
              <w:rPr>
                <w:rFonts w:ascii="Sylfaen" w:hAnsi="Sylfaen" w:cs="Sylfaen"/>
                <w:color w:val="000000"/>
                <w:sz w:val="24"/>
                <w:szCs w:val="24"/>
                <w:lang w:val="ka-GE"/>
              </w:rPr>
              <w:t>არის</w:t>
            </w:r>
            <w:r w:rsidRPr="00FE2179">
              <w:rPr>
                <w:color w:val="000000"/>
                <w:sz w:val="24"/>
                <w:szCs w:val="24"/>
                <w:lang w:val="ka-GE"/>
              </w:rPr>
              <w:t xml:space="preserve"> </w:t>
            </w:r>
            <w:r w:rsidRPr="00FE2179">
              <w:rPr>
                <w:rFonts w:ascii="Sylfaen" w:hAnsi="Sylfaen" w:cs="Sylfaen"/>
                <w:color w:val="000000"/>
                <w:sz w:val="24"/>
                <w:szCs w:val="24"/>
                <w:lang w:val="ka-GE"/>
              </w:rPr>
              <w:t>გადაწყვეტილი</w:t>
            </w:r>
            <w:r w:rsidRPr="00FE2179">
              <w:rPr>
                <w:color w:val="000000"/>
                <w:sz w:val="24"/>
                <w:szCs w:val="24"/>
                <w:lang w:val="ka-GE"/>
              </w:rPr>
              <w:t xml:space="preserve"> </w:t>
            </w:r>
            <w:r w:rsidRPr="00FE2179">
              <w:rPr>
                <w:rFonts w:ascii="Sylfaen" w:hAnsi="Sylfaen" w:cs="Sylfaen"/>
                <w:color w:val="000000"/>
                <w:sz w:val="24"/>
                <w:szCs w:val="24"/>
                <w:lang w:val="ka-GE"/>
              </w:rPr>
              <w:t>საკონსტიტუციო</w:t>
            </w:r>
            <w:r w:rsidRPr="00FE2179">
              <w:rPr>
                <w:color w:val="000000"/>
                <w:sz w:val="24"/>
                <w:szCs w:val="24"/>
                <w:lang w:val="ka-GE"/>
              </w:rPr>
              <w:t xml:space="preserve"> </w:t>
            </w:r>
            <w:r w:rsidRPr="00FE2179">
              <w:rPr>
                <w:rFonts w:ascii="Sylfaen" w:hAnsi="Sylfaen" w:cs="Sylfaen"/>
                <w:color w:val="000000"/>
                <w:sz w:val="24"/>
                <w:szCs w:val="24"/>
                <w:lang w:val="ka-GE"/>
              </w:rPr>
              <w:t>სასამართლოს</w:t>
            </w:r>
            <w:r w:rsidRPr="00FE2179">
              <w:rPr>
                <w:color w:val="000000"/>
                <w:sz w:val="24"/>
                <w:szCs w:val="24"/>
                <w:lang w:val="ka-GE"/>
              </w:rPr>
              <w:t xml:space="preserve"> </w:t>
            </w:r>
            <w:r w:rsidRPr="00FE2179">
              <w:rPr>
                <w:rFonts w:ascii="Sylfaen" w:hAnsi="Sylfaen" w:cs="Sylfaen"/>
                <w:color w:val="000000"/>
                <w:sz w:val="24"/>
                <w:szCs w:val="24"/>
                <w:lang w:val="ka-GE"/>
              </w:rPr>
              <w:t>მიერ</w:t>
            </w:r>
            <w:r w:rsidRPr="00FE2179">
              <w:rPr>
                <w:color w:val="000000"/>
                <w:sz w:val="24"/>
                <w:szCs w:val="24"/>
                <w:lang w:val="ka-GE"/>
              </w:rPr>
              <w:t>;</w:t>
            </w:r>
          </w:p>
          <w:p w14:paraId="200031D9" w14:textId="77777777" w:rsidR="003C1E15" w:rsidRPr="00FE2179" w:rsidRDefault="003C1E15" w:rsidP="003C1E15">
            <w:pPr>
              <w:rPr>
                <w:color w:val="000000"/>
                <w:sz w:val="24"/>
                <w:szCs w:val="24"/>
                <w:lang w:val="ka-GE"/>
              </w:rPr>
            </w:pPr>
          </w:p>
          <w:p w14:paraId="42850874" w14:textId="77777777" w:rsidR="003C1E15" w:rsidRPr="00FE2179" w:rsidRDefault="003C1E15" w:rsidP="003C1E15">
            <w:pPr>
              <w:rPr>
                <w:color w:val="000000"/>
                <w:sz w:val="24"/>
                <w:szCs w:val="24"/>
                <w:lang w:val="ka-GE"/>
              </w:rPr>
            </w:pPr>
            <w:r w:rsidRPr="00FE2179">
              <w:rPr>
                <w:rFonts w:ascii="Sylfaen" w:hAnsi="Sylfaen" w:cs="Sylfaen"/>
                <w:color w:val="000000"/>
                <w:sz w:val="24"/>
                <w:szCs w:val="24"/>
                <w:lang w:val="ka-GE"/>
              </w:rPr>
              <w:t>ე</w:t>
            </w:r>
            <w:r w:rsidRPr="00FE2179">
              <w:rPr>
                <w:color w:val="000000"/>
                <w:sz w:val="24"/>
                <w:szCs w:val="24"/>
                <w:lang w:val="ka-GE"/>
              </w:rPr>
              <w:t xml:space="preserve">) </w:t>
            </w:r>
            <w:r w:rsidRPr="00FE2179">
              <w:rPr>
                <w:rFonts w:ascii="Sylfaen" w:hAnsi="Sylfaen" w:cs="Sylfaen"/>
                <w:color w:val="000000"/>
                <w:sz w:val="24"/>
                <w:szCs w:val="24"/>
                <w:lang w:val="ka-GE"/>
              </w:rPr>
              <w:t>სარჩელში</w:t>
            </w:r>
            <w:r w:rsidRPr="00FE2179">
              <w:rPr>
                <w:color w:val="000000"/>
                <w:sz w:val="24"/>
                <w:szCs w:val="24"/>
                <w:lang w:val="ka-GE"/>
              </w:rPr>
              <w:t xml:space="preserve"> </w:t>
            </w:r>
            <w:r w:rsidRPr="00FE2179">
              <w:rPr>
                <w:rFonts w:ascii="Sylfaen" w:hAnsi="Sylfaen" w:cs="Sylfaen"/>
                <w:color w:val="000000"/>
                <w:sz w:val="24"/>
                <w:szCs w:val="24"/>
                <w:lang w:val="ka-GE"/>
              </w:rPr>
              <w:t>მითითებული</w:t>
            </w:r>
            <w:r w:rsidRPr="00FE2179">
              <w:rPr>
                <w:color w:val="000000"/>
                <w:sz w:val="24"/>
                <w:szCs w:val="24"/>
                <w:lang w:val="ka-GE"/>
              </w:rPr>
              <w:t xml:space="preserve"> </w:t>
            </w:r>
            <w:r w:rsidRPr="00FE2179">
              <w:rPr>
                <w:rFonts w:ascii="Sylfaen" w:hAnsi="Sylfaen" w:cs="Sylfaen"/>
                <w:color w:val="000000"/>
                <w:sz w:val="24"/>
                <w:szCs w:val="24"/>
                <w:lang w:val="ka-GE"/>
              </w:rPr>
              <w:t>საკითხი</w:t>
            </w:r>
            <w:r w:rsidRPr="00FE2179">
              <w:rPr>
                <w:color w:val="000000"/>
                <w:sz w:val="24"/>
                <w:szCs w:val="24"/>
                <w:lang w:val="ka-GE"/>
              </w:rPr>
              <w:t xml:space="preserve"> </w:t>
            </w:r>
            <w:r w:rsidRPr="00FE2179">
              <w:rPr>
                <w:rFonts w:ascii="Sylfaen" w:hAnsi="Sylfaen" w:cs="Sylfaen"/>
                <w:color w:val="000000"/>
                <w:sz w:val="24"/>
                <w:szCs w:val="24"/>
                <w:lang w:val="ka-GE"/>
              </w:rPr>
              <w:t>რეგულირდება</w:t>
            </w:r>
            <w:r w:rsidRPr="00FE2179">
              <w:rPr>
                <w:color w:val="000000"/>
                <w:sz w:val="24"/>
                <w:szCs w:val="24"/>
                <w:lang w:val="ka-GE"/>
              </w:rPr>
              <w:t xml:space="preserve"> </w:t>
            </w:r>
            <w:r w:rsidRPr="00FE2179">
              <w:rPr>
                <w:rFonts w:ascii="Sylfaen" w:hAnsi="Sylfaen" w:cs="Sylfaen"/>
                <w:color w:val="000000"/>
                <w:sz w:val="24"/>
                <w:szCs w:val="24"/>
                <w:lang w:val="ka-GE"/>
              </w:rPr>
              <w:t>კონსტიტუციის</w:t>
            </w:r>
            <w:r w:rsidRPr="00FE2179">
              <w:rPr>
                <w:color w:val="000000"/>
                <w:sz w:val="24"/>
                <w:szCs w:val="24"/>
                <w:lang w:val="ka-GE"/>
              </w:rPr>
              <w:t xml:space="preserve"> </w:t>
            </w:r>
            <w:r w:rsidRPr="00FE2179">
              <w:rPr>
                <w:rFonts w:ascii="Sylfaen" w:hAnsi="Sylfaen" w:cs="Sylfaen"/>
                <w:color w:val="000000"/>
                <w:sz w:val="24"/>
                <w:szCs w:val="24"/>
                <w:lang w:val="ka-GE"/>
              </w:rPr>
              <w:t>მე</w:t>
            </w:r>
            <w:r w:rsidRPr="00FE2179">
              <w:rPr>
                <w:color w:val="000000"/>
                <w:sz w:val="24"/>
                <w:szCs w:val="24"/>
                <w:lang w:val="ka-GE"/>
              </w:rPr>
              <w:t xml:space="preserve">-19 </w:t>
            </w:r>
            <w:r w:rsidRPr="00FE2179">
              <w:rPr>
                <w:rFonts w:ascii="Sylfaen" w:hAnsi="Sylfaen" w:cs="Sylfaen"/>
                <w:color w:val="000000"/>
                <w:sz w:val="24"/>
                <w:szCs w:val="24"/>
                <w:lang w:val="ka-GE"/>
              </w:rPr>
              <w:t>მუხლის</w:t>
            </w:r>
            <w:r w:rsidRPr="00FE2179">
              <w:rPr>
                <w:color w:val="000000"/>
                <w:sz w:val="24"/>
                <w:szCs w:val="24"/>
                <w:lang w:val="ka-GE"/>
              </w:rPr>
              <w:t xml:space="preserve"> </w:t>
            </w:r>
            <w:r w:rsidRPr="00FE2179">
              <w:rPr>
                <w:rFonts w:ascii="Sylfaen" w:hAnsi="Sylfaen" w:cs="Sylfaen"/>
                <w:color w:val="000000"/>
                <w:sz w:val="24"/>
                <w:szCs w:val="24"/>
                <w:lang w:val="ka-GE"/>
              </w:rPr>
              <w:t>პირველი</w:t>
            </w:r>
            <w:r w:rsidRPr="00FE2179">
              <w:rPr>
                <w:color w:val="000000"/>
                <w:sz w:val="24"/>
                <w:szCs w:val="24"/>
                <w:lang w:val="ka-GE"/>
              </w:rPr>
              <w:t xml:space="preserve"> </w:t>
            </w:r>
            <w:r w:rsidRPr="00FE2179">
              <w:rPr>
                <w:rFonts w:ascii="Sylfaen" w:hAnsi="Sylfaen" w:cs="Sylfaen"/>
                <w:color w:val="000000"/>
                <w:sz w:val="24"/>
                <w:szCs w:val="24"/>
                <w:lang w:val="ka-GE"/>
              </w:rPr>
              <w:t>პუნქტით</w:t>
            </w:r>
            <w:r w:rsidRPr="00FE2179">
              <w:rPr>
                <w:color w:val="000000"/>
                <w:sz w:val="24"/>
                <w:szCs w:val="24"/>
                <w:lang w:val="ka-GE"/>
              </w:rPr>
              <w:t xml:space="preserve">;  </w:t>
            </w:r>
          </w:p>
          <w:p w14:paraId="04A233F1" w14:textId="77777777" w:rsidR="003C1E15" w:rsidRPr="00FE2179" w:rsidRDefault="003C1E15" w:rsidP="003C1E15">
            <w:pPr>
              <w:rPr>
                <w:color w:val="000000"/>
                <w:sz w:val="24"/>
                <w:szCs w:val="24"/>
                <w:lang w:val="ka-GE"/>
              </w:rPr>
            </w:pPr>
          </w:p>
          <w:p w14:paraId="5DAF6A4F" w14:textId="77777777" w:rsidR="003C1E15" w:rsidRPr="00FE2179" w:rsidRDefault="003C1E15" w:rsidP="003C1E15">
            <w:pPr>
              <w:rPr>
                <w:color w:val="000000"/>
                <w:sz w:val="24"/>
                <w:szCs w:val="24"/>
                <w:lang w:val="ka-GE"/>
              </w:rPr>
            </w:pPr>
            <w:r w:rsidRPr="00FE2179">
              <w:rPr>
                <w:rFonts w:ascii="Sylfaen" w:hAnsi="Sylfaen" w:cs="Sylfaen"/>
                <w:color w:val="000000"/>
                <w:sz w:val="24"/>
                <w:szCs w:val="24"/>
                <w:lang w:val="ka-GE"/>
              </w:rPr>
              <w:t>ვ</w:t>
            </w:r>
            <w:r w:rsidRPr="00FE2179">
              <w:rPr>
                <w:color w:val="000000"/>
                <w:sz w:val="24"/>
                <w:szCs w:val="24"/>
                <w:lang w:val="ka-GE"/>
              </w:rPr>
              <w:t xml:space="preserve">) </w:t>
            </w:r>
            <w:r w:rsidRPr="00FE2179">
              <w:rPr>
                <w:rFonts w:ascii="Sylfaen" w:hAnsi="Sylfaen" w:cs="Sylfaen"/>
                <w:color w:val="000000"/>
                <w:sz w:val="24"/>
                <w:szCs w:val="24"/>
                <w:lang w:val="ka-GE"/>
              </w:rPr>
              <w:t>კანონით</w:t>
            </w:r>
            <w:r w:rsidRPr="00FE2179">
              <w:rPr>
                <w:color w:val="000000"/>
                <w:sz w:val="24"/>
                <w:szCs w:val="24"/>
                <w:lang w:val="ka-GE"/>
              </w:rPr>
              <w:t xml:space="preserve"> </w:t>
            </w:r>
            <w:r w:rsidRPr="00FE2179">
              <w:rPr>
                <w:rFonts w:ascii="Sylfaen" w:hAnsi="Sylfaen" w:cs="Sylfaen"/>
                <w:color w:val="000000"/>
                <w:sz w:val="24"/>
                <w:szCs w:val="24"/>
                <w:lang w:val="ka-GE"/>
              </w:rPr>
              <w:t>არ</w:t>
            </w:r>
            <w:r w:rsidRPr="00FE2179">
              <w:rPr>
                <w:color w:val="000000"/>
                <w:sz w:val="24"/>
                <w:szCs w:val="24"/>
                <w:lang w:val="ka-GE"/>
              </w:rPr>
              <w:t xml:space="preserve"> </w:t>
            </w:r>
            <w:r w:rsidRPr="00FE2179">
              <w:rPr>
                <w:rFonts w:ascii="Sylfaen" w:hAnsi="Sylfaen" w:cs="Sylfaen"/>
                <w:color w:val="000000"/>
                <w:sz w:val="24"/>
                <w:szCs w:val="24"/>
                <w:lang w:val="ka-GE"/>
              </w:rPr>
              <w:t>არის</w:t>
            </w:r>
            <w:r w:rsidRPr="00FE2179">
              <w:rPr>
                <w:color w:val="000000"/>
                <w:sz w:val="24"/>
                <w:szCs w:val="24"/>
                <w:lang w:val="ka-GE"/>
              </w:rPr>
              <w:t xml:space="preserve"> </w:t>
            </w:r>
            <w:r w:rsidRPr="00FE2179">
              <w:rPr>
                <w:rFonts w:ascii="Sylfaen" w:hAnsi="Sylfaen" w:cs="Sylfaen"/>
                <w:color w:val="000000"/>
                <w:sz w:val="24"/>
                <w:szCs w:val="24"/>
                <w:lang w:val="ka-GE"/>
              </w:rPr>
              <w:t>დადგენილი</w:t>
            </w:r>
            <w:r w:rsidRPr="00FE2179">
              <w:rPr>
                <w:color w:val="000000"/>
                <w:sz w:val="24"/>
                <w:szCs w:val="24"/>
                <w:lang w:val="ka-GE"/>
              </w:rPr>
              <w:t xml:space="preserve"> </w:t>
            </w:r>
            <w:r w:rsidRPr="00FE2179">
              <w:rPr>
                <w:rFonts w:ascii="Sylfaen" w:hAnsi="Sylfaen" w:cs="Sylfaen"/>
                <w:color w:val="000000"/>
                <w:sz w:val="24"/>
                <w:szCs w:val="24"/>
                <w:lang w:val="ka-GE"/>
              </w:rPr>
              <w:t>სასარჩელო</w:t>
            </w:r>
            <w:r w:rsidRPr="00FE2179">
              <w:rPr>
                <w:color w:val="000000"/>
                <w:sz w:val="24"/>
                <w:szCs w:val="24"/>
                <w:lang w:val="ka-GE"/>
              </w:rPr>
              <w:t xml:space="preserve"> </w:t>
            </w:r>
            <w:r w:rsidRPr="00FE2179">
              <w:rPr>
                <w:rFonts w:ascii="Sylfaen" w:hAnsi="Sylfaen" w:cs="Sylfaen"/>
                <w:color w:val="000000"/>
                <w:sz w:val="24"/>
                <w:szCs w:val="24"/>
                <w:lang w:val="ka-GE"/>
              </w:rPr>
              <w:t>ხანდაზმულობის</w:t>
            </w:r>
            <w:r w:rsidRPr="00FE2179">
              <w:rPr>
                <w:color w:val="000000"/>
                <w:sz w:val="24"/>
                <w:szCs w:val="24"/>
                <w:lang w:val="ka-GE"/>
              </w:rPr>
              <w:t xml:space="preserve"> </w:t>
            </w:r>
            <w:r w:rsidRPr="00FE2179">
              <w:rPr>
                <w:rFonts w:ascii="Sylfaen" w:hAnsi="Sylfaen" w:cs="Sylfaen"/>
                <w:color w:val="000000"/>
                <w:sz w:val="24"/>
                <w:szCs w:val="24"/>
                <w:lang w:val="ka-GE"/>
              </w:rPr>
              <w:t>ვადა</w:t>
            </w:r>
            <w:r w:rsidRPr="00FE2179">
              <w:rPr>
                <w:color w:val="000000"/>
                <w:sz w:val="24"/>
                <w:szCs w:val="24"/>
                <w:lang w:val="ka-GE"/>
              </w:rPr>
              <w:t xml:space="preserve"> </w:t>
            </w:r>
            <w:r w:rsidRPr="00FE2179">
              <w:rPr>
                <w:rFonts w:ascii="Sylfaen" w:hAnsi="Sylfaen" w:cs="Sylfaen"/>
                <w:color w:val="000000"/>
                <w:sz w:val="24"/>
                <w:szCs w:val="24"/>
                <w:lang w:val="ka-GE"/>
              </w:rPr>
              <w:t>აღნიშნული</w:t>
            </w:r>
            <w:r w:rsidRPr="00FE2179">
              <w:rPr>
                <w:color w:val="000000"/>
                <w:sz w:val="24"/>
                <w:szCs w:val="24"/>
                <w:lang w:val="ka-GE"/>
              </w:rPr>
              <w:t xml:space="preserve"> </w:t>
            </w:r>
            <w:r w:rsidRPr="00FE2179">
              <w:rPr>
                <w:rFonts w:ascii="Sylfaen" w:hAnsi="Sylfaen" w:cs="Sylfaen"/>
                <w:color w:val="000000"/>
                <w:sz w:val="24"/>
                <w:szCs w:val="24"/>
                <w:lang w:val="ka-GE"/>
              </w:rPr>
              <w:t>ტიპის</w:t>
            </w:r>
            <w:r w:rsidRPr="00FE2179">
              <w:rPr>
                <w:color w:val="000000"/>
                <w:sz w:val="24"/>
                <w:szCs w:val="24"/>
                <w:lang w:val="ka-GE"/>
              </w:rPr>
              <w:t xml:space="preserve"> </w:t>
            </w:r>
            <w:r w:rsidRPr="00FE2179">
              <w:rPr>
                <w:rFonts w:ascii="Sylfaen" w:hAnsi="Sylfaen" w:cs="Sylfaen"/>
                <w:color w:val="000000"/>
                <w:sz w:val="24"/>
                <w:szCs w:val="24"/>
                <w:lang w:val="ka-GE"/>
              </w:rPr>
              <w:t>დავისათვის</w:t>
            </w:r>
            <w:r w:rsidRPr="00FE2179">
              <w:rPr>
                <w:color w:val="000000"/>
                <w:sz w:val="24"/>
                <w:szCs w:val="24"/>
                <w:lang w:val="ka-GE"/>
              </w:rPr>
              <w:t xml:space="preserve"> </w:t>
            </w:r>
            <w:r w:rsidRPr="00FE2179">
              <w:rPr>
                <w:rFonts w:ascii="Sylfaen" w:hAnsi="Sylfaen" w:cs="Sylfaen"/>
                <w:color w:val="000000"/>
                <w:sz w:val="24"/>
                <w:szCs w:val="24"/>
                <w:lang w:val="ka-GE"/>
              </w:rPr>
              <w:t>და</w:t>
            </w:r>
            <w:r w:rsidRPr="00FE2179">
              <w:rPr>
                <w:color w:val="000000"/>
                <w:sz w:val="24"/>
                <w:szCs w:val="24"/>
                <w:lang w:val="ka-GE"/>
              </w:rPr>
              <w:t xml:space="preserve"> </w:t>
            </w:r>
            <w:r w:rsidRPr="00FE2179">
              <w:rPr>
                <w:rFonts w:ascii="Sylfaen" w:hAnsi="Sylfaen" w:cs="Sylfaen"/>
                <w:color w:val="000000"/>
                <w:sz w:val="24"/>
                <w:szCs w:val="24"/>
                <w:lang w:val="ka-GE"/>
              </w:rPr>
              <w:t>შესაბამისად</w:t>
            </w:r>
            <w:r w:rsidRPr="00FE2179">
              <w:rPr>
                <w:color w:val="000000"/>
                <w:sz w:val="24"/>
                <w:szCs w:val="24"/>
                <w:lang w:val="ka-GE"/>
              </w:rPr>
              <w:t xml:space="preserve">, </w:t>
            </w:r>
            <w:r w:rsidRPr="00FE2179">
              <w:rPr>
                <w:rFonts w:ascii="Sylfaen" w:hAnsi="Sylfaen" w:cs="Sylfaen"/>
                <w:color w:val="000000"/>
                <w:sz w:val="24"/>
                <w:szCs w:val="24"/>
                <w:lang w:val="ka-GE"/>
              </w:rPr>
              <w:t>არც</w:t>
            </w:r>
            <w:r w:rsidRPr="00FE2179">
              <w:rPr>
                <w:color w:val="000000"/>
                <w:sz w:val="24"/>
                <w:szCs w:val="24"/>
                <w:lang w:val="ka-GE"/>
              </w:rPr>
              <w:t xml:space="preserve"> </w:t>
            </w:r>
            <w:r w:rsidRPr="00FE2179">
              <w:rPr>
                <w:rFonts w:ascii="Sylfaen" w:hAnsi="Sylfaen" w:cs="Sylfaen"/>
                <w:color w:val="000000"/>
                <w:sz w:val="24"/>
                <w:szCs w:val="24"/>
                <w:lang w:val="ka-GE"/>
              </w:rPr>
              <w:t>მისი</w:t>
            </w:r>
            <w:r w:rsidRPr="00FE2179">
              <w:rPr>
                <w:color w:val="000000"/>
                <w:sz w:val="24"/>
                <w:szCs w:val="24"/>
                <w:lang w:val="ka-GE"/>
              </w:rPr>
              <w:t xml:space="preserve"> </w:t>
            </w:r>
            <w:r w:rsidRPr="00FE2179">
              <w:rPr>
                <w:rFonts w:ascii="Sylfaen" w:hAnsi="Sylfaen" w:cs="Sylfaen"/>
                <w:color w:val="000000"/>
                <w:sz w:val="24"/>
                <w:szCs w:val="24"/>
                <w:lang w:val="ka-GE"/>
              </w:rPr>
              <w:t>არასაპატიო</w:t>
            </w:r>
            <w:r w:rsidRPr="00FE2179">
              <w:rPr>
                <w:color w:val="000000"/>
                <w:sz w:val="24"/>
                <w:szCs w:val="24"/>
                <w:lang w:val="ka-GE"/>
              </w:rPr>
              <w:t xml:space="preserve"> </w:t>
            </w:r>
            <w:r w:rsidRPr="00FE2179">
              <w:rPr>
                <w:rFonts w:ascii="Sylfaen" w:hAnsi="Sylfaen" w:cs="Sylfaen"/>
                <w:color w:val="000000"/>
                <w:sz w:val="24"/>
                <w:szCs w:val="24"/>
                <w:lang w:val="ka-GE"/>
              </w:rPr>
              <w:t>მიზეზით</w:t>
            </w:r>
            <w:r w:rsidRPr="00FE2179">
              <w:rPr>
                <w:color w:val="000000"/>
                <w:sz w:val="24"/>
                <w:szCs w:val="24"/>
                <w:lang w:val="ka-GE"/>
              </w:rPr>
              <w:t xml:space="preserve"> </w:t>
            </w:r>
            <w:r w:rsidRPr="00FE2179">
              <w:rPr>
                <w:rFonts w:ascii="Sylfaen" w:hAnsi="Sylfaen" w:cs="Sylfaen"/>
                <w:color w:val="000000"/>
                <w:sz w:val="24"/>
                <w:szCs w:val="24"/>
                <w:lang w:val="ka-GE"/>
              </w:rPr>
              <w:t>გაშვების</w:t>
            </w:r>
            <w:r w:rsidRPr="00FE2179">
              <w:rPr>
                <w:color w:val="000000"/>
                <w:sz w:val="24"/>
                <w:szCs w:val="24"/>
                <w:lang w:val="ka-GE"/>
              </w:rPr>
              <w:t xml:space="preserve"> </w:t>
            </w:r>
            <w:r w:rsidRPr="00FE2179">
              <w:rPr>
                <w:rFonts w:ascii="Sylfaen" w:hAnsi="Sylfaen" w:cs="Sylfaen"/>
                <w:color w:val="000000"/>
                <w:sz w:val="24"/>
                <w:szCs w:val="24"/>
                <w:lang w:val="ka-GE"/>
              </w:rPr>
              <w:t>საკითხი</w:t>
            </w:r>
            <w:r w:rsidRPr="00FE2179">
              <w:rPr>
                <w:color w:val="000000"/>
                <w:sz w:val="24"/>
                <w:szCs w:val="24"/>
                <w:lang w:val="ka-GE"/>
              </w:rPr>
              <w:t xml:space="preserve"> </w:t>
            </w:r>
            <w:r w:rsidRPr="00FE2179">
              <w:rPr>
                <w:rFonts w:ascii="Sylfaen" w:hAnsi="Sylfaen" w:cs="Sylfaen"/>
                <w:color w:val="000000"/>
                <w:sz w:val="24"/>
                <w:szCs w:val="24"/>
                <w:lang w:val="ka-GE"/>
              </w:rPr>
              <w:t>დგება</w:t>
            </w:r>
            <w:r w:rsidRPr="00FE2179">
              <w:rPr>
                <w:color w:val="000000"/>
                <w:sz w:val="24"/>
                <w:szCs w:val="24"/>
                <w:lang w:val="ka-GE"/>
              </w:rPr>
              <w:t xml:space="preserve"> </w:t>
            </w:r>
            <w:r w:rsidRPr="00FE2179">
              <w:rPr>
                <w:rFonts w:ascii="Sylfaen" w:hAnsi="Sylfaen" w:cs="Sylfaen"/>
                <w:color w:val="000000"/>
                <w:sz w:val="24"/>
                <w:szCs w:val="24"/>
                <w:lang w:val="ka-GE"/>
              </w:rPr>
              <w:t>დღის</w:t>
            </w:r>
            <w:r w:rsidRPr="00FE2179">
              <w:rPr>
                <w:color w:val="000000"/>
                <w:sz w:val="24"/>
                <w:szCs w:val="24"/>
                <w:lang w:val="ka-GE"/>
              </w:rPr>
              <w:t xml:space="preserve"> </w:t>
            </w:r>
            <w:r w:rsidRPr="00FE2179">
              <w:rPr>
                <w:rFonts w:ascii="Sylfaen" w:hAnsi="Sylfaen" w:cs="Sylfaen"/>
                <w:color w:val="000000"/>
                <w:sz w:val="24"/>
                <w:szCs w:val="24"/>
                <w:lang w:val="ka-GE"/>
              </w:rPr>
              <w:t>წესრიგში</w:t>
            </w:r>
            <w:r w:rsidRPr="00FE2179">
              <w:rPr>
                <w:color w:val="000000"/>
                <w:sz w:val="24"/>
                <w:szCs w:val="24"/>
                <w:lang w:val="ka-GE"/>
              </w:rPr>
              <w:t>;</w:t>
            </w:r>
          </w:p>
          <w:p w14:paraId="2D8E36A9" w14:textId="77777777" w:rsidR="003C1E15" w:rsidRPr="00FE2179" w:rsidRDefault="003C1E15" w:rsidP="003C1E15">
            <w:pPr>
              <w:rPr>
                <w:color w:val="000000"/>
                <w:sz w:val="24"/>
                <w:szCs w:val="24"/>
                <w:lang w:val="ka-GE"/>
              </w:rPr>
            </w:pPr>
          </w:p>
          <w:p w14:paraId="72A57E63" w14:textId="43D3C2B1" w:rsidR="00230F8F" w:rsidRPr="009317FC" w:rsidRDefault="003C1E15" w:rsidP="003C1E15">
            <w:pPr>
              <w:ind w:right="-18"/>
              <w:jc w:val="both"/>
              <w:rPr>
                <w:rFonts w:ascii="Sylfaen" w:hAnsi="Sylfaen"/>
                <w:lang w:val="ka-GE"/>
              </w:rPr>
            </w:pPr>
            <w:r w:rsidRPr="00FE2179">
              <w:rPr>
                <w:rFonts w:ascii="Sylfaen" w:hAnsi="Sylfaen" w:cs="Sylfaen"/>
                <w:color w:val="000000"/>
                <w:sz w:val="24"/>
                <w:szCs w:val="24"/>
                <w:lang w:val="ka-GE"/>
              </w:rPr>
              <w:t>ზ</w:t>
            </w:r>
            <w:r w:rsidRPr="00FE2179">
              <w:rPr>
                <w:color w:val="000000"/>
                <w:sz w:val="24"/>
                <w:szCs w:val="24"/>
                <w:lang w:val="ka-GE"/>
              </w:rPr>
              <w:t xml:space="preserve">) </w:t>
            </w:r>
            <w:r w:rsidRPr="00FE2179">
              <w:rPr>
                <w:rFonts w:ascii="Sylfaen" w:hAnsi="Sylfaen" w:cs="Sylfaen"/>
                <w:color w:val="000000"/>
                <w:sz w:val="24"/>
                <w:szCs w:val="24"/>
                <w:lang w:val="ka-GE"/>
              </w:rPr>
              <w:t>სადავო</w:t>
            </w:r>
            <w:r w:rsidRPr="00FE2179">
              <w:rPr>
                <w:color w:val="000000"/>
                <w:sz w:val="24"/>
                <w:szCs w:val="24"/>
                <w:lang w:val="ka-GE"/>
              </w:rPr>
              <w:t xml:space="preserve"> </w:t>
            </w:r>
            <w:r w:rsidRPr="00FE2179">
              <w:rPr>
                <w:rFonts w:ascii="Sylfaen" w:hAnsi="Sylfaen" w:cs="Sylfaen"/>
                <w:color w:val="000000"/>
                <w:sz w:val="24"/>
                <w:szCs w:val="24"/>
                <w:lang w:val="ka-GE"/>
              </w:rPr>
              <w:t>კანონქვემდებარე</w:t>
            </w:r>
            <w:r w:rsidRPr="00FE2179">
              <w:rPr>
                <w:color w:val="000000"/>
                <w:sz w:val="24"/>
                <w:szCs w:val="24"/>
                <w:lang w:val="ka-GE"/>
              </w:rPr>
              <w:t xml:space="preserve"> </w:t>
            </w:r>
            <w:r w:rsidRPr="00FE2179">
              <w:rPr>
                <w:rFonts w:ascii="Sylfaen" w:hAnsi="Sylfaen" w:cs="Sylfaen"/>
                <w:color w:val="000000"/>
                <w:sz w:val="24"/>
                <w:szCs w:val="24"/>
                <w:lang w:val="ka-GE"/>
              </w:rPr>
              <w:t>ნორმატიული</w:t>
            </w:r>
            <w:r w:rsidRPr="00FE2179">
              <w:rPr>
                <w:color w:val="000000"/>
                <w:sz w:val="24"/>
                <w:szCs w:val="24"/>
                <w:lang w:val="ka-GE"/>
              </w:rPr>
              <w:t xml:space="preserve"> </w:t>
            </w:r>
            <w:r w:rsidRPr="00FE2179">
              <w:rPr>
                <w:rFonts w:ascii="Sylfaen" w:hAnsi="Sylfaen" w:cs="Sylfaen"/>
                <w:color w:val="000000"/>
                <w:sz w:val="24"/>
                <w:szCs w:val="24"/>
                <w:lang w:val="ka-GE"/>
              </w:rPr>
              <w:t>აქტის</w:t>
            </w:r>
            <w:r w:rsidRPr="00FE2179">
              <w:rPr>
                <w:color w:val="000000"/>
                <w:sz w:val="24"/>
                <w:szCs w:val="24"/>
                <w:lang w:val="ka-GE"/>
              </w:rPr>
              <w:t xml:space="preserve"> </w:t>
            </w:r>
            <w:r w:rsidRPr="00FE2179">
              <w:rPr>
                <w:rFonts w:ascii="Sylfaen" w:hAnsi="Sylfaen" w:cs="Sylfaen"/>
                <w:color w:val="000000"/>
                <w:sz w:val="24"/>
                <w:szCs w:val="24"/>
                <w:lang w:val="ka-GE"/>
              </w:rPr>
              <w:t>კონსტიტუციურობაზე</w:t>
            </w:r>
            <w:r w:rsidRPr="00FE2179">
              <w:rPr>
                <w:color w:val="000000"/>
                <w:sz w:val="24"/>
                <w:szCs w:val="24"/>
                <w:lang w:val="ka-GE"/>
              </w:rPr>
              <w:t xml:space="preserve"> </w:t>
            </w:r>
            <w:r w:rsidRPr="00FE2179">
              <w:rPr>
                <w:rFonts w:ascii="Sylfaen" w:hAnsi="Sylfaen" w:cs="Sylfaen"/>
                <w:color w:val="000000"/>
                <w:sz w:val="24"/>
                <w:szCs w:val="24"/>
                <w:lang w:val="ka-GE"/>
              </w:rPr>
              <w:t>სრულფასოვანი</w:t>
            </w:r>
            <w:r w:rsidRPr="00FE2179">
              <w:rPr>
                <w:color w:val="000000"/>
                <w:sz w:val="24"/>
                <w:szCs w:val="24"/>
                <w:lang w:val="ka-GE"/>
              </w:rPr>
              <w:t xml:space="preserve"> </w:t>
            </w:r>
            <w:r w:rsidRPr="00FE2179">
              <w:rPr>
                <w:rFonts w:ascii="Sylfaen" w:hAnsi="Sylfaen" w:cs="Sylfaen"/>
                <w:color w:val="000000"/>
                <w:sz w:val="24"/>
                <w:szCs w:val="24"/>
                <w:lang w:val="ka-GE"/>
              </w:rPr>
              <w:t>მსჯელობა</w:t>
            </w:r>
            <w:r w:rsidRPr="00FE2179">
              <w:rPr>
                <w:color w:val="000000"/>
                <w:sz w:val="24"/>
                <w:szCs w:val="24"/>
                <w:lang w:val="ka-GE"/>
              </w:rPr>
              <w:t xml:space="preserve"> </w:t>
            </w:r>
            <w:r w:rsidRPr="00FE2179">
              <w:rPr>
                <w:rFonts w:ascii="Sylfaen" w:hAnsi="Sylfaen" w:cs="Sylfaen"/>
                <w:color w:val="000000"/>
                <w:sz w:val="24"/>
                <w:szCs w:val="24"/>
                <w:lang w:val="ka-GE"/>
              </w:rPr>
              <w:t>შესაძლებელია</w:t>
            </w:r>
            <w:r w:rsidRPr="00FE2179">
              <w:rPr>
                <w:color w:val="000000"/>
                <w:sz w:val="24"/>
                <w:szCs w:val="24"/>
                <w:lang w:val="ka-GE"/>
              </w:rPr>
              <w:t xml:space="preserve"> </w:t>
            </w:r>
            <w:r w:rsidRPr="00FE2179">
              <w:rPr>
                <w:rFonts w:ascii="Sylfaen" w:hAnsi="Sylfaen" w:cs="Sylfaen"/>
                <w:color w:val="000000"/>
                <w:sz w:val="24"/>
                <w:szCs w:val="24"/>
                <w:lang w:val="ka-GE"/>
              </w:rPr>
              <w:t>ნორმატიული</w:t>
            </w:r>
            <w:r w:rsidRPr="00FE2179">
              <w:rPr>
                <w:color w:val="000000"/>
                <w:sz w:val="24"/>
                <w:szCs w:val="24"/>
                <w:lang w:val="ka-GE"/>
              </w:rPr>
              <w:t xml:space="preserve"> </w:t>
            </w:r>
            <w:r w:rsidRPr="00FE2179">
              <w:rPr>
                <w:rFonts w:ascii="Sylfaen" w:hAnsi="Sylfaen" w:cs="Sylfaen"/>
                <w:color w:val="000000"/>
                <w:sz w:val="24"/>
                <w:szCs w:val="24"/>
                <w:lang w:val="ka-GE"/>
              </w:rPr>
              <w:t>აქტების</w:t>
            </w:r>
            <w:r w:rsidRPr="00FE2179">
              <w:rPr>
                <w:color w:val="000000"/>
                <w:sz w:val="24"/>
                <w:szCs w:val="24"/>
                <w:lang w:val="ka-GE"/>
              </w:rPr>
              <w:t xml:space="preserve"> </w:t>
            </w:r>
            <w:r w:rsidRPr="00FE2179">
              <w:rPr>
                <w:rFonts w:ascii="Sylfaen" w:hAnsi="Sylfaen" w:cs="Sylfaen"/>
                <w:color w:val="000000"/>
                <w:sz w:val="24"/>
                <w:szCs w:val="24"/>
                <w:lang w:val="ka-GE"/>
              </w:rPr>
              <w:t>იერარქიაში</w:t>
            </w:r>
            <w:r w:rsidRPr="00FE2179">
              <w:rPr>
                <w:color w:val="000000"/>
                <w:sz w:val="24"/>
                <w:szCs w:val="24"/>
                <w:lang w:val="ka-GE"/>
              </w:rPr>
              <w:t xml:space="preserve"> </w:t>
            </w:r>
            <w:r w:rsidRPr="00FE2179">
              <w:rPr>
                <w:rFonts w:ascii="Sylfaen" w:hAnsi="Sylfaen" w:cs="Sylfaen"/>
                <w:color w:val="000000"/>
                <w:sz w:val="24"/>
                <w:szCs w:val="24"/>
                <w:lang w:val="ka-GE"/>
              </w:rPr>
              <w:t>მასზე</w:t>
            </w:r>
            <w:r w:rsidRPr="00FE2179">
              <w:rPr>
                <w:color w:val="000000"/>
                <w:sz w:val="24"/>
                <w:szCs w:val="24"/>
                <w:lang w:val="ka-GE"/>
              </w:rPr>
              <w:t xml:space="preserve"> </w:t>
            </w:r>
            <w:r w:rsidRPr="00FE2179">
              <w:rPr>
                <w:rFonts w:ascii="Sylfaen" w:hAnsi="Sylfaen" w:cs="Sylfaen"/>
                <w:color w:val="000000"/>
                <w:sz w:val="24"/>
                <w:szCs w:val="24"/>
                <w:lang w:val="ka-GE"/>
              </w:rPr>
              <w:t>მაღლა</w:t>
            </w:r>
            <w:r w:rsidRPr="00FE2179">
              <w:rPr>
                <w:color w:val="000000"/>
                <w:sz w:val="24"/>
                <w:szCs w:val="24"/>
                <w:lang w:val="ka-GE"/>
              </w:rPr>
              <w:t xml:space="preserve"> </w:t>
            </w:r>
            <w:r w:rsidRPr="00FE2179">
              <w:rPr>
                <w:rFonts w:ascii="Sylfaen" w:hAnsi="Sylfaen" w:cs="Sylfaen"/>
                <w:color w:val="000000"/>
                <w:sz w:val="24"/>
                <w:szCs w:val="24"/>
                <w:lang w:val="ka-GE"/>
              </w:rPr>
              <w:t>მდგომი</w:t>
            </w:r>
            <w:r w:rsidRPr="00FE2179">
              <w:rPr>
                <w:color w:val="000000"/>
                <w:sz w:val="24"/>
                <w:szCs w:val="24"/>
                <w:lang w:val="ka-GE"/>
              </w:rPr>
              <w:t xml:space="preserve"> </w:t>
            </w:r>
            <w:r w:rsidRPr="00FE2179">
              <w:rPr>
                <w:rFonts w:ascii="Sylfaen" w:hAnsi="Sylfaen" w:cs="Sylfaen"/>
                <w:color w:val="000000"/>
                <w:sz w:val="24"/>
                <w:szCs w:val="24"/>
                <w:lang w:val="ka-GE"/>
              </w:rPr>
              <w:t>იმ</w:t>
            </w:r>
            <w:r w:rsidRPr="00FE2179">
              <w:rPr>
                <w:color w:val="000000"/>
                <w:sz w:val="24"/>
                <w:szCs w:val="24"/>
                <w:lang w:val="ka-GE"/>
              </w:rPr>
              <w:t xml:space="preserve"> </w:t>
            </w:r>
            <w:r w:rsidRPr="00FE2179">
              <w:rPr>
                <w:rFonts w:ascii="Sylfaen" w:hAnsi="Sylfaen" w:cs="Sylfaen"/>
                <w:color w:val="000000"/>
                <w:sz w:val="24"/>
                <w:szCs w:val="24"/>
                <w:lang w:val="ka-GE"/>
              </w:rPr>
              <w:t>ნორმატიული</w:t>
            </w:r>
            <w:r w:rsidRPr="00FE2179">
              <w:rPr>
                <w:color w:val="000000"/>
                <w:sz w:val="24"/>
                <w:szCs w:val="24"/>
                <w:lang w:val="ka-GE"/>
              </w:rPr>
              <w:t xml:space="preserve"> </w:t>
            </w:r>
            <w:r w:rsidRPr="00FE2179">
              <w:rPr>
                <w:rFonts w:ascii="Sylfaen" w:hAnsi="Sylfaen" w:cs="Sylfaen"/>
                <w:color w:val="000000"/>
                <w:sz w:val="24"/>
                <w:szCs w:val="24"/>
                <w:lang w:val="ka-GE"/>
              </w:rPr>
              <w:t>აქტის</w:t>
            </w:r>
            <w:r w:rsidRPr="00FE2179">
              <w:rPr>
                <w:color w:val="000000"/>
                <w:sz w:val="24"/>
                <w:szCs w:val="24"/>
                <w:lang w:val="ka-GE"/>
              </w:rPr>
              <w:t xml:space="preserve"> </w:t>
            </w:r>
            <w:r w:rsidRPr="00FE2179">
              <w:rPr>
                <w:rFonts w:ascii="Sylfaen" w:hAnsi="Sylfaen" w:cs="Sylfaen"/>
                <w:color w:val="000000"/>
                <w:sz w:val="24"/>
                <w:szCs w:val="24"/>
                <w:lang w:val="ka-GE"/>
              </w:rPr>
              <w:t>კონსტიტუციურობაზე</w:t>
            </w:r>
            <w:r w:rsidRPr="00FE2179">
              <w:rPr>
                <w:color w:val="000000"/>
                <w:sz w:val="24"/>
                <w:szCs w:val="24"/>
                <w:lang w:val="ka-GE"/>
              </w:rPr>
              <w:t xml:space="preserve"> </w:t>
            </w:r>
            <w:r w:rsidRPr="00FE2179">
              <w:rPr>
                <w:rFonts w:ascii="Sylfaen" w:hAnsi="Sylfaen" w:cs="Sylfaen"/>
                <w:color w:val="000000"/>
                <w:sz w:val="24"/>
                <w:szCs w:val="24"/>
                <w:lang w:val="ka-GE"/>
              </w:rPr>
              <w:t>მსჯელობის</w:t>
            </w:r>
            <w:r w:rsidRPr="00FE2179">
              <w:rPr>
                <w:color w:val="000000"/>
                <w:sz w:val="24"/>
                <w:szCs w:val="24"/>
                <w:lang w:val="ka-GE"/>
              </w:rPr>
              <w:t xml:space="preserve"> </w:t>
            </w:r>
            <w:r w:rsidRPr="00FE2179">
              <w:rPr>
                <w:rFonts w:ascii="Sylfaen" w:hAnsi="Sylfaen" w:cs="Sylfaen"/>
                <w:color w:val="000000"/>
                <w:sz w:val="24"/>
                <w:szCs w:val="24"/>
                <w:lang w:val="ka-GE"/>
              </w:rPr>
              <w:t>გარეშე</w:t>
            </w:r>
            <w:r w:rsidRPr="00FE2179">
              <w:rPr>
                <w:color w:val="000000"/>
                <w:sz w:val="24"/>
                <w:szCs w:val="24"/>
                <w:lang w:val="ka-GE"/>
              </w:rPr>
              <w:t xml:space="preserve">, </w:t>
            </w:r>
            <w:r w:rsidRPr="00FE2179">
              <w:rPr>
                <w:rFonts w:ascii="Sylfaen" w:hAnsi="Sylfaen" w:cs="Sylfaen"/>
                <w:color w:val="000000"/>
                <w:sz w:val="24"/>
                <w:szCs w:val="24"/>
                <w:lang w:val="ka-GE"/>
              </w:rPr>
              <w:t>რომელიც</w:t>
            </w:r>
            <w:r w:rsidRPr="00FE2179">
              <w:rPr>
                <w:color w:val="000000"/>
                <w:sz w:val="24"/>
                <w:szCs w:val="24"/>
                <w:lang w:val="ka-GE"/>
              </w:rPr>
              <w:t xml:space="preserve"> </w:t>
            </w:r>
            <w:r w:rsidRPr="00FE2179">
              <w:rPr>
                <w:rFonts w:ascii="Sylfaen" w:hAnsi="Sylfaen" w:cs="Sylfaen"/>
                <w:color w:val="000000"/>
                <w:sz w:val="24"/>
                <w:szCs w:val="24"/>
                <w:lang w:val="ka-GE"/>
              </w:rPr>
              <w:t>კონსტიტუციური</w:t>
            </w:r>
            <w:r w:rsidRPr="00FE2179">
              <w:rPr>
                <w:color w:val="000000"/>
                <w:sz w:val="24"/>
                <w:szCs w:val="24"/>
                <w:lang w:val="ka-GE"/>
              </w:rPr>
              <w:t xml:space="preserve"> </w:t>
            </w:r>
            <w:r w:rsidRPr="00FE2179">
              <w:rPr>
                <w:rFonts w:ascii="Sylfaen" w:hAnsi="Sylfaen" w:cs="Sylfaen"/>
                <w:color w:val="000000"/>
                <w:sz w:val="24"/>
                <w:szCs w:val="24"/>
                <w:lang w:val="ka-GE"/>
              </w:rPr>
              <w:t>სარჩელით</w:t>
            </w:r>
            <w:r w:rsidRPr="00FE2179">
              <w:rPr>
                <w:color w:val="000000"/>
                <w:sz w:val="24"/>
                <w:szCs w:val="24"/>
                <w:lang w:val="ka-GE"/>
              </w:rPr>
              <w:t xml:space="preserve"> </w:t>
            </w:r>
            <w:r w:rsidRPr="00FE2179">
              <w:rPr>
                <w:rFonts w:ascii="Sylfaen" w:hAnsi="Sylfaen" w:cs="Sylfaen"/>
                <w:color w:val="000000"/>
                <w:sz w:val="24"/>
                <w:szCs w:val="24"/>
                <w:lang w:val="ka-GE"/>
              </w:rPr>
              <w:t>გასაჩივრებული</w:t>
            </w:r>
            <w:r w:rsidRPr="00FE2179">
              <w:rPr>
                <w:color w:val="000000"/>
                <w:sz w:val="24"/>
                <w:szCs w:val="24"/>
                <w:lang w:val="ka-GE"/>
              </w:rPr>
              <w:t xml:space="preserve"> </w:t>
            </w:r>
            <w:r w:rsidRPr="00FE2179">
              <w:rPr>
                <w:rFonts w:ascii="Sylfaen" w:hAnsi="Sylfaen" w:cs="Sylfaen"/>
                <w:color w:val="000000"/>
                <w:sz w:val="24"/>
                <w:szCs w:val="24"/>
                <w:lang w:val="ka-GE"/>
              </w:rPr>
              <w:t>არ</w:t>
            </w:r>
            <w:r w:rsidRPr="00FE2179">
              <w:rPr>
                <w:color w:val="000000"/>
                <w:sz w:val="24"/>
                <w:szCs w:val="24"/>
                <w:lang w:val="ka-GE"/>
              </w:rPr>
              <w:t xml:space="preserve"> </w:t>
            </w:r>
            <w:r w:rsidRPr="00FE2179">
              <w:rPr>
                <w:rFonts w:ascii="Sylfaen" w:hAnsi="Sylfaen" w:cs="Sylfaen"/>
                <w:color w:val="000000"/>
                <w:sz w:val="24"/>
                <w:szCs w:val="24"/>
                <w:lang w:val="ka-GE"/>
              </w:rPr>
              <w:t>არის</w:t>
            </w:r>
            <w:r w:rsidRPr="00FE2179">
              <w:rPr>
                <w:color w:val="000000"/>
                <w:sz w:val="24"/>
                <w:szCs w:val="24"/>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FootnoteReference"/>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TableGrid"/>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4E3C923" w14:textId="7F6F3373" w:rsidR="005E6511" w:rsidRDefault="008265C6" w:rsidP="008265C6">
            <w:pPr>
              <w:pStyle w:val="ListParagraph"/>
              <w:numPr>
                <w:ilvl w:val="0"/>
                <w:numId w:val="31"/>
              </w:numPr>
              <w:ind w:right="-18"/>
              <w:jc w:val="both"/>
              <w:rPr>
                <w:rFonts w:ascii="Sylfaen" w:hAnsi="Sylfaen"/>
                <w:b/>
                <w:lang w:val="ka-GE"/>
              </w:rPr>
            </w:pPr>
            <w:permStart w:id="1936157889" w:edGrp="everyone" w:colFirst="0" w:colLast="0"/>
            <w:r w:rsidRPr="008265C6">
              <w:rPr>
                <w:rFonts w:ascii="Sylfaen" w:hAnsi="Sylfaen"/>
                <w:b/>
                <w:lang w:val="ka-GE"/>
              </w:rPr>
              <w:t>სადავო ნორმების ანალიზი და სასარჩელო მოთხოვნა</w:t>
            </w:r>
          </w:p>
          <w:p w14:paraId="6815B74A" w14:textId="6ED1B6A4" w:rsidR="008265C6" w:rsidRDefault="008265C6" w:rsidP="008265C6">
            <w:pPr>
              <w:ind w:right="-18"/>
              <w:jc w:val="both"/>
              <w:rPr>
                <w:rFonts w:ascii="Sylfaen" w:hAnsi="Sylfaen"/>
                <w:b/>
                <w:lang w:val="ka-GE"/>
              </w:rPr>
            </w:pPr>
          </w:p>
          <w:p w14:paraId="70498958" w14:textId="557CE8CD" w:rsidR="008265C6" w:rsidRDefault="00777730" w:rsidP="008265C6">
            <w:pPr>
              <w:ind w:right="-18"/>
              <w:jc w:val="both"/>
              <w:rPr>
                <w:rFonts w:ascii="Sylfaen" w:hAnsi="Sylfaen"/>
                <w:lang w:val="ka-GE"/>
              </w:rPr>
            </w:pPr>
            <w:r>
              <w:rPr>
                <w:rFonts w:ascii="Sylfaen" w:hAnsi="Sylfaen"/>
                <w:lang w:val="ka-GE"/>
              </w:rPr>
              <w:t xml:space="preserve">მოსარჩელეს არაკონსტიტუციურად მიაჩნია </w:t>
            </w:r>
            <w:r w:rsidR="00FC1ADC">
              <w:rPr>
                <w:rFonts w:ascii="Sylfaen" w:hAnsi="Sylfaen"/>
                <w:lang w:val="ka-GE"/>
              </w:rPr>
              <w:t>საქართველოს ორგანული კანონის საარჩევნო კოდექსის 77-ე მუხლის პირველი ნაწილი, ასევე საარჩევნო ადმინისტრაციაში განცხადება/საჩივრის შეტანისა და განხილვის ინსტრუქციის დამტკიცების შესახებ N8/2012 დადგენილების მე-7 მუხლის მე-2 და მე-3 ნაწილები საქართველოს კონსტიტუციის 31-ე მუხლის პირველ პუნქტთან მიმართებით.</w:t>
            </w:r>
          </w:p>
          <w:p w14:paraId="33FBD238" w14:textId="6C18DB99" w:rsidR="00E36F33" w:rsidRDefault="00E36F33" w:rsidP="008265C6">
            <w:pPr>
              <w:ind w:right="-18"/>
              <w:jc w:val="both"/>
              <w:rPr>
                <w:rFonts w:ascii="Sylfaen" w:hAnsi="Sylfaen"/>
                <w:lang w:val="ka-GE"/>
              </w:rPr>
            </w:pPr>
          </w:p>
          <w:p w14:paraId="10AD69E8" w14:textId="7117B125" w:rsidR="00E36F33" w:rsidRDefault="00007079" w:rsidP="008265C6">
            <w:pPr>
              <w:ind w:right="-18"/>
              <w:jc w:val="both"/>
              <w:rPr>
                <w:rFonts w:ascii="Sylfaen" w:hAnsi="Sylfaen"/>
                <w:lang w:val="ka-GE"/>
              </w:rPr>
            </w:pPr>
            <w:r>
              <w:rPr>
                <w:rFonts w:ascii="Sylfaen" w:hAnsi="Sylfaen"/>
                <w:lang w:val="ka-GE"/>
              </w:rPr>
              <w:t xml:space="preserve">საარჩევნო კოდექსის 77-ე მუხლის პირველი </w:t>
            </w:r>
            <w:r w:rsidR="00AF72B9">
              <w:rPr>
                <w:rFonts w:ascii="Sylfaen" w:hAnsi="Sylfaen"/>
                <w:lang w:val="ka-GE"/>
              </w:rPr>
              <w:t>ნაწილის</w:t>
            </w:r>
            <w:r>
              <w:rPr>
                <w:rFonts w:ascii="Sylfaen" w:hAnsi="Sylfaen"/>
                <w:lang w:val="ka-GE"/>
              </w:rPr>
              <w:t xml:space="preserve"> მიხედვით, </w:t>
            </w:r>
            <w:r w:rsidRPr="00007079">
              <w:rPr>
                <w:rFonts w:ascii="Sylfaen" w:hAnsi="Sylfaen"/>
                <w:lang w:val="ka-GE"/>
              </w:rPr>
              <w:t>საქართველოს საარჩევნო კანონმდებლობის დარღვევა შეიძლება გასაჩივრდეს შესაბამის საარჩევნო კომისიაში. საარჩევნო კომისიის გადაწყვეტილება შეიძლება გასაჩივრდეს ზემდგომ საარჩევნო კომისიაში ან სასამართლოში ამ კანონით დადგენილი წესით და დადგენილ ვადებში, თუ ამ კანონით სხვა რამ არ არის გათვალისწინებული.</w:t>
            </w:r>
            <w:r>
              <w:rPr>
                <w:rFonts w:ascii="Sylfaen" w:hAnsi="Sylfaen"/>
                <w:lang w:val="ka-GE"/>
              </w:rPr>
              <w:t xml:space="preserve"> </w:t>
            </w:r>
            <w:r w:rsidR="006421B3">
              <w:rPr>
                <w:rFonts w:ascii="Sylfaen" w:hAnsi="Sylfaen"/>
                <w:lang w:val="ka-GE"/>
              </w:rPr>
              <w:t>აღნიშნული ნორმა საარჩევნო კოდექსით განსაზღვრულ შესაბამის სუბიექტს უფლებას აძლევს საარჩევნო კანონმდებლობის დარღვევა გაასაჩივროს შესაბამის საარჩევნო კომისიაში</w:t>
            </w:r>
            <w:r w:rsidR="00455945">
              <w:rPr>
                <w:rFonts w:ascii="Sylfaen" w:hAnsi="Sylfaen"/>
                <w:lang w:val="ka-GE"/>
              </w:rPr>
              <w:t xml:space="preserve">. კომისიის გადაწყვეტილება ზემდგომი ადმინისტრაციული ორგანოში გასაჩივრების შემდეგ კი შესაძლოა გასაჩივრდეს </w:t>
            </w:r>
            <w:r w:rsidR="00157ED7">
              <w:rPr>
                <w:rFonts w:ascii="Sylfaen" w:hAnsi="Sylfaen"/>
                <w:lang w:val="ka-GE"/>
              </w:rPr>
              <w:t>სასამართლოში, საარჩევნო კოდექსით გათვალისწინებული წესითა და დადგენილი ვადებით.</w:t>
            </w:r>
            <w:r w:rsidR="000F157C">
              <w:rPr>
                <w:rFonts w:ascii="Sylfaen" w:hAnsi="Sylfaen"/>
                <w:lang w:val="ka-GE"/>
              </w:rPr>
              <w:t xml:space="preserve"> </w:t>
            </w:r>
            <w:r w:rsidR="009E4D1E">
              <w:rPr>
                <w:rFonts w:ascii="Sylfaen" w:hAnsi="Sylfaen"/>
                <w:lang w:val="ka-GE"/>
              </w:rPr>
              <w:t xml:space="preserve">მნიშვნელოვანია აღინიშნოს, რომ ნორმაში მოცემულია ტერმინი „გადაწყვეტილება“, საარჩევნო კომისიამ კი შესაძლოა განცხადება/საჩივრის განხილვის შემდეგ ორგვარი გადაწყვეტილება მიიღოს: შეადგინოს </w:t>
            </w:r>
            <w:r w:rsidR="00480241">
              <w:rPr>
                <w:rFonts w:ascii="Sylfaen" w:hAnsi="Sylfaen"/>
                <w:lang w:val="ka-GE"/>
              </w:rPr>
              <w:t>ან არ შეადგინოს ადმინისტრაციულ სამართალდარღვევათა ოქმი.</w:t>
            </w:r>
            <w:r w:rsidR="00232C1C">
              <w:rPr>
                <w:rFonts w:ascii="Sylfaen" w:hAnsi="Sylfaen"/>
                <w:lang w:val="ka-GE"/>
              </w:rPr>
              <w:t xml:space="preserve"> </w:t>
            </w:r>
          </w:p>
          <w:p w14:paraId="34F3CB75" w14:textId="7DD56D6C" w:rsidR="00140D1A" w:rsidRDefault="00140D1A" w:rsidP="008265C6">
            <w:pPr>
              <w:ind w:right="-18"/>
              <w:jc w:val="both"/>
              <w:rPr>
                <w:rFonts w:ascii="Sylfaen" w:hAnsi="Sylfaen"/>
                <w:lang w:val="ka-GE"/>
              </w:rPr>
            </w:pPr>
          </w:p>
          <w:p w14:paraId="7C208D9C" w14:textId="10AD0D4A" w:rsidR="00BE1E8E" w:rsidRDefault="00140D1A" w:rsidP="008265C6">
            <w:pPr>
              <w:ind w:right="-18"/>
              <w:jc w:val="both"/>
              <w:rPr>
                <w:rFonts w:ascii="Sylfaen" w:hAnsi="Sylfaen"/>
                <w:lang w:val="ka-GE"/>
              </w:rPr>
            </w:pPr>
            <w:r>
              <w:rPr>
                <w:rFonts w:ascii="Sylfaen" w:hAnsi="Sylfaen"/>
                <w:lang w:val="ka-GE"/>
              </w:rPr>
              <w:t xml:space="preserve">საარჩევნო ადმინისტრაციაში განცხადება/საჩივრის შეტანისა და განხილვის ინსტრუქციის დამტკიცების შესახებ N8/2012 დადგენილების მე-7 მუხლის მე-2 ნაწილი </w:t>
            </w:r>
            <w:r w:rsidR="00C06DE2">
              <w:rPr>
                <w:rFonts w:ascii="Sylfaen" w:hAnsi="Sylfaen"/>
                <w:lang w:val="ka-GE"/>
              </w:rPr>
              <w:t xml:space="preserve">ადმინისტრაციულ სამართალდარღვევათა ოქმის შედგენაზე </w:t>
            </w:r>
            <w:r>
              <w:rPr>
                <w:rFonts w:ascii="Sylfaen" w:hAnsi="Sylfaen"/>
                <w:lang w:val="ka-GE"/>
              </w:rPr>
              <w:t>უფლებამოსილ პირებს განსაზღვრავს</w:t>
            </w:r>
            <w:r w:rsidR="00C06DE2">
              <w:rPr>
                <w:rFonts w:ascii="Sylfaen" w:hAnsi="Sylfaen"/>
                <w:lang w:val="ka-GE"/>
              </w:rPr>
              <w:t xml:space="preserve"> .</w:t>
            </w:r>
            <w:r w:rsidR="00C901F9">
              <w:rPr>
                <w:rFonts w:ascii="Sylfaen" w:hAnsi="Sylfaen"/>
                <w:lang w:val="ka-GE"/>
              </w:rPr>
              <w:t xml:space="preserve">ასეთი პირები არიან ა) ცესკოს თავმჯდომარე; ცესკოს მიერ უფლებამოსილი პირი; შესაბამისი საოლქო საარჩევნო კომისიის მიერ უფლებამოსილი პირი. </w:t>
            </w:r>
            <w:r w:rsidR="00BE1E8E">
              <w:rPr>
                <w:rFonts w:ascii="Sylfaen" w:hAnsi="Sylfaen"/>
                <w:lang w:val="ka-GE"/>
              </w:rPr>
              <w:t>მე-7 მუხლის მე-3 ნაწილის მიხედვით ადმინისტრაციულ სამართალდარღვევათა ოქმის შედგენის თაობ</w:t>
            </w:r>
            <w:r w:rsidR="005828ED">
              <w:rPr>
                <w:rFonts w:ascii="Sylfaen" w:hAnsi="Sylfaen"/>
                <w:lang w:val="ka-GE"/>
              </w:rPr>
              <w:t>ა</w:t>
            </w:r>
            <w:r w:rsidR="00BE1E8E">
              <w:rPr>
                <w:rFonts w:ascii="Sylfaen" w:hAnsi="Sylfaen"/>
                <w:lang w:val="ka-GE"/>
              </w:rPr>
              <w:t xml:space="preserve">ზე წარდგენილ განცხადება/საჩივარს იხილავს და გადაწყვეტილებას იღებს ოქმის შედგენაზე უფლებამოსილი პირი „საქართველოს ადმინისტრაციულ სამართალდარღვევათა </w:t>
            </w:r>
            <w:r w:rsidR="005828ED">
              <w:rPr>
                <w:rFonts w:ascii="Sylfaen" w:hAnsi="Sylfaen"/>
                <w:lang w:val="ka-GE"/>
              </w:rPr>
              <w:t>კოდექსით დადგენილი წესის შესაბამისად.</w:t>
            </w:r>
          </w:p>
          <w:p w14:paraId="79D4262D" w14:textId="77777777" w:rsidR="00BE1E8E" w:rsidRDefault="00BE1E8E" w:rsidP="008265C6">
            <w:pPr>
              <w:ind w:right="-18"/>
              <w:jc w:val="both"/>
              <w:rPr>
                <w:rFonts w:ascii="Sylfaen" w:hAnsi="Sylfaen"/>
                <w:lang w:val="ka-GE"/>
              </w:rPr>
            </w:pPr>
          </w:p>
          <w:p w14:paraId="534730D7" w14:textId="398E57AE" w:rsidR="008265C6" w:rsidRDefault="002A2CD9" w:rsidP="008265C6">
            <w:pPr>
              <w:ind w:right="-18"/>
              <w:jc w:val="both"/>
              <w:rPr>
                <w:rFonts w:ascii="Sylfaen" w:hAnsi="Sylfaen"/>
                <w:lang w:val="ka-GE"/>
              </w:rPr>
            </w:pPr>
            <w:r>
              <w:rPr>
                <w:rFonts w:ascii="Sylfaen" w:hAnsi="Sylfaen"/>
                <w:lang w:val="ka-GE"/>
              </w:rPr>
              <w:t>აღნიშნული ნორმები ერთი მხრივ ადგენენ უფლებამოსილ პირებს, რომლებსაც შეუძლიათ განიხილონ საარჩევნო კანონმდებლობასთან დაკავშირებული განაცხადი/სარჩელი და მიიღონ გადაწყვეტილება, ხოლო მეორე მხრივ</w:t>
            </w:r>
            <w:r w:rsidR="00B06246">
              <w:rPr>
                <w:rFonts w:ascii="Sylfaen" w:hAnsi="Sylfaen"/>
                <w:lang w:val="ka-GE"/>
              </w:rPr>
              <w:t>,</w:t>
            </w:r>
            <w:r>
              <w:rPr>
                <w:rFonts w:ascii="Sylfaen" w:hAnsi="Sylfaen"/>
                <w:lang w:val="ka-GE"/>
              </w:rPr>
              <w:t xml:space="preserve"> განსაზღვრავენ აღნიშნული გადაწყვეტილების ზემდგომ ადმინისტრაციულ ორგანოსა და შემდეგ სასამართლოში გასაჩივრების შესაძლებლობას.</w:t>
            </w:r>
            <w:r w:rsidR="00B96442">
              <w:rPr>
                <w:rFonts w:ascii="Sylfaen" w:hAnsi="Sylfaen"/>
              </w:rPr>
              <w:t xml:space="preserve"> </w:t>
            </w:r>
            <w:r w:rsidR="00B96442">
              <w:rPr>
                <w:rFonts w:ascii="Sylfaen" w:hAnsi="Sylfaen"/>
                <w:lang w:val="ka-GE"/>
              </w:rPr>
              <w:t xml:space="preserve">თავის მხრივ, უფლებამოსილი პირები განცხადება/საჩივრის განხილვისას და გადაწყვეტილების მიღებისას სარგებლობენ დისკრეციით: შეადგინონ ან არ შეადგინონ ადმინისტრაციულ სამართალდარღვევათა ოქმი. </w:t>
            </w:r>
            <w:r w:rsidR="009B1585">
              <w:rPr>
                <w:rFonts w:ascii="Sylfaen" w:hAnsi="Sylfaen"/>
                <w:lang w:val="ka-GE"/>
              </w:rPr>
              <w:t xml:space="preserve">ამდენად, აღნიშნული ნორმების ლოგიკური და სისტემური ანალიზიდან გამომდინარე, უფლებამოსილი პირის მიერ მიღებულ გადაწყვეტილებაში უნდა მოიაზრებოდეს როგორც ადმინისტრაციულ სამართალდარღვევათა ოქმის შედგენის, ასევე ოქმის შედგენაზე უარის თქმის შემთხვევები და სასამართლოში გასაჩივრების </w:t>
            </w:r>
            <w:r w:rsidR="009B1585">
              <w:rPr>
                <w:rFonts w:ascii="Sylfaen" w:hAnsi="Sylfaen"/>
                <w:lang w:val="ka-GE"/>
              </w:rPr>
              <w:lastRenderedPageBreak/>
              <w:t xml:space="preserve">შესაძლებლობა ორივე შემთხვევაში უნდა იყოს შესაძლებელი. </w:t>
            </w:r>
            <w:r w:rsidR="00B06246">
              <w:rPr>
                <w:rFonts w:ascii="Sylfaen" w:hAnsi="Sylfaen"/>
                <w:lang w:val="ka-GE"/>
              </w:rPr>
              <w:t>ამასთან, არც საარჩევნო კოდექს</w:t>
            </w:r>
            <w:r w:rsidR="00FF4FC6">
              <w:rPr>
                <w:rFonts w:ascii="Sylfaen" w:hAnsi="Sylfaen"/>
                <w:lang w:val="ka-GE"/>
              </w:rPr>
              <w:t>ი</w:t>
            </w:r>
            <w:r w:rsidR="00B06246">
              <w:rPr>
                <w:rFonts w:ascii="Sylfaen" w:hAnsi="Sylfaen"/>
                <w:lang w:val="ka-GE"/>
              </w:rPr>
              <w:t xml:space="preserve">  და არც ადმინისტრაციულ სამართალდარღვევათა კოდექსი</w:t>
            </w:r>
            <w:r w:rsidR="00FF4FC6">
              <w:rPr>
                <w:rFonts w:ascii="Sylfaen" w:hAnsi="Sylfaen"/>
                <w:lang w:val="ka-GE"/>
              </w:rPr>
              <w:t xml:space="preserve"> არ გამორიცხავს</w:t>
            </w:r>
            <w:r w:rsidR="00B06246">
              <w:rPr>
                <w:rFonts w:ascii="Sylfaen" w:hAnsi="Sylfaen"/>
                <w:lang w:val="ka-GE"/>
              </w:rPr>
              <w:t xml:space="preserve"> ადმინისტრაციულ სამართალდარღვევათა ოქმის შედგენაზე უარის თქმის შემთხვევაში აღნიშნული გადაწყვეტილების სასამართლოში გასაჩივრების შესაძლებ</w:t>
            </w:r>
            <w:r w:rsidR="00FF4FC6">
              <w:rPr>
                <w:rFonts w:ascii="Sylfaen" w:hAnsi="Sylfaen"/>
                <w:lang w:val="ka-GE"/>
              </w:rPr>
              <w:t>ლ</w:t>
            </w:r>
            <w:r w:rsidR="00B06246">
              <w:rPr>
                <w:rFonts w:ascii="Sylfaen" w:hAnsi="Sylfaen"/>
                <w:lang w:val="ka-GE"/>
              </w:rPr>
              <w:t>ობა</w:t>
            </w:r>
            <w:r w:rsidR="00C30902">
              <w:rPr>
                <w:rFonts w:ascii="Sylfaen" w:hAnsi="Sylfaen"/>
                <w:lang w:val="ka-GE"/>
              </w:rPr>
              <w:t>ს</w:t>
            </w:r>
            <w:r w:rsidR="00B06246">
              <w:rPr>
                <w:rFonts w:ascii="Sylfaen" w:hAnsi="Sylfaen"/>
                <w:lang w:val="ka-GE"/>
              </w:rPr>
              <w:t>.</w:t>
            </w:r>
            <w:r w:rsidR="00FF4FC6">
              <w:rPr>
                <w:rFonts w:ascii="Sylfaen" w:hAnsi="Sylfaen"/>
                <w:lang w:val="ka-GE"/>
              </w:rPr>
              <w:t xml:space="preserve"> </w:t>
            </w:r>
          </w:p>
          <w:p w14:paraId="24C6892D" w14:textId="3676CF70" w:rsidR="00693938" w:rsidRDefault="00693938" w:rsidP="008265C6">
            <w:pPr>
              <w:ind w:right="-18"/>
              <w:jc w:val="both"/>
              <w:rPr>
                <w:rFonts w:ascii="Sylfaen" w:hAnsi="Sylfaen"/>
                <w:lang w:val="ka-GE"/>
              </w:rPr>
            </w:pPr>
          </w:p>
          <w:p w14:paraId="0700C99E" w14:textId="797D6DC9" w:rsidR="00693938" w:rsidRDefault="000A4686" w:rsidP="006C0CEA">
            <w:pPr>
              <w:ind w:right="-18"/>
              <w:jc w:val="both"/>
              <w:rPr>
                <w:rFonts w:ascii="Sylfaen" w:hAnsi="Sylfaen"/>
                <w:lang w:val="ka-GE"/>
              </w:rPr>
            </w:pPr>
            <w:r>
              <w:rPr>
                <w:rFonts w:ascii="Sylfaen" w:hAnsi="Sylfaen"/>
                <w:lang w:val="ka-GE"/>
              </w:rPr>
              <w:t>თუმცა,</w:t>
            </w:r>
            <w:r w:rsidR="006C0CEA">
              <w:rPr>
                <w:rFonts w:ascii="Sylfaen" w:hAnsi="Sylfaen"/>
                <w:lang w:val="ka-GE"/>
              </w:rPr>
              <w:t xml:space="preserve"> </w:t>
            </w:r>
            <w:r>
              <w:rPr>
                <w:rFonts w:ascii="Sylfaen" w:hAnsi="Sylfaen"/>
                <w:lang w:val="ka-GE"/>
              </w:rPr>
              <w:t xml:space="preserve"> </w:t>
            </w:r>
            <w:r w:rsidR="006C0CEA" w:rsidRPr="006C0CEA">
              <w:rPr>
                <w:rFonts w:ascii="Sylfaen" w:hAnsi="Sylfaen"/>
                <w:lang w:val="ka-GE"/>
              </w:rPr>
              <w:t>თბილისის საქალაქო სასამართლოს ადმინისტრაციულ საქმეთა კოლეგიის 2018 წლის 17 დეკემბრის</w:t>
            </w:r>
            <w:r w:rsidR="006C0CEA">
              <w:rPr>
                <w:rFonts w:ascii="Sylfaen" w:hAnsi="Sylfaen"/>
                <w:lang w:val="ka-GE"/>
              </w:rPr>
              <w:t xml:space="preserve"> N3/7839-18 და </w:t>
            </w:r>
            <w:r w:rsidR="006C0CEA" w:rsidRPr="006C0CEA">
              <w:rPr>
                <w:rFonts w:ascii="Sylfaen" w:hAnsi="Sylfaen"/>
                <w:lang w:val="ka-GE"/>
              </w:rPr>
              <w:t xml:space="preserve"> თბილისის სააპელაციო სასამართლოს ადმინისტრაციულ საქმეთა პალატის 2018 წლის 20 დეკემბრის N3ბ/3423-18 </w:t>
            </w:r>
            <w:r w:rsidR="006C0CEA">
              <w:rPr>
                <w:rFonts w:ascii="Sylfaen" w:hAnsi="Sylfaen"/>
                <w:lang w:val="ka-GE"/>
              </w:rPr>
              <w:t xml:space="preserve">განჩინებებით სასამართლოებმა  დაადგინეს, რომ </w:t>
            </w:r>
            <w:r w:rsidR="006C0CEA" w:rsidRPr="006C0CEA">
              <w:rPr>
                <w:rFonts w:ascii="Sylfaen" w:hAnsi="Sylfaen"/>
                <w:lang w:val="ka-GE"/>
              </w:rPr>
              <w:t>„სასამართლო მხოლოდ იმ შემთხვევაში იქნებოდა უფლებამოსილი ორგანო საქართველოს საარჩევნო კოდექსით გათვალისწინებული სამართალდარღვევის ჩადენის ფაქტთან დაკავშირებით შეადგენდა ადმინისტრაციულ სამართალდარღვევის ოქმებს, რომელიც „საარჩევნო ადმინისტრაციაში განცხადება/საჩივრის შეტანისა და განხილვის ინსტრუქციის დამტკიცების შესახებ“ საქართველოს ცენტრალური საარჩევნო კომისიის 2012 წლის 2 მარტის N8/2012 წლის დადგენილების შესაბამისად დაუყოვნებლივ გადაეგზავნებოდა თბილისის საქალაქო სასამართლოს ადმინისტრაციულ საქმეთა კოლეგიას.“(იხ. დანართი 2)</w:t>
            </w:r>
          </w:p>
          <w:p w14:paraId="7A1BFE70" w14:textId="2379720A" w:rsidR="00FF4FC6" w:rsidRDefault="00FF4FC6" w:rsidP="008265C6">
            <w:pPr>
              <w:ind w:right="-18"/>
              <w:jc w:val="both"/>
              <w:rPr>
                <w:rFonts w:ascii="Sylfaen" w:hAnsi="Sylfaen"/>
                <w:lang w:val="ka-GE"/>
              </w:rPr>
            </w:pPr>
          </w:p>
          <w:p w14:paraId="0518A042" w14:textId="5166D481" w:rsidR="00FF4FC6" w:rsidRDefault="00B239BC" w:rsidP="008265C6">
            <w:pPr>
              <w:ind w:right="-18"/>
              <w:jc w:val="both"/>
              <w:rPr>
                <w:rFonts w:ascii="Sylfaen" w:hAnsi="Sylfaen"/>
                <w:lang w:val="ka-GE"/>
              </w:rPr>
            </w:pPr>
            <w:r>
              <w:rPr>
                <w:rFonts w:ascii="Sylfaen" w:hAnsi="Sylfaen"/>
                <w:lang w:val="ka-GE"/>
              </w:rPr>
              <w:t>აღნიშნული განმარტებით, სასამართლომ დაადგინა, რომ მოსარჩელეს(საია) არ ჰქონდა უფლება უფლებამოსილი პირის მიერ ადმინისტრაციულ სამართალდარღვევათა ოქმის შედგენაზე უარი სასამართლოში გაესაჩივრებინა.</w:t>
            </w:r>
            <w:r w:rsidR="00B77D7C">
              <w:rPr>
                <w:rFonts w:ascii="Sylfaen" w:hAnsi="Sylfaen"/>
                <w:lang w:val="ka-GE"/>
              </w:rPr>
              <w:t xml:space="preserve"> სადავოდ გამხდარი ნორმები ადგენენ განცხადება/საჩივრის განხილვის უფლებამოსილებას, თუმცა სამართალდარღვევის ოქმის შედგენაზე უარის შემთხვევაში არ ითვალისწინებენ გასაჩივრების შესაძლებლობას.</w:t>
            </w:r>
            <w:r>
              <w:rPr>
                <w:rFonts w:ascii="Sylfaen" w:hAnsi="Sylfaen"/>
                <w:lang w:val="ka-GE"/>
              </w:rPr>
              <w:t xml:space="preserve"> </w:t>
            </w:r>
            <w:r w:rsidR="007117B5">
              <w:rPr>
                <w:rFonts w:ascii="Sylfaen" w:hAnsi="Sylfaen"/>
                <w:lang w:val="ka-GE"/>
              </w:rPr>
              <w:t>მოსარჩ</w:t>
            </w:r>
            <w:r w:rsidR="00705A8B">
              <w:rPr>
                <w:rFonts w:ascii="Sylfaen" w:hAnsi="Sylfaen"/>
                <w:lang w:val="ka-GE"/>
              </w:rPr>
              <w:t>ელეს</w:t>
            </w:r>
            <w:r w:rsidR="007117B5">
              <w:rPr>
                <w:rFonts w:ascii="Sylfaen" w:hAnsi="Sylfaen"/>
                <w:lang w:val="ka-GE"/>
              </w:rPr>
              <w:t xml:space="preserve"> სადავოდ გამხდარი ნორმების სწორედ ის ნორმატიული შინაარსი მიაჩნია არაკონსტიტუციურად, რომელიც მას არ აძლევს უფლებას სასამართლოში გაასაჩივროს საქართველოს საარჩევნო კოდექსით გათვალისწინებული სამართალდარღვევის ჩადენის ფაქტთან დაკავშირებით ადმინისტრაციულ სამართალდარღვევათა ოქმის შედგენაზე უარი.</w:t>
            </w:r>
            <w:r w:rsidR="00D93F21">
              <w:rPr>
                <w:rFonts w:ascii="Sylfaen" w:hAnsi="Sylfaen"/>
                <w:lang w:val="ka-GE"/>
              </w:rPr>
              <w:t xml:space="preserve"> </w:t>
            </w:r>
          </w:p>
          <w:p w14:paraId="5CE8833E" w14:textId="590CE303" w:rsidR="0085640A" w:rsidRDefault="0085640A" w:rsidP="008265C6">
            <w:pPr>
              <w:ind w:right="-18"/>
              <w:jc w:val="both"/>
              <w:rPr>
                <w:rFonts w:ascii="Sylfaen" w:hAnsi="Sylfaen"/>
                <w:lang w:val="ka-GE"/>
              </w:rPr>
            </w:pPr>
          </w:p>
          <w:p w14:paraId="5E6DDC34" w14:textId="2CED63A6" w:rsidR="0085640A" w:rsidRDefault="0085640A" w:rsidP="0085640A">
            <w:pPr>
              <w:pStyle w:val="ListParagraph"/>
              <w:numPr>
                <w:ilvl w:val="0"/>
                <w:numId w:val="31"/>
              </w:numPr>
              <w:ind w:right="-18"/>
              <w:jc w:val="both"/>
              <w:rPr>
                <w:rFonts w:ascii="Sylfaen" w:hAnsi="Sylfaen"/>
                <w:b/>
                <w:lang w:val="ka-GE"/>
              </w:rPr>
            </w:pPr>
            <w:r>
              <w:rPr>
                <w:rFonts w:ascii="Sylfaen" w:hAnsi="Sylfaen"/>
                <w:b/>
                <w:lang w:val="ka-GE"/>
              </w:rPr>
              <w:t>საქართველოს კონსტიტუციის 31-ე მუხლის პირველი პუნქტით დაცული უფლების სფერო</w:t>
            </w:r>
          </w:p>
          <w:p w14:paraId="0C217BE1" w14:textId="77777777" w:rsidR="009347D8" w:rsidRDefault="009347D8" w:rsidP="009347D8">
            <w:pPr>
              <w:ind w:right="-18"/>
              <w:jc w:val="both"/>
              <w:rPr>
                <w:rFonts w:ascii="Sylfaen" w:hAnsi="Sylfaen"/>
                <w:b/>
                <w:lang w:val="ka-GE"/>
              </w:rPr>
            </w:pPr>
          </w:p>
          <w:p w14:paraId="3F1ED13E" w14:textId="22B12271" w:rsidR="00B3548B" w:rsidRPr="00B3548B" w:rsidRDefault="009347D8" w:rsidP="009347D8">
            <w:pPr>
              <w:ind w:right="-18"/>
              <w:jc w:val="both"/>
              <w:rPr>
                <w:rFonts w:ascii="Sylfaen" w:hAnsi="Sylfaen"/>
              </w:rPr>
            </w:pPr>
            <w:r w:rsidRPr="009347D8">
              <w:rPr>
                <w:rFonts w:ascii="Sylfaen" w:hAnsi="Sylfaen"/>
                <w:lang w:val="ka-GE"/>
              </w:rPr>
              <w:t>საქართველოს საკონსტიტუციო სასამართლოს განმარტებით, საქართველოს კონსტიტუციის 42-ე მუხლის პირველი პუნქტით დაცული სამართლიანი სასამართლოს უფლება „… ქმნის კონსტიტუციითა თუ კანონით დაცული, აღიარებული, რომელიმე უფლებისა თუ სამართლებრივი ინტერესის სასამართლოში დაცვის პროცესუალურ გარანტიას. სამართლიანი სასამართლოს უფლების ეფექტურობაში არ მოიაზრება სასამართლოს შესაძლებლობა, შექმნას ან გააფართოვოს მატერიალური უფლების ფარგლები, იგი მხოლოდ უკვე არსებული უფლების ეფექტური დაცვის შესაძლებლობაზე მიუთითებს“</w:t>
            </w:r>
            <w:r>
              <w:rPr>
                <w:rStyle w:val="FootnoteReference"/>
                <w:rFonts w:ascii="Sylfaen" w:hAnsi="Sylfaen"/>
                <w:lang w:val="ka-GE"/>
              </w:rPr>
              <w:footnoteReference w:id="7"/>
            </w:r>
            <w:r w:rsidR="00B3548B">
              <w:rPr>
                <w:rFonts w:ascii="Sylfaen" w:hAnsi="Sylfaen"/>
              </w:rPr>
              <w:t xml:space="preserve">. </w:t>
            </w:r>
            <w:r w:rsidR="00B3548B" w:rsidRPr="00B3548B">
              <w:rPr>
                <w:rFonts w:ascii="Sylfaen" w:hAnsi="Sylfaen"/>
                <w:lang w:val="ka-GE"/>
              </w:rPr>
              <w:t>აღნიშნულიდან გამომდინარე, საქართველოს კონსტიტუციის 42-ე მუხლის პირველი პუნქტი იცავს პირის საპროცესო უფლებას, მის შესაძლებლობას, საქართველოს კონსტიტუციითა და კანონმდებლობით დადგენილი მატერიალური უფლებების დასაცავად მიმართოს სასამართლოს და ჰქონდეს ამ უფლების სასამართლოს მეშვეობით დაცვის ეფექტური მექანიზმები</w:t>
            </w:r>
            <w:r w:rsidR="00B3548B">
              <w:rPr>
                <w:rFonts w:ascii="Sylfaen" w:hAnsi="Sylfaen"/>
              </w:rPr>
              <w:t>.</w:t>
            </w:r>
          </w:p>
          <w:p w14:paraId="05B97CE9" w14:textId="2A3D4127" w:rsidR="0085640A" w:rsidRDefault="0085640A" w:rsidP="0085640A">
            <w:pPr>
              <w:ind w:right="-18"/>
              <w:jc w:val="both"/>
              <w:rPr>
                <w:rFonts w:ascii="Sylfaen" w:hAnsi="Sylfaen"/>
                <w:b/>
                <w:lang w:val="ka-GE"/>
              </w:rPr>
            </w:pPr>
          </w:p>
          <w:p w14:paraId="07A6858B" w14:textId="4DCAD5E1" w:rsidR="008265C6" w:rsidRDefault="0030536C" w:rsidP="0030536C">
            <w:pPr>
              <w:pStyle w:val="ListParagraph"/>
              <w:numPr>
                <w:ilvl w:val="0"/>
                <w:numId w:val="31"/>
              </w:numPr>
              <w:ind w:right="-18"/>
              <w:jc w:val="both"/>
              <w:rPr>
                <w:rFonts w:ascii="Sylfaen" w:hAnsi="Sylfaen"/>
                <w:b/>
                <w:lang w:val="ka-GE"/>
              </w:rPr>
            </w:pPr>
            <w:r>
              <w:rPr>
                <w:rFonts w:ascii="Sylfaen" w:hAnsi="Sylfaen"/>
                <w:b/>
                <w:lang w:val="ka-GE"/>
              </w:rPr>
              <w:t>საქართველოს კონსტიტუციის 31-ე მუხლის პირველი პუნქტით დაცულ უფლებაში  ჩარევა</w:t>
            </w:r>
          </w:p>
          <w:p w14:paraId="478E0C88" w14:textId="77777777" w:rsidR="00C84915" w:rsidRPr="00C84915" w:rsidRDefault="00C84915" w:rsidP="00C84915">
            <w:pPr>
              <w:pStyle w:val="ListParagraph"/>
              <w:rPr>
                <w:rFonts w:ascii="Sylfaen" w:hAnsi="Sylfaen"/>
                <w:b/>
                <w:lang w:val="ka-GE"/>
              </w:rPr>
            </w:pPr>
          </w:p>
          <w:p w14:paraId="797BF0ED" w14:textId="0ABCC6A5" w:rsidR="00C84915" w:rsidRDefault="00C84915" w:rsidP="00C84915">
            <w:pPr>
              <w:ind w:right="-18"/>
              <w:jc w:val="both"/>
              <w:rPr>
                <w:rFonts w:ascii="Sylfaen" w:hAnsi="Sylfaen"/>
              </w:rPr>
            </w:pPr>
            <w:r w:rsidRPr="00C84915">
              <w:rPr>
                <w:rFonts w:ascii="Sylfaen" w:hAnsi="Sylfaen"/>
                <w:lang w:val="ka-GE"/>
              </w:rPr>
              <w:t xml:space="preserve">საქართველოს საკონსტიტუციო სასამართლომ არაერთ გადაწყვეტილებაში მიუთითა, რომ სამართლიანი სასამართლოს უფლება ინსტრუმენტული ხასიათისაა და მისი რეალიზაცია „... მოითხოვს იმ კონკრეტული უფლების არსებობას, რომლის დაცვაც განაპირობებს სასამართლოსადმი მიმართვის შესაძლებლობას“ (საქართველოს საკონსტიტუციო სასამართლოს 2008 წლის 4 აპრილის №1/2/440 განჩინება საქმეზე </w:t>
            </w:r>
            <w:r w:rsidRPr="00C84915">
              <w:rPr>
                <w:rFonts w:ascii="Sylfaen" w:hAnsi="Sylfaen"/>
                <w:lang w:val="ka-GE"/>
              </w:rPr>
              <w:lastRenderedPageBreak/>
              <w:t>„საქართველოს მოქალაქე ანატოლი კოზლოვსკი საქართველოს პარლამენტის წინააღმდეგ“, II-1) ანუ აუცილებელია, იყოს prima facie უფლება, რომლის სასამართლო წესით დაცვაც სურს მოსარჩელეს. ამასთან, საკონსტიტუციო სასამართლოსადმი მიმართვისთვის პირს დარღვეული უნდა ჰქონდეს საქართველოს კონსტიტუციის მეორე თავით აღიარებული მისი უფლებები და თავისუფლებები ან უნდა იდგეს ასეთი დარღვევის უშუალო და გარდაუვალი საფრთხის წინაშე</w:t>
            </w:r>
            <w:r>
              <w:rPr>
                <w:rStyle w:val="FootnoteReference"/>
                <w:rFonts w:ascii="Sylfaen" w:hAnsi="Sylfaen"/>
                <w:lang w:val="ka-GE"/>
              </w:rPr>
              <w:footnoteReference w:id="8"/>
            </w:r>
            <w:r w:rsidR="005A0F8B">
              <w:rPr>
                <w:rFonts w:ascii="Sylfaen" w:hAnsi="Sylfaen"/>
              </w:rPr>
              <w:t>.</w:t>
            </w:r>
          </w:p>
          <w:p w14:paraId="071D4B89" w14:textId="29B4FF90" w:rsidR="005A0F8B" w:rsidRDefault="005A0F8B" w:rsidP="00C84915">
            <w:pPr>
              <w:ind w:right="-18"/>
              <w:jc w:val="both"/>
              <w:rPr>
                <w:rFonts w:ascii="Sylfaen" w:hAnsi="Sylfaen"/>
              </w:rPr>
            </w:pPr>
          </w:p>
          <w:p w14:paraId="4700B42E" w14:textId="47CD04A7" w:rsidR="00DA60AD" w:rsidRDefault="005A0F8B" w:rsidP="004513F9">
            <w:pPr>
              <w:ind w:right="-18"/>
              <w:jc w:val="both"/>
              <w:rPr>
                <w:rFonts w:ascii="Sylfaen" w:hAnsi="Sylfaen"/>
                <w:lang w:val="ka-GE"/>
              </w:rPr>
            </w:pPr>
            <w:r>
              <w:rPr>
                <w:rFonts w:ascii="Sylfaen" w:hAnsi="Sylfaen"/>
                <w:lang w:val="ka-GE"/>
              </w:rPr>
              <w:t xml:space="preserve">განსახილველ შემთხვევაში, </w:t>
            </w:r>
            <w:r w:rsidR="00370D6F">
              <w:rPr>
                <w:rFonts w:ascii="Sylfaen" w:hAnsi="Sylfaen"/>
                <w:lang w:val="ka-GE"/>
              </w:rPr>
              <w:t>ერთი მხრივ მოსარჩელეს აქვს უფლება, განცხადება/საჩივრით მიმართოს შესაბამის საარჩევნო კომისიას ადმინისტრაციულ სამართალდარღვევათა ოქმის შედგენის თაობაზე, ხოლო მეორე მხრივ</w:t>
            </w:r>
            <w:r w:rsidR="00D063B0">
              <w:rPr>
                <w:rFonts w:ascii="Sylfaen" w:hAnsi="Sylfaen"/>
                <w:lang w:val="ka-GE"/>
              </w:rPr>
              <w:t>,</w:t>
            </w:r>
            <w:r w:rsidR="00370D6F">
              <w:rPr>
                <w:rFonts w:ascii="Sylfaen" w:hAnsi="Sylfaen"/>
                <w:lang w:val="ka-GE"/>
              </w:rPr>
              <w:t xml:space="preserve"> სადავოდ გამხდარი ნორმები</w:t>
            </w:r>
            <w:r w:rsidR="00D063B0">
              <w:rPr>
                <w:rFonts w:ascii="Sylfaen" w:hAnsi="Sylfaen"/>
                <w:lang w:val="ka-GE"/>
              </w:rPr>
              <w:t xml:space="preserve"> </w:t>
            </w:r>
            <w:r w:rsidR="00370D6F">
              <w:rPr>
                <w:rFonts w:ascii="Sylfaen" w:hAnsi="Sylfaen"/>
                <w:lang w:val="ka-GE"/>
              </w:rPr>
              <w:t xml:space="preserve">ზღუდავენ მის უფლებას უფლებამოსილი პირის მიერ ოქმის შედგენაზე უარი გაასაჩივროს სასამართლოში. </w:t>
            </w:r>
            <w:r w:rsidR="00D063B0">
              <w:rPr>
                <w:rFonts w:ascii="Sylfaen" w:hAnsi="Sylfaen"/>
                <w:lang w:val="ka-GE"/>
              </w:rPr>
              <w:t xml:space="preserve">საქართველოს ახალგაზრდა იურისტთა ასოციაცია </w:t>
            </w:r>
            <w:r w:rsidR="00AD51EE">
              <w:rPr>
                <w:rFonts w:ascii="Sylfaen" w:hAnsi="Sylfaen"/>
                <w:lang w:val="ka-GE"/>
              </w:rPr>
              <w:t xml:space="preserve">საქართველოს კონსტიტუციის 22-ე მუხლის საფუძველზე გაერთიანებული </w:t>
            </w:r>
            <w:r w:rsidR="00D063B0">
              <w:rPr>
                <w:rFonts w:ascii="Sylfaen" w:hAnsi="Sylfaen"/>
                <w:lang w:val="ka-GE"/>
              </w:rPr>
              <w:t>არასამთავრობო ორგანიზაცი</w:t>
            </w:r>
            <w:r w:rsidR="00AD51EE">
              <w:rPr>
                <w:rFonts w:ascii="Sylfaen" w:hAnsi="Sylfaen"/>
                <w:lang w:val="ka-GE"/>
              </w:rPr>
              <w:t>ა</w:t>
            </w:r>
            <w:r w:rsidR="00D063B0">
              <w:rPr>
                <w:rFonts w:ascii="Sylfaen" w:hAnsi="Sylfaen"/>
                <w:lang w:val="ka-GE"/>
              </w:rPr>
              <w:t xml:space="preserve">ა, </w:t>
            </w:r>
            <w:r w:rsidR="004513F9">
              <w:rPr>
                <w:rFonts w:ascii="Sylfaen" w:hAnsi="Sylfaen"/>
                <w:lang w:val="ka-GE"/>
              </w:rPr>
              <w:t xml:space="preserve">რომლის ერთ-ერთ სტრატეგიულ ამოცანას </w:t>
            </w:r>
            <w:r w:rsidR="004513F9" w:rsidRPr="004513F9">
              <w:rPr>
                <w:rFonts w:ascii="Sylfaen" w:hAnsi="Sylfaen"/>
                <w:lang w:val="ka-GE"/>
              </w:rPr>
              <w:t>საარჩევნო პროცესებზე</w:t>
            </w:r>
            <w:r w:rsidR="004513F9">
              <w:rPr>
                <w:rFonts w:ascii="Sylfaen" w:hAnsi="Sylfaen"/>
                <w:lang w:val="ka-GE"/>
              </w:rPr>
              <w:t xml:space="preserve"> დაკვირვების გზით </w:t>
            </w:r>
            <w:r w:rsidR="004513F9" w:rsidRPr="004513F9">
              <w:rPr>
                <w:rFonts w:ascii="Sylfaen" w:hAnsi="Sylfaen"/>
                <w:lang w:val="ka-GE"/>
              </w:rPr>
              <w:t>საარჩევნო</w:t>
            </w:r>
            <w:r w:rsidR="004513F9">
              <w:rPr>
                <w:rFonts w:ascii="Sylfaen" w:hAnsi="Sylfaen"/>
                <w:lang w:val="ka-GE"/>
              </w:rPr>
              <w:t xml:space="preserve"> </w:t>
            </w:r>
            <w:r w:rsidR="004513F9" w:rsidRPr="004513F9">
              <w:rPr>
                <w:rFonts w:ascii="Sylfaen" w:hAnsi="Sylfaen"/>
                <w:lang w:val="ka-GE"/>
              </w:rPr>
              <w:t xml:space="preserve">პროცესის გაჯანსაღების ხელშეწყობა </w:t>
            </w:r>
            <w:r w:rsidR="004513F9">
              <w:rPr>
                <w:rFonts w:ascii="Sylfaen" w:hAnsi="Sylfaen"/>
                <w:lang w:val="ka-GE"/>
              </w:rPr>
              <w:t>წარმოადგენს.</w:t>
            </w:r>
            <w:r w:rsidR="001B66E0">
              <w:rPr>
                <w:rFonts w:ascii="Sylfaen" w:hAnsi="Sylfaen"/>
                <w:lang w:val="ka-GE"/>
              </w:rPr>
              <w:t xml:space="preserve"> </w:t>
            </w:r>
            <w:r w:rsidR="004F1BD3">
              <w:rPr>
                <w:rFonts w:ascii="Sylfaen" w:hAnsi="Sylfaen"/>
                <w:lang w:val="ka-GE"/>
              </w:rPr>
              <w:t xml:space="preserve">სწორედ გაერთიანების </w:t>
            </w:r>
            <w:r w:rsidR="009E0712">
              <w:rPr>
                <w:rFonts w:ascii="Sylfaen" w:hAnsi="Sylfaen"/>
                <w:lang w:val="ka-GE"/>
              </w:rPr>
              <w:t xml:space="preserve">უფლების ფარგლებში ახორციელებს საია სადამკვირვებლო მისიებს საპარლამენტო თუ საპრეზიდენტო არჩევნებზე. </w:t>
            </w:r>
            <w:r w:rsidR="00B742CB">
              <w:rPr>
                <w:rFonts w:ascii="Sylfaen" w:hAnsi="Sylfaen"/>
                <w:lang w:val="ka-GE"/>
              </w:rPr>
              <w:t>შესაბამისად, მის ინტერესს წარმოადგენს, გაერთიანების უფლების ფარგლებში დააკვირდეს საარჩევნო პროცესს და განცხადებით/საჩივრით მიმართოს შესაბამის საარჩევნო კომისიას ადმინისტრაციული სამართალდარღ</w:t>
            </w:r>
            <w:r w:rsidR="0056409D">
              <w:rPr>
                <w:rFonts w:ascii="Sylfaen" w:hAnsi="Sylfaen"/>
                <w:lang w:val="ka-GE"/>
              </w:rPr>
              <w:t>ვ</w:t>
            </w:r>
            <w:r w:rsidR="00B742CB">
              <w:rPr>
                <w:rFonts w:ascii="Sylfaen" w:hAnsi="Sylfaen"/>
                <w:lang w:val="ka-GE"/>
              </w:rPr>
              <w:t xml:space="preserve">ევის ოქმის შედგენასთან დაკავშირებით. </w:t>
            </w:r>
            <w:r w:rsidR="00DA60AD">
              <w:rPr>
                <w:rFonts w:ascii="Sylfaen" w:hAnsi="Sylfaen"/>
                <w:lang w:val="ka-GE"/>
              </w:rPr>
              <w:t>ხოლო სადავოდ გამხდარი ნორმატიული შინაარსის ფარგლებში, მას მართალია აქვს უფლება მიმართოს შესაბამის ორგანოს განცხადებით, თუმცა სამართალდარღვევის ოქმის შედგენაზე უარის თქმის შემთხვევაში, აღნიშნული გადაწყვეტილების სასამართლოს მიერ კანონიერების შემოწმების შეუძლებლობა, მას არ აძლევს საშუალებას ეფექტურად განახორციელოს აღნიშნული უფლება.</w:t>
            </w:r>
          </w:p>
          <w:p w14:paraId="1F384A52" w14:textId="6DBF2975" w:rsidR="001935C7" w:rsidRDefault="001935C7" w:rsidP="004513F9">
            <w:pPr>
              <w:ind w:right="-18"/>
              <w:jc w:val="both"/>
              <w:rPr>
                <w:rFonts w:ascii="Sylfaen" w:hAnsi="Sylfaen"/>
                <w:lang w:val="ka-GE"/>
              </w:rPr>
            </w:pPr>
          </w:p>
          <w:p w14:paraId="59A67114" w14:textId="1A241FC0" w:rsidR="001935C7" w:rsidRDefault="001935C7" w:rsidP="004513F9">
            <w:pPr>
              <w:ind w:right="-18"/>
              <w:jc w:val="both"/>
              <w:rPr>
                <w:rFonts w:ascii="Sylfaen" w:hAnsi="Sylfaen"/>
                <w:b/>
                <w:lang w:val="ka-GE"/>
              </w:rPr>
            </w:pPr>
            <w:r>
              <w:rPr>
                <w:rFonts w:ascii="Sylfaen" w:hAnsi="Sylfaen"/>
                <w:lang w:val="ka-GE"/>
              </w:rPr>
              <w:t xml:space="preserve">ამასთან აღსანიშნავია, საქართველოს საკონსტიტუციო სასამართლოს გადაწყვეტილება საქმეზე ხვიჩა ყირმიზაშვილი და სხვები საქართველოს პარლამენტის წინააღმდეგ, სადაც დავის საგანს დაზარალებულად ცნობაზე უარის სასამართლოში გასაჩივრება წარმოადგენდა. ამ საქმეში საკონსტიტუციო სასამართლომ არ მიიჩნია აუცილებლად იმის განსაზღვრა, არის თუ არა დაცული დაზარალებულად ცნობის უფლება საქართველოს კონსტიტუციით, იმისათვის რომ ამ საკითხზე დადგენილი შეზღუდვა კონსტიტუციის 31-ე მუხლის პირველი პუნქტით დაცულ სფეროში მოექცია (ძველი რედაქციის 42-ე მუხლის პირველი პუნქტი). ამ საქმეში მიღებული გადაწყვეტილების </w:t>
            </w:r>
            <w:r w:rsidR="0080020C">
              <w:rPr>
                <w:rFonts w:ascii="Sylfaen" w:hAnsi="Sylfaen"/>
                <w:lang w:val="ka-GE"/>
              </w:rPr>
              <w:t xml:space="preserve">მეორე თავის მე-9 პუნქტში განაცხადა: </w:t>
            </w:r>
            <w:r w:rsidR="0080020C" w:rsidRPr="003612C6">
              <w:rPr>
                <w:rFonts w:ascii="Sylfaen" w:hAnsi="Sylfaen"/>
                <w:lang w:val="ka-GE"/>
              </w:rPr>
              <w:t xml:space="preserve">„განსახილველ შემთხვევაში საქართველოს საკონსტიტუციო სასამართლო არ დგას იმის საჭიროების წინაშე, რომ შეაფასოს, რამდენად არის დაცული კონსტიტუციით დაზარალებულის ესა თუ ის უფლება ან რამდენად შეესაბამება დაზარალებულისათვის კანონით მინიჭებული უფლებები კონსტიტუციურ სტანდარტებს. როგორც აღინიშნა, საქართველოს კონსტიტუციის 42-ე მუხლის პირველი პუნქტი ინსტრუმენტული ხასიათის არის და </w:t>
            </w:r>
            <w:r w:rsidR="0080020C" w:rsidRPr="003612C6">
              <w:rPr>
                <w:rFonts w:ascii="Sylfaen" w:hAnsi="Sylfaen"/>
                <w:b/>
                <w:lang w:val="ka-GE"/>
              </w:rPr>
              <w:t>იცავს ნებისმიერი სიკეთის, მათ შორის, კანონით მინიჭებული უფლებების დაცვის შესაძლებლობას.“</w:t>
            </w:r>
            <w:r w:rsidR="0080020C">
              <w:rPr>
                <w:rFonts w:ascii="Sylfaen" w:hAnsi="Sylfaen"/>
                <w:b/>
                <w:lang w:val="ka-GE"/>
              </w:rPr>
              <w:t xml:space="preserve"> </w:t>
            </w:r>
          </w:p>
          <w:p w14:paraId="76E2D686" w14:textId="1474C19A" w:rsidR="0080020C" w:rsidRDefault="0080020C" w:rsidP="004513F9">
            <w:pPr>
              <w:ind w:right="-18"/>
              <w:jc w:val="both"/>
              <w:rPr>
                <w:rFonts w:ascii="Sylfaen" w:hAnsi="Sylfaen"/>
                <w:b/>
                <w:lang w:val="ka-GE"/>
              </w:rPr>
            </w:pPr>
          </w:p>
          <w:p w14:paraId="5E33E877" w14:textId="3C002E5F" w:rsidR="0080020C" w:rsidRDefault="0080020C" w:rsidP="004513F9">
            <w:pPr>
              <w:ind w:right="-18"/>
              <w:jc w:val="both"/>
              <w:rPr>
                <w:rFonts w:ascii="Sylfaen" w:hAnsi="Sylfaen"/>
                <w:lang w:val="ka-GE"/>
              </w:rPr>
            </w:pPr>
            <w:r w:rsidRPr="0080020C">
              <w:rPr>
                <w:rFonts w:ascii="Sylfaen" w:hAnsi="Sylfaen"/>
                <w:lang w:val="ka-GE"/>
              </w:rPr>
              <w:t>ამგვარად,</w:t>
            </w:r>
            <w:r>
              <w:rPr>
                <w:rFonts w:ascii="Sylfaen" w:hAnsi="Sylfaen"/>
                <w:lang w:val="ka-GE"/>
              </w:rPr>
              <w:t xml:space="preserve"> ყირმიზაშვილის საქმიდან გამომდინარე, საქართველოს კონსტიტუციის 31-ე მუხლის პირველი პუნქტით დაცულია კანონით გათვალისწინებული უფლების სასამართლოს წესით დაცვის შესაძლებლობა. საარჩევნო კოდექსის 39-ე მუხლის პირველი ნაწილის თანახმად, „</w:t>
            </w:r>
            <w:proofErr w:type="spellStart"/>
            <w:r w:rsidRPr="0080020C">
              <w:rPr>
                <w:rFonts w:ascii="Sylfaen" w:hAnsi="Sylfaen"/>
              </w:rPr>
              <w:t>არჩევნებზე</w:t>
            </w:r>
            <w:proofErr w:type="spellEnd"/>
            <w:r w:rsidRPr="0080020C">
              <w:rPr>
                <w:rFonts w:ascii="Sylfaen" w:hAnsi="Sylfaen"/>
              </w:rPr>
              <w:t xml:space="preserve"> დაკვირვების უფლება აქვთ ადგილობრივ და საერთაშორისო </w:t>
            </w:r>
            <w:proofErr w:type="spellStart"/>
            <w:r w:rsidRPr="0080020C">
              <w:rPr>
                <w:rFonts w:ascii="Sylfaen" w:hAnsi="Sylfaen"/>
              </w:rPr>
              <w:t>დამკვირვებელ</w:t>
            </w:r>
            <w:proofErr w:type="spellEnd"/>
            <w:r w:rsidRPr="0080020C">
              <w:rPr>
                <w:rFonts w:ascii="Sylfaen" w:hAnsi="Sylfaen"/>
              </w:rPr>
              <w:t xml:space="preserve"> </w:t>
            </w:r>
            <w:proofErr w:type="spellStart"/>
            <w:r w:rsidRPr="0080020C">
              <w:rPr>
                <w:rFonts w:ascii="Sylfaen" w:hAnsi="Sylfaen"/>
              </w:rPr>
              <w:t>ორგანიზაციებს</w:t>
            </w:r>
            <w:proofErr w:type="spellEnd"/>
            <w:r w:rsidRPr="0080020C">
              <w:rPr>
                <w:rFonts w:ascii="Sylfaen" w:hAnsi="Sylfaen"/>
              </w:rPr>
              <w:t xml:space="preserve">, რომლებიც </w:t>
            </w:r>
            <w:proofErr w:type="spellStart"/>
            <w:r w:rsidRPr="0080020C">
              <w:rPr>
                <w:rFonts w:ascii="Sylfaen" w:hAnsi="Sylfaen"/>
              </w:rPr>
              <w:t>აკმაყოფილებენ</w:t>
            </w:r>
            <w:proofErr w:type="spellEnd"/>
            <w:r w:rsidRPr="0080020C">
              <w:rPr>
                <w:rFonts w:ascii="Sylfaen" w:hAnsi="Sylfaen"/>
              </w:rPr>
              <w:t xml:space="preserve"> ამ კანონით დადგენილ პირობებს და </w:t>
            </w:r>
            <w:proofErr w:type="spellStart"/>
            <w:r w:rsidRPr="0080020C">
              <w:rPr>
                <w:rFonts w:ascii="Sylfaen" w:hAnsi="Sylfaen"/>
              </w:rPr>
              <w:t>რეგისტრაციას</w:t>
            </w:r>
            <w:proofErr w:type="spellEnd"/>
            <w:r w:rsidRPr="0080020C">
              <w:rPr>
                <w:rFonts w:ascii="Sylfaen" w:hAnsi="Sylfaen"/>
              </w:rPr>
              <w:t xml:space="preserve"> </w:t>
            </w:r>
            <w:proofErr w:type="spellStart"/>
            <w:r w:rsidRPr="0080020C">
              <w:rPr>
                <w:rFonts w:ascii="Sylfaen" w:hAnsi="Sylfaen"/>
              </w:rPr>
              <w:t>გაივლიან</w:t>
            </w:r>
            <w:proofErr w:type="spellEnd"/>
            <w:r w:rsidRPr="0080020C">
              <w:rPr>
                <w:rFonts w:ascii="Sylfaen" w:hAnsi="Sylfaen"/>
              </w:rPr>
              <w:t xml:space="preserve"> </w:t>
            </w:r>
            <w:proofErr w:type="spellStart"/>
            <w:r w:rsidRPr="0080020C">
              <w:rPr>
                <w:rFonts w:ascii="Sylfaen" w:hAnsi="Sylfaen"/>
              </w:rPr>
              <w:t>ცესკოში</w:t>
            </w:r>
            <w:proofErr w:type="spellEnd"/>
            <w:r w:rsidRPr="0080020C">
              <w:rPr>
                <w:rFonts w:ascii="Sylfaen" w:hAnsi="Sylfaen"/>
              </w:rPr>
              <w:t xml:space="preserve"> ან შესაბამის </w:t>
            </w:r>
            <w:proofErr w:type="spellStart"/>
            <w:r w:rsidRPr="0080020C">
              <w:rPr>
                <w:rFonts w:ascii="Sylfaen" w:hAnsi="Sylfaen"/>
              </w:rPr>
              <w:t>საოლქო</w:t>
            </w:r>
            <w:proofErr w:type="spellEnd"/>
            <w:r w:rsidRPr="0080020C">
              <w:rPr>
                <w:rFonts w:ascii="Sylfaen" w:hAnsi="Sylfaen"/>
              </w:rPr>
              <w:t xml:space="preserve"> საარჩევნო კომისიაში.</w:t>
            </w:r>
            <w:r>
              <w:rPr>
                <w:rFonts w:ascii="Sylfaen" w:hAnsi="Sylfaen"/>
                <w:lang w:val="ka-GE"/>
              </w:rPr>
              <w:t xml:space="preserve">“ საარჩევნო კოდექსის 41-ე მუხლის პირველი ნაწილის „მ“ ქვეპუნქტის თანახმად, </w:t>
            </w:r>
            <w:proofErr w:type="spellStart"/>
            <w:r w:rsidR="00B20910" w:rsidRPr="00B20910">
              <w:rPr>
                <w:rFonts w:ascii="Sylfaen" w:hAnsi="Sylfaen"/>
              </w:rPr>
              <w:t>დამკვირვებელს</w:t>
            </w:r>
            <w:proofErr w:type="spellEnd"/>
            <w:r w:rsidR="00B20910" w:rsidRPr="00B20910">
              <w:rPr>
                <w:rFonts w:ascii="Sylfaen" w:hAnsi="Sylfaen"/>
              </w:rPr>
              <w:t xml:space="preserve"> უფლება აქვს:</w:t>
            </w:r>
            <w:r w:rsidR="00B20910">
              <w:rPr>
                <w:rFonts w:ascii="Sylfaen" w:hAnsi="Sylfaen"/>
                <w:lang w:val="ka-GE"/>
              </w:rPr>
              <w:t xml:space="preserve"> </w:t>
            </w:r>
            <w:proofErr w:type="spellStart"/>
            <w:r w:rsidR="00B20910" w:rsidRPr="00B20910">
              <w:rPr>
                <w:rFonts w:ascii="Sylfaen" w:hAnsi="Sylfaen"/>
              </w:rPr>
              <w:t>გაასაჩივროს</w:t>
            </w:r>
            <w:proofErr w:type="spellEnd"/>
            <w:r w:rsidR="00B20910" w:rsidRPr="00B20910">
              <w:rPr>
                <w:rFonts w:ascii="Sylfaen" w:hAnsi="Sylfaen"/>
              </w:rPr>
              <w:t xml:space="preserve"> საარჩევნო კომისიის </w:t>
            </w:r>
            <w:proofErr w:type="spellStart"/>
            <w:r w:rsidR="00B20910" w:rsidRPr="00B20910">
              <w:rPr>
                <w:rFonts w:ascii="Sylfaen" w:hAnsi="Sylfaen"/>
              </w:rPr>
              <w:t>ქმედება</w:t>
            </w:r>
            <w:proofErr w:type="spellEnd"/>
            <w:r w:rsidR="00B20910" w:rsidRPr="00B20910">
              <w:rPr>
                <w:rFonts w:ascii="Sylfaen" w:hAnsi="Sylfaen"/>
              </w:rPr>
              <w:t xml:space="preserve"> </w:t>
            </w:r>
            <w:proofErr w:type="spellStart"/>
            <w:r w:rsidR="00B20910" w:rsidRPr="00B20910">
              <w:rPr>
                <w:rFonts w:ascii="Sylfaen" w:hAnsi="Sylfaen"/>
              </w:rPr>
              <w:t>საქართველოს</w:t>
            </w:r>
            <w:proofErr w:type="spellEnd"/>
            <w:r w:rsidR="00B20910" w:rsidRPr="00B20910">
              <w:rPr>
                <w:rFonts w:ascii="Sylfaen" w:hAnsi="Sylfaen"/>
              </w:rPr>
              <w:t xml:space="preserve"> კანონმდებლობით დადგენილი წესით;</w:t>
            </w:r>
            <w:r w:rsidR="00A24B86">
              <w:rPr>
                <w:rFonts w:ascii="Sylfaen" w:hAnsi="Sylfaen"/>
                <w:lang w:val="ka-GE"/>
              </w:rPr>
              <w:t xml:space="preserve"> საკონსტიტუციო სასამართლომ 2008 წლის 20 მაისს მიღებულ საოქმო ჩანაწერის მეორე თავის მე-4 პუნქტში </w:t>
            </w:r>
            <w:r w:rsidR="00A24B86" w:rsidRPr="00A24B86">
              <w:rPr>
                <w:rFonts w:ascii="Sylfaen" w:hAnsi="Sylfaen"/>
              </w:rPr>
              <w:lastRenderedPageBreak/>
              <w:t>N1/3/452,453</w:t>
            </w:r>
            <w:r w:rsidR="00A24B86">
              <w:rPr>
                <w:rFonts w:ascii="Sylfaen" w:hAnsi="Sylfaen"/>
                <w:lang w:val="ka-GE"/>
              </w:rPr>
              <w:t xml:space="preserve"> საქმეზე საქართველოს ახალგაზრდა იურისტთა ასოციაცია და სახალხო დამცველი საქართველოს პარლამენტის წინააღმდეგ (საქმე ეხებოდა სადამკვირვებლო ორგანიზაციის მიერ საარჩევნო უბანში დამონტაჟებული ვიდეოთვალის ჩანაწერებზე წვდომას) განაცხადა:</w:t>
            </w:r>
            <w:r w:rsidRPr="0080020C">
              <w:rPr>
                <w:rFonts w:ascii="Sylfaen" w:hAnsi="Sylfaen"/>
                <w:lang w:val="ka-GE"/>
              </w:rPr>
              <w:t xml:space="preserve"> </w:t>
            </w:r>
            <w:r w:rsidR="00A24B86" w:rsidRPr="00544C42">
              <w:rPr>
                <w:rFonts w:ascii="Sylfaen" w:hAnsi="Sylfaen"/>
                <w:lang w:val="ka-GE"/>
              </w:rPr>
              <w:t xml:space="preserve">„საქართველოს საარჩევნო კოდექსის შესაბამისად, დამკვირვებელს ხელთ აქვს არაერთი შესაძლებლობა დააკვირდეს საარჩევნო პროცესის ნებისმიერ ეტაპს, დაკვირვების შედეგად მიიღოს და გაავრცელოს ინფორმაცია საარჩევნო პროცესის მიმდინარეობის შესახებ.“ </w:t>
            </w:r>
          </w:p>
          <w:p w14:paraId="6DFFC515" w14:textId="55FD24D5" w:rsidR="00A24B86" w:rsidRDefault="00A24B86" w:rsidP="004513F9">
            <w:pPr>
              <w:ind w:right="-18"/>
              <w:jc w:val="both"/>
              <w:rPr>
                <w:rFonts w:ascii="Sylfaen" w:hAnsi="Sylfaen"/>
                <w:lang w:val="ka-GE"/>
              </w:rPr>
            </w:pPr>
          </w:p>
          <w:p w14:paraId="6B7AEEA5" w14:textId="67CD548E" w:rsidR="00A24B86" w:rsidRPr="00A24B86" w:rsidRDefault="00A24B86" w:rsidP="004513F9">
            <w:pPr>
              <w:ind w:right="-18"/>
              <w:jc w:val="both"/>
              <w:rPr>
                <w:rFonts w:ascii="Sylfaen" w:hAnsi="Sylfaen"/>
                <w:lang w:val="ka-GE"/>
              </w:rPr>
            </w:pPr>
            <w:r>
              <w:rPr>
                <w:rFonts w:ascii="Sylfaen" w:hAnsi="Sylfaen"/>
                <w:lang w:val="ka-GE"/>
              </w:rPr>
              <w:t>ამგვარად, საქართველოს კანონმდებლობა ანიჭებს სადამკვირვებლო ორგანიზაციას უფლებას დააკვირდეს წინასაარჩევნო და კენჭისყრის პროცესს, ამ დროს აღმოჩენილი დარღვევები გაასაჩივროს საარჩევნო კომისიაში ან სასამართლოში. ეს არის კანონით გათვალისწინებული უფლება, რის დასაცავად, ყირმიზაშვილის საქმიდან გამომდინარე, გარანტირებული უნდა იყოს სასამართლოზე ხელმისაწვდომობის უფლება</w:t>
            </w:r>
            <w:r w:rsidR="001F5375">
              <w:rPr>
                <w:rFonts w:ascii="Sylfaen" w:hAnsi="Sylfaen"/>
                <w:lang w:val="ka-GE"/>
              </w:rPr>
              <w:t>,</w:t>
            </w:r>
            <w:r>
              <w:rPr>
                <w:rFonts w:ascii="Sylfaen" w:hAnsi="Sylfaen"/>
                <w:lang w:val="ka-GE"/>
              </w:rPr>
              <w:t xml:space="preserve"> თუნდაც საქართველოს კონსტიტუცია პირდაპირ არ საუბრობდეს საზოგადოებრივი გაერთიანების მიერ არჩევნებზე დაკვირვების უფლებასთან დაკავშირებით.  საზოგადოებრივი ორგანიზაციის მიერ არჩევნებზე დაკვირვება კანონმდებლის მიერ შექმნილი და არა კონსტიტუციით გარანტირებული უფლება </w:t>
            </w:r>
            <w:r w:rsidR="001F5375">
              <w:rPr>
                <w:rFonts w:ascii="Sylfaen" w:hAnsi="Sylfaen"/>
                <w:lang w:val="ka-GE"/>
              </w:rPr>
              <w:t xml:space="preserve">რომც </w:t>
            </w:r>
            <w:r>
              <w:rPr>
                <w:rFonts w:ascii="Sylfaen" w:hAnsi="Sylfaen"/>
                <w:lang w:val="ka-GE"/>
              </w:rPr>
              <w:t xml:space="preserve">იყოს, ამის მიუხედავად, </w:t>
            </w:r>
            <w:r w:rsidR="00190980">
              <w:rPr>
                <w:rFonts w:ascii="Sylfaen" w:hAnsi="Sylfaen"/>
                <w:lang w:val="ka-GE"/>
              </w:rPr>
              <w:t xml:space="preserve">კონსტიტუციის 31-ე მუხლის პირველი პუნქტი ითვალისწინებს ასეთი უფლების სასამართლოში დაცვის შესაძლებლობა. </w:t>
            </w:r>
            <w:r>
              <w:rPr>
                <w:rFonts w:ascii="Sylfaen" w:hAnsi="Sylfaen"/>
                <w:lang w:val="ka-GE"/>
              </w:rPr>
              <w:t xml:space="preserve"> </w:t>
            </w:r>
          </w:p>
          <w:p w14:paraId="4814778A" w14:textId="16539198" w:rsidR="00DA60AD" w:rsidRDefault="00DA60AD" w:rsidP="004513F9">
            <w:pPr>
              <w:ind w:right="-18"/>
              <w:jc w:val="both"/>
              <w:rPr>
                <w:rFonts w:ascii="Sylfaen" w:hAnsi="Sylfaen"/>
                <w:lang w:val="ka-GE"/>
              </w:rPr>
            </w:pPr>
          </w:p>
          <w:p w14:paraId="2FABE5EA" w14:textId="3CE68ADD" w:rsidR="004304A3" w:rsidRDefault="00DA60AD" w:rsidP="004513F9">
            <w:pPr>
              <w:ind w:right="-18"/>
              <w:jc w:val="both"/>
              <w:rPr>
                <w:rFonts w:ascii="Sylfaen" w:hAnsi="Sylfaen"/>
                <w:lang w:val="ka-GE"/>
              </w:rPr>
            </w:pPr>
            <w:r>
              <w:rPr>
                <w:rFonts w:ascii="Sylfaen" w:hAnsi="Sylfaen"/>
                <w:lang w:val="ka-GE"/>
              </w:rPr>
              <w:t xml:space="preserve">ყოველივე ზემოთქმულიდან გამომდინარე, ვინაიდან მოსარჩელეს არ აქვს შესაძლებლობა სასამართლოსთვის მიმართვის </w:t>
            </w:r>
            <w:r w:rsidR="00B81F2B">
              <w:rPr>
                <w:rFonts w:ascii="Sylfaen" w:hAnsi="Sylfaen"/>
                <w:lang w:val="ka-GE"/>
              </w:rPr>
              <w:t xml:space="preserve">გზით </w:t>
            </w:r>
            <w:r>
              <w:rPr>
                <w:rFonts w:ascii="Sylfaen" w:hAnsi="Sylfaen"/>
                <w:lang w:val="ka-GE"/>
              </w:rPr>
              <w:t xml:space="preserve"> ეფექტურად განახორციელოს საკუთარი გაერთიანების უფლების </w:t>
            </w:r>
            <w:r w:rsidR="001F5375">
              <w:rPr>
                <w:rFonts w:ascii="Sylfaen" w:hAnsi="Sylfaen"/>
                <w:lang w:val="ka-GE"/>
              </w:rPr>
              <w:t xml:space="preserve">ან და საარჩევნო კოდექსის </w:t>
            </w:r>
            <w:r>
              <w:rPr>
                <w:rFonts w:ascii="Sylfaen" w:hAnsi="Sylfaen"/>
                <w:lang w:val="ka-GE"/>
              </w:rPr>
              <w:t xml:space="preserve">ფარგლებში </w:t>
            </w:r>
            <w:r w:rsidR="001F5375">
              <w:rPr>
                <w:rFonts w:ascii="Sylfaen" w:hAnsi="Sylfaen"/>
                <w:lang w:val="ka-GE"/>
              </w:rPr>
              <w:t xml:space="preserve">მინიჭებული </w:t>
            </w:r>
            <w:r>
              <w:rPr>
                <w:rFonts w:ascii="Sylfaen" w:hAnsi="Sylfaen"/>
                <w:lang w:val="ka-GE"/>
              </w:rPr>
              <w:t xml:space="preserve">არჩევნებზე </w:t>
            </w:r>
            <w:r w:rsidR="001F5375">
              <w:rPr>
                <w:rFonts w:ascii="Sylfaen" w:hAnsi="Sylfaen"/>
                <w:lang w:val="ka-GE"/>
              </w:rPr>
              <w:t>დაკვირვების უფლება</w:t>
            </w:r>
            <w:r>
              <w:rPr>
                <w:rFonts w:ascii="Sylfaen" w:hAnsi="Sylfaen"/>
                <w:lang w:val="ka-GE"/>
              </w:rPr>
              <w:t>, სახეზეა კონსტიტუციის 31-ე მუხლის პირველი პუნქტით დაცულ</w:t>
            </w:r>
            <w:r w:rsidR="00F47878">
              <w:rPr>
                <w:rFonts w:ascii="Sylfaen" w:hAnsi="Sylfaen"/>
                <w:lang w:val="ka-GE"/>
              </w:rPr>
              <w:t xml:space="preserve"> უფლებაში ჩარევა.</w:t>
            </w:r>
            <w:r w:rsidR="00B77D7C">
              <w:rPr>
                <w:rFonts w:ascii="Sylfaen" w:hAnsi="Sylfaen"/>
                <w:lang w:val="ka-GE"/>
              </w:rPr>
              <w:t xml:space="preserve"> ამასთან, </w:t>
            </w:r>
            <w:r w:rsidR="004304A3">
              <w:rPr>
                <w:rFonts w:ascii="Sylfaen" w:hAnsi="Sylfaen"/>
                <w:lang w:val="ka-GE"/>
              </w:rPr>
              <w:t xml:space="preserve">ვინაიდან დადგინდა, რომ სახეზეა უფლებაში ჩარევა, უფლებაში ჩარევის კონსტიტუციურობა უნდა შემოწმდეს თანაზომიერების ტესტით. </w:t>
            </w:r>
          </w:p>
          <w:p w14:paraId="12709CC3" w14:textId="08A703D8" w:rsidR="00FE5E4A" w:rsidRDefault="00FE5E4A" w:rsidP="004513F9">
            <w:pPr>
              <w:ind w:right="-18"/>
              <w:jc w:val="both"/>
              <w:rPr>
                <w:rFonts w:ascii="Sylfaen" w:hAnsi="Sylfaen"/>
                <w:lang w:val="ka-GE"/>
              </w:rPr>
            </w:pPr>
          </w:p>
          <w:p w14:paraId="0A4B3D67" w14:textId="4DAAAFE3" w:rsidR="00FE5E4A" w:rsidRDefault="00933ECD" w:rsidP="00933ECD">
            <w:pPr>
              <w:pStyle w:val="ListParagraph"/>
              <w:numPr>
                <w:ilvl w:val="0"/>
                <w:numId w:val="31"/>
              </w:numPr>
              <w:ind w:right="-18"/>
              <w:jc w:val="both"/>
              <w:rPr>
                <w:rFonts w:ascii="Sylfaen" w:hAnsi="Sylfaen"/>
                <w:b/>
                <w:lang w:val="ka-GE"/>
              </w:rPr>
            </w:pPr>
            <w:r>
              <w:rPr>
                <w:rFonts w:ascii="Sylfaen" w:hAnsi="Sylfaen"/>
                <w:b/>
                <w:lang w:val="ka-GE"/>
              </w:rPr>
              <w:t>ლეგიტიმური მიზანი</w:t>
            </w:r>
          </w:p>
          <w:p w14:paraId="282A872F" w14:textId="5487E59E" w:rsidR="00933ECD" w:rsidRDefault="00933ECD" w:rsidP="00933ECD">
            <w:pPr>
              <w:ind w:right="-18"/>
              <w:jc w:val="both"/>
              <w:rPr>
                <w:rFonts w:ascii="Sylfaen" w:hAnsi="Sylfaen"/>
                <w:lang w:val="ka-GE"/>
              </w:rPr>
            </w:pPr>
          </w:p>
          <w:p w14:paraId="34AE96B8" w14:textId="4F957E47" w:rsidR="00C621A0" w:rsidRPr="00F53C78" w:rsidRDefault="00B93186" w:rsidP="00933ECD">
            <w:pPr>
              <w:ind w:right="-18"/>
              <w:jc w:val="both"/>
              <w:rPr>
                <w:rFonts w:ascii="Sylfaen" w:hAnsi="Sylfaen"/>
                <w:lang w:val="ka-GE"/>
              </w:rPr>
            </w:pPr>
            <w:r w:rsidRPr="00B93186">
              <w:rPr>
                <w:rFonts w:ascii="Sylfaen" w:hAnsi="Sylfaen"/>
              </w:rPr>
              <w:t xml:space="preserve">საკონსტიტუციო სასამართლოს </w:t>
            </w:r>
            <w:proofErr w:type="spellStart"/>
            <w:r w:rsidRPr="00B93186">
              <w:rPr>
                <w:rFonts w:ascii="Sylfaen" w:hAnsi="Sylfaen"/>
              </w:rPr>
              <w:t>განმარტებით</w:t>
            </w:r>
            <w:proofErr w:type="spellEnd"/>
            <w:r w:rsidRPr="00B93186">
              <w:rPr>
                <w:rFonts w:ascii="Sylfaen" w:hAnsi="Sylfaen"/>
              </w:rPr>
              <w:t xml:space="preserve">, </w:t>
            </w:r>
            <w:proofErr w:type="spellStart"/>
            <w:r w:rsidRPr="00B93186">
              <w:rPr>
                <w:rFonts w:ascii="Sylfaen" w:hAnsi="Sylfaen"/>
              </w:rPr>
              <w:t>მიუხედავად</w:t>
            </w:r>
            <w:proofErr w:type="spellEnd"/>
            <w:r w:rsidRPr="00B93186">
              <w:rPr>
                <w:rFonts w:ascii="Sylfaen" w:hAnsi="Sylfaen"/>
              </w:rPr>
              <w:t xml:space="preserve"> </w:t>
            </w:r>
            <w:proofErr w:type="spellStart"/>
            <w:r w:rsidRPr="00B93186">
              <w:rPr>
                <w:rFonts w:ascii="Sylfaen" w:hAnsi="Sylfaen"/>
              </w:rPr>
              <w:t>იმისა</w:t>
            </w:r>
            <w:proofErr w:type="spellEnd"/>
            <w:r w:rsidRPr="00B93186">
              <w:rPr>
                <w:rFonts w:ascii="Sylfaen" w:hAnsi="Sylfaen"/>
              </w:rPr>
              <w:t xml:space="preserve">, რომ </w:t>
            </w:r>
            <w:proofErr w:type="spellStart"/>
            <w:r w:rsidRPr="00B93186">
              <w:rPr>
                <w:rFonts w:ascii="Sylfaen" w:hAnsi="Sylfaen"/>
              </w:rPr>
              <w:t>თანამედროვე</w:t>
            </w:r>
            <w:proofErr w:type="spellEnd"/>
            <w:r w:rsidRPr="00B93186">
              <w:rPr>
                <w:rFonts w:ascii="Sylfaen" w:hAnsi="Sylfaen"/>
              </w:rPr>
              <w:t xml:space="preserve"> დემოკრატიულ და სამართლებრივ </w:t>
            </w:r>
            <w:proofErr w:type="spellStart"/>
            <w:r w:rsidRPr="00B93186">
              <w:rPr>
                <w:rFonts w:ascii="Sylfaen" w:hAnsi="Sylfaen"/>
              </w:rPr>
              <w:t>სახელმწიფოში</w:t>
            </w:r>
            <w:proofErr w:type="spellEnd"/>
            <w:r w:rsidRPr="00B93186">
              <w:rPr>
                <w:rFonts w:ascii="Sylfaen" w:hAnsi="Sylfaen"/>
              </w:rPr>
              <w:t xml:space="preserve"> სამართლიანი სასამართლოს </w:t>
            </w:r>
            <w:proofErr w:type="spellStart"/>
            <w:r w:rsidRPr="00B93186">
              <w:rPr>
                <w:rFonts w:ascii="Sylfaen" w:hAnsi="Sylfaen"/>
              </w:rPr>
              <w:t>უფლებას</w:t>
            </w:r>
            <w:proofErr w:type="spellEnd"/>
            <w:r w:rsidRPr="00B93186">
              <w:rPr>
                <w:rFonts w:ascii="Sylfaen" w:hAnsi="Sylfaen"/>
              </w:rPr>
              <w:t xml:space="preserve"> განსაკუთრებული </w:t>
            </w:r>
            <w:proofErr w:type="spellStart"/>
            <w:r w:rsidRPr="00B93186">
              <w:rPr>
                <w:rFonts w:ascii="Sylfaen" w:hAnsi="Sylfaen"/>
              </w:rPr>
              <w:t>მნიშვნელობა</w:t>
            </w:r>
            <w:proofErr w:type="spellEnd"/>
            <w:r w:rsidRPr="00B93186">
              <w:rPr>
                <w:rFonts w:ascii="Sylfaen" w:hAnsi="Sylfaen"/>
              </w:rPr>
              <w:t xml:space="preserve"> აქვს, იგი არ არის </w:t>
            </w:r>
            <w:proofErr w:type="spellStart"/>
            <w:r w:rsidRPr="00B93186">
              <w:rPr>
                <w:rFonts w:ascii="Sylfaen" w:hAnsi="Sylfaen"/>
              </w:rPr>
              <w:t>აბსოლუტური</w:t>
            </w:r>
            <w:proofErr w:type="spellEnd"/>
            <w:r w:rsidRPr="00B93186">
              <w:rPr>
                <w:rFonts w:ascii="Sylfaen" w:hAnsi="Sylfaen"/>
              </w:rPr>
              <w:t xml:space="preserve"> და „შეიძლება </w:t>
            </w:r>
            <w:proofErr w:type="spellStart"/>
            <w:r w:rsidRPr="00B93186">
              <w:rPr>
                <w:rFonts w:ascii="Sylfaen" w:hAnsi="Sylfaen"/>
              </w:rPr>
              <w:t>შეიზღუდოს</w:t>
            </w:r>
            <w:proofErr w:type="spellEnd"/>
            <w:r w:rsidRPr="00B93186">
              <w:rPr>
                <w:rFonts w:ascii="Sylfaen" w:hAnsi="Sylfaen"/>
              </w:rPr>
              <w:t xml:space="preserve"> </w:t>
            </w:r>
            <w:proofErr w:type="spellStart"/>
            <w:r w:rsidRPr="00B93186">
              <w:rPr>
                <w:rFonts w:ascii="Sylfaen" w:hAnsi="Sylfaen"/>
              </w:rPr>
              <w:t>გარკვეული</w:t>
            </w:r>
            <w:proofErr w:type="spellEnd"/>
            <w:r w:rsidRPr="00B93186">
              <w:rPr>
                <w:rFonts w:ascii="Sylfaen" w:hAnsi="Sylfaen"/>
              </w:rPr>
              <w:t xml:space="preserve"> </w:t>
            </w:r>
            <w:proofErr w:type="spellStart"/>
            <w:r w:rsidRPr="00B93186">
              <w:rPr>
                <w:rFonts w:ascii="Sylfaen" w:hAnsi="Sylfaen"/>
              </w:rPr>
              <w:t>პირობებით</w:t>
            </w:r>
            <w:proofErr w:type="spellEnd"/>
            <w:r w:rsidRPr="00B93186">
              <w:rPr>
                <w:rFonts w:ascii="Sylfaen" w:hAnsi="Sylfaen"/>
              </w:rPr>
              <w:t xml:space="preserve">, რაც </w:t>
            </w:r>
            <w:proofErr w:type="spellStart"/>
            <w:r w:rsidRPr="00B93186">
              <w:rPr>
                <w:rFonts w:ascii="Sylfaen" w:hAnsi="Sylfaen"/>
              </w:rPr>
              <w:t>გამართლებული</w:t>
            </w:r>
            <w:proofErr w:type="spellEnd"/>
            <w:r w:rsidRPr="00B93186">
              <w:rPr>
                <w:rFonts w:ascii="Sylfaen" w:hAnsi="Sylfaen"/>
              </w:rPr>
              <w:t xml:space="preserve"> იქნება დემოკრატიულ საზოგადოებაში ლეგიტიმური საჯარო </w:t>
            </w:r>
            <w:proofErr w:type="spellStart"/>
            <w:r w:rsidRPr="00B93186">
              <w:rPr>
                <w:rFonts w:ascii="Sylfaen" w:hAnsi="Sylfaen"/>
              </w:rPr>
              <w:t>ინტერესით</w:t>
            </w:r>
            <w:proofErr w:type="spellEnd"/>
            <w:r w:rsidRPr="00B93186">
              <w:rPr>
                <w:rFonts w:ascii="Sylfaen" w:hAnsi="Sylfaen"/>
              </w:rPr>
              <w:t>“.</w:t>
            </w:r>
          </w:p>
          <w:p w14:paraId="279D1858" w14:textId="1F1017B5" w:rsidR="00B93186" w:rsidRDefault="00B93186" w:rsidP="00933ECD">
            <w:pPr>
              <w:ind w:right="-18"/>
              <w:jc w:val="both"/>
              <w:rPr>
                <w:rFonts w:ascii="Sylfaen" w:hAnsi="Sylfaen"/>
              </w:rPr>
            </w:pPr>
          </w:p>
          <w:p w14:paraId="476A43CF" w14:textId="4281BD83" w:rsidR="00B93186" w:rsidRDefault="00B93186" w:rsidP="00933ECD">
            <w:pPr>
              <w:ind w:right="-18"/>
              <w:jc w:val="both"/>
              <w:rPr>
                <w:rFonts w:ascii="Sylfaen" w:hAnsi="Sylfaen"/>
              </w:rPr>
            </w:pPr>
            <w:proofErr w:type="spellStart"/>
            <w:r w:rsidRPr="00B93186">
              <w:rPr>
                <w:rFonts w:ascii="Sylfaen" w:hAnsi="Sylfaen"/>
              </w:rPr>
              <w:t>ამასთანავე</w:t>
            </w:r>
            <w:proofErr w:type="spellEnd"/>
            <w:r w:rsidRPr="00B93186">
              <w:rPr>
                <w:rFonts w:ascii="Sylfaen" w:hAnsi="Sylfaen"/>
              </w:rPr>
              <w:t xml:space="preserve">, </w:t>
            </w:r>
            <w:proofErr w:type="spellStart"/>
            <w:r w:rsidRPr="00B93186">
              <w:rPr>
                <w:rFonts w:ascii="Sylfaen" w:hAnsi="Sylfaen"/>
              </w:rPr>
              <w:t>საქართველოს</w:t>
            </w:r>
            <w:proofErr w:type="spellEnd"/>
            <w:r w:rsidRPr="00B93186">
              <w:rPr>
                <w:rFonts w:ascii="Sylfaen" w:hAnsi="Sylfaen"/>
              </w:rPr>
              <w:t xml:space="preserve"> საკონსტიტუციო სასამართლოს </w:t>
            </w:r>
            <w:proofErr w:type="spellStart"/>
            <w:r w:rsidRPr="00B93186">
              <w:rPr>
                <w:rFonts w:ascii="Sylfaen" w:hAnsi="Sylfaen"/>
              </w:rPr>
              <w:t>პრაქტიკის</w:t>
            </w:r>
            <w:proofErr w:type="spellEnd"/>
            <w:r w:rsidRPr="00B93186">
              <w:rPr>
                <w:rFonts w:ascii="Sylfaen" w:hAnsi="Sylfaen"/>
              </w:rPr>
              <w:t xml:space="preserve"> თანახმად, შეზღუდვის </w:t>
            </w:r>
            <w:proofErr w:type="spellStart"/>
            <w:r w:rsidRPr="00B93186">
              <w:rPr>
                <w:rFonts w:ascii="Sylfaen" w:hAnsi="Sylfaen"/>
              </w:rPr>
              <w:t>კონსტიტუციურობა</w:t>
            </w:r>
            <w:proofErr w:type="spellEnd"/>
            <w:r w:rsidRPr="00B93186">
              <w:rPr>
                <w:rFonts w:ascii="Sylfaen" w:hAnsi="Sylfaen"/>
              </w:rPr>
              <w:t xml:space="preserve"> უნდა </w:t>
            </w:r>
            <w:proofErr w:type="spellStart"/>
            <w:r w:rsidRPr="00B93186">
              <w:rPr>
                <w:rFonts w:ascii="Sylfaen" w:hAnsi="Sylfaen"/>
              </w:rPr>
              <w:t>შეფასდეს</w:t>
            </w:r>
            <w:proofErr w:type="spellEnd"/>
            <w:r w:rsidRPr="00B93186">
              <w:rPr>
                <w:rFonts w:ascii="Sylfaen" w:hAnsi="Sylfaen"/>
              </w:rPr>
              <w:t xml:space="preserve"> თანაზომიერების პრინციპის შესაბამისად. თანაზომიერების პრინციპის მიხედვით, „უფლების </w:t>
            </w:r>
            <w:proofErr w:type="spellStart"/>
            <w:r w:rsidRPr="00B93186">
              <w:rPr>
                <w:rFonts w:ascii="Sylfaen" w:hAnsi="Sylfaen"/>
              </w:rPr>
              <w:t>მზღუდავი</w:t>
            </w:r>
            <w:proofErr w:type="spellEnd"/>
            <w:r w:rsidRPr="00B93186">
              <w:rPr>
                <w:rFonts w:ascii="Sylfaen" w:hAnsi="Sylfaen"/>
              </w:rPr>
              <w:t xml:space="preserve"> საკანონმდებლო </w:t>
            </w:r>
            <w:proofErr w:type="spellStart"/>
            <w:r w:rsidRPr="00B93186">
              <w:rPr>
                <w:rFonts w:ascii="Sylfaen" w:hAnsi="Sylfaen"/>
              </w:rPr>
              <w:t>რეგულირება</w:t>
            </w:r>
            <w:proofErr w:type="spellEnd"/>
            <w:r w:rsidRPr="00B93186">
              <w:rPr>
                <w:rFonts w:ascii="Sylfaen" w:hAnsi="Sylfaen"/>
              </w:rPr>
              <w:t xml:space="preserve"> უნდა </w:t>
            </w:r>
            <w:proofErr w:type="spellStart"/>
            <w:r w:rsidRPr="00B93186">
              <w:rPr>
                <w:rFonts w:ascii="Sylfaen" w:hAnsi="Sylfaen"/>
              </w:rPr>
              <w:t>წარმოადგენდეს</w:t>
            </w:r>
            <w:proofErr w:type="spellEnd"/>
            <w:r w:rsidRPr="00B93186">
              <w:rPr>
                <w:rFonts w:ascii="Sylfaen" w:hAnsi="Sylfaen"/>
              </w:rPr>
              <w:t xml:space="preserve"> </w:t>
            </w:r>
            <w:proofErr w:type="spellStart"/>
            <w:r w:rsidRPr="00B93186">
              <w:rPr>
                <w:rFonts w:ascii="Sylfaen" w:hAnsi="Sylfaen"/>
              </w:rPr>
              <w:t>ღირებული</w:t>
            </w:r>
            <w:proofErr w:type="spellEnd"/>
            <w:r w:rsidRPr="00B93186">
              <w:rPr>
                <w:rFonts w:ascii="Sylfaen" w:hAnsi="Sylfaen"/>
              </w:rPr>
              <w:t xml:space="preserve"> საჯარო (ლეგიტიმური) მიზნის </w:t>
            </w:r>
            <w:proofErr w:type="spellStart"/>
            <w:r w:rsidRPr="00B93186">
              <w:rPr>
                <w:rFonts w:ascii="Sylfaen" w:hAnsi="Sylfaen"/>
              </w:rPr>
              <w:t>მიღწევის</w:t>
            </w:r>
            <w:proofErr w:type="spellEnd"/>
            <w:r w:rsidRPr="00B93186">
              <w:rPr>
                <w:rFonts w:ascii="Sylfaen" w:hAnsi="Sylfaen"/>
              </w:rPr>
              <w:t xml:space="preserve"> </w:t>
            </w:r>
            <w:proofErr w:type="spellStart"/>
            <w:r w:rsidRPr="00B93186">
              <w:rPr>
                <w:rFonts w:ascii="Sylfaen" w:hAnsi="Sylfaen"/>
              </w:rPr>
              <w:t>გამოსადეგ</w:t>
            </w:r>
            <w:proofErr w:type="spellEnd"/>
            <w:r w:rsidRPr="00B93186">
              <w:rPr>
                <w:rFonts w:ascii="Sylfaen" w:hAnsi="Sylfaen"/>
              </w:rPr>
              <w:t xml:space="preserve"> და </w:t>
            </w:r>
            <w:proofErr w:type="spellStart"/>
            <w:r w:rsidRPr="00B93186">
              <w:rPr>
                <w:rFonts w:ascii="Sylfaen" w:hAnsi="Sylfaen"/>
              </w:rPr>
              <w:t>აუცილებელ</w:t>
            </w:r>
            <w:proofErr w:type="spellEnd"/>
            <w:r w:rsidRPr="00B93186">
              <w:rPr>
                <w:rFonts w:ascii="Sylfaen" w:hAnsi="Sylfaen"/>
              </w:rPr>
              <w:t xml:space="preserve"> </w:t>
            </w:r>
            <w:proofErr w:type="spellStart"/>
            <w:r w:rsidRPr="00B93186">
              <w:rPr>
                <w:rFonts w:ascii="Sylfaen" w:hAnsi="Sylfaen"/>
              </w:rPr>
              <w:t>საშუალებას</w:t>
            </w:r>
            <w:proofErr w:type="spellEnd"/>
            <w:r w:rsidRPr="00B93186">
              <w:rPr>
                <w:rFonts w:ascii="Sylfaen" w:hAnsi="Sylfaen"/>
              </w:rPr>
              <w:t xml:space="preserve">. ამავე დროს, უფლების შეზღუდვის </w:t>
            </w:r>
            <w:proofErr w:type="spellStart"/>
            <w:r w:rsidRPr="00B93186">
              <w:rPr>
                <w:rFonts w:ascii="Sylfaen" w:hAnsi="Sylfaen"/>
              </w:rPr>
              <w:t>ინტენსივობა</w:t>
            </w:r>
            <w:proofErr w:type="spellEnd"/>
            <w:r w:rsidRPr="00B93186">
              <w:rPr>
                <w:rFonts w:ascii="Sylfaen" w:hAnsi="Sylfaen"/>
              </w:rPr>
              <w:t xml:space="preserve"> </w:t>
            </w:r>
            <w:proofErr w:type="spellStart"/>
            <w:r w:rsidRPr="00B93186">
              <w:rPr>
                <w:rFonts w:ascii="Sylfaen" w:hAnsi="Sylfaen"/>
              </w:rPr>
              <w:t>მისაღწევი</w:t>
            </w:r>
            <w:proofErr w:type="spellEnd"/>
            <w:r w:rsidRPr="00B93186">
              <w:rPr>
                <w:rFonts w:ascii="Sylfaen" w:hAnsi="Sylfaen"/>
              </w:rPr>
              <w:t xml:space="preserve"> საჯარო მიზნის პროპორციული, მისი </w:t>
            </w:r>
            <w:proofErr w:type="spellStart"/>
            <w:r w:rsidRPr="00B93186">
              <w:rPr>
                <w:rFonts w:ascii="Sylfaen" w:hAnsi="Sylfaen"/>
              </w:rPr>
              <w:t>თანაზომიერი</w:t>
            </w:r>
            <w:proofErr w:type="spellEnd"/>
            <w:r w:rsidRPr="00B93186">
              <w:rPr>
                <w:rFonts w:ascii="Sylfaen" w:hAnsi="Sylfaen"/>
              </w:rPr>
              <w:t xml:space="preserve"> უნდა იყოს. დაუშვებელია, ლეგიტიმური მიზნის </w:t>
            </w:r>
            <w:proofErr w:type="spellStart"/>
            <w:r w:rsidRPr="00B93186">
              <w:rPr>
                <w:rFonts w:ascii="Sylfaen" w:hAnsi="Sylfaen"/>
              </w:rPr>
              <w:t>მიღწევა</w:t>
            </w:r>
            <w:proofErr w:type="spellEnd"/>
            <w:r w:rsidRPr="00B93186">
              <w:rPr>
                <w:rFonts w:ascii="Sylfaen" w:hAnsi="Sylfaen"/>
              </w:rPr>
              <w:t xml:space="preserve"> </w:t>
            </w:r>
            <w:proofErr w:type="spellStart"/>
            <w:r w:rsidRPr="00B93186">
              <w:rPr>
                <w:rFonts w:ascii="Sylfaen" w:hAnsi="Sylfaen"/>
              </w:rPr>
              <w:t>განხორციელდეს</w:t>
            </w:r>
            <w:proofErr w:type="spellEnd"/>
            <w:r w:rsidRPr="00B93186">
              <w:rPr>
                <w:rFonts w:ascii="Sylfaen" w:hAnsi="Sylfaen"/>
              </w:rPr>
              <w:t xml:space="preserve"> ადამიანის უფლების </w:t>
            </w:r>
            <w:proofErr w:type="spellStart"/>
            <w:r w:rsidRPr="00B93186">
              <w:rPr>
                <w:rFonts w:ascii="Sylfaen" w:hAnsi="Sylfaen"/>
              </w:rPr>
              <w:t>მომეტებული</w:t>
            </w:r>
            <w:proofErr w:type="spellEnd"/>
            <w:r w:rsidRPr="00B93186">
              <w:rPr>
                <w:rFonts w:ascii="Sylfaen" w:hAnsi="Sylfaen"/>
              </w:rPr>
              <w:t xml:space="preserve"> შეზღუდვის </w:t>
            </w:r>
            <w:proofErr w:type="spellStart"/>
            <w:r w:rsidRPr="00B93186">
              <w:rPr>
                <w:rFonts w:ascii="Sylfaen" w:hAnsi="Sylfaen"/>
              </w:rPr>
              <w:t>ხარჯზე</w:t>
            </w:r>
            <w:proofErr w:type="spellEnd"/>
            <w:r w:rsidRPr="00B93186">
              <w:rPr>
                <w:rFonts w:ascii="Sylfaen" w:hAnsi="Sylfaen"/>
              </w:rPr>
              <w:t>“ (</w:t>
            </w:r>
            <w:proofErr w:type="spellStart"/>
            <w:r w:rsidRPr="00B93186">
              <w:rPr>
                <w:rFonts w:ascii="Sylfaen" w:hAnsi="Sylfaen"/>
              </w:rPr>
              <w:t>საქართველოს</w:t>
            </w:r>
            <w:proofErr w:type="spellEnd"/>
            <w:r w:rsidRPr="00B93186">
              <w:rPr>
                <w:rFonts w:ascii="Sylfaen" w:hAnsi="Sylfaen"/>
              </w:rPr>
              <w:t xml:space="preserve"> საკონსტიტუციო სასამართლოს 2012 წლის 26 ივნისის №3/1/512 გადაწყვეტილება საქმეზე „</w:t>
            </w:r>
            <w:proofErr w:type="spellStart"/>
            <w:r w:rsidRPr="00B93186">
              <w:rPr>
                <w:rFonts w:ascii="Sylfaen" w:hAnsi="Sylfaen"/>
              </w:rPr>
              <w:t>დანიის</w:t>
            </w:r>
            <w:proofErr w:type="spellEnd"/>
            <w:r w:rsidRPr="00B93186">
              <w:rPr>
                <w:rFonts w:ascii="Sylfaen" w:hAnsi="Sylfaen"/>
              </w:rPr>
              <w:t xml:space="preserve"> მოქალაქე </w:t>
            </w:r>
            <w:proofErr w:type="spellStart"/>
            <w:r w:rsidRPr="00B93186">
              <w:rPr>
                <w:rFonts w:ascii="Sylfaen" w:hAnsi="Sylfaen"/>
              </w:rPr>
              <w:t>ჰეიკე</w:t>
            </w:r>
            <w:proofErr w:type="spellEnd"/>
            <w:r w:rsidRPr="00B93186">
              <w:rPr>
                <w:rFonts w:ascii="Sylfaen" w:hAnsi="Sylfaen"/>
              </w:rPr>
              <w:t xml:space="preserve"> </w:t>
            </w:r>
            <w:proofErr w:type="spellStart"/>
            <w:r w:rsidRPr="00B93186">
              <w:rPr>
                <w:rFonts w:ascii="Sylfaen" w:hAnsi="Sylfaen"/>
              </w:rPr>
              <w:t>ქრონქვისტი</w:t>
            </w:r>
            <w:proofErr w:type="spellEnd"/>
            <w:r w:rsidRPr="00B93186">
              <w:rPr>
                <w:rFonts w:ascii="Sylfaen" w:hAnsi="Sylfaen"/>
              </w:rPr>
              <w:t xml:space="preserve"> </w:t>
            </w:r>
            <w:proofErr w:type="spellStart"/>
            <w:r w:rsidRPr="00B93186">
              <w:rPr>
                <w:rFonts w:ascii="Sylfaen" w:hAnsi="Sylfaen"/>
              </w:rPr>
              <w:t>საქართველოს</w:t>
            </w:r>
            <w:proofErr w:type="spellEnd"/>
            <w:r w:rsidRPr="00B93186">
              <w:rPr>
                <w:rFonts w:ascii="Sylfaen" w:hAnsi="Sylfaen"/>
              </w:rPr>
              <w:t xml:space="preserve"> პარლამენტის წინააღმდეგ“, II-60). </w:t>
            </w:r>
            <w:proofErr w:type="spellStart"/>
            <w:r w:rsidRPr="00B93186">
              <w:rPr>
                <w:rFonts w:ascii="Sylfaen" w:hAnsi="Sylfaen"/>
              </w:rPr>
              <w:t>აღნიშნულიდან</w:t>
            </w:r>
            <w:proofErr w:type="spellEnd"/>
            <w:r w:rsidRPr="00B93186">
              <w:rPr>
                <w:rFonts w:ascii="Sylfaen" w:hAnsi="Sylfaen"/>
              </w:rPr>
              <w:t xml:space="preserve"> </w:t>
            </w:r>
            <w:proofErr w:type="spellStart"/>
            <w:r w:rsidRPr="00B93186">
              <w:rPr>
                <w:rFonts w:ascii="Sylfaen" w:hAnsi="Sylfaen"/>
              </w:rPr>
              <w:t>გამომდინარე</w:t>
            </w:r>
            <w:proofErr w:type="spellEnd"/>
            <w:r w:rsidRPr="00B93186">
              <w:rPr>
                <w:rFonts w:ascii="Sylfaen" w:hAnsi="Sylfaen"/>
              </w:rPr>
              <w:t xml:space="preserve">, სასამართლომ, პირველ </w:t>
            </w:r>
            <w:proofErr w:type="spellStart"/>
            <w:r w:rsidRPr="00B93186">
              <w:rPr>
                <w:rFonts w:ascii="Sylfaen" w:hAnsi="Sylfaen"/>
              </w:rPr>
              <w:t>რიგში</w:t>
            </w:r>
            <w:proofErr w:type="spellEnd"/>
            <w:r w:rsidRPr="00B93186">
              <w:rPr>
                <w:rFonts w:ascii="Sylfaen" w:hAnsi="Sylfaen"/>
              </w:rPr>
              <w:t xml:space="preserve">, უნდა შეამოწმოს </w:t>
            </w:r>
            <w:proofErr w:type="spellStart"/>
            <w:r w:rsidRPr="00B93186">
              <w:rPr>
                <w:rFonts w:ascii="Sylfaen" w:hAnsi="Sylfaen"/>
              </w:rPr>
              <w:t>ის</w:t>
            </w:r>
            <w:proofErr w:type="spellEnd"/>
            <w:r w:rsidRPr="00B93186">
              <w:rPr>
                <w:rFonts w:ascii="Sylfaen" w:hAnsi="Sylfaen"/>
              </w:rPr>
              <w:t xml:space="preserve"> ლეგიტიმური </w:t>
            </w:r>
            <w:proofErr w:type="spellStart"/>
            <w:r w:rsidRPr="00B93186">
              <w:rPr>
                <w:rFonts w:ascii="Sylfaen" w:hAnsi="Sylfaen"/>
              </w:rPr>
              <w:t>მიზანი</w:t>
            </w:r>
            <w:proofErr w:type="spellEnd"/>
            <w:r w:rsidRPr="00B93186">
              <w:rPr>
                <w:rFonts w:ascii="Sylfaen" w:hAnsi="Sylfaen"/>
              </w:rPr>
              <w:t xml:space="preserve">, რომლის </w:t>
            </w:r>
            <w:proofErr w:type="spellStart"/>
            <w:r w:rsidRPr="00B93186">
              <w:rPr>
                <w:rFonts w:ascii="Sylfaen" w:hAnsi="Sylfaen"/>
              </w:rPr>
              <w:t>მისაღწევადაც</w:t>
            </w:r>
            <w:proofErr w:type="spellEnd"/>
            <w:r w:rsidRPr="00B93186">
              <w:rPr>
                <w:rFonts w:ascii="Sylfaen" w:hAnsi="Sylfaen"/>
              </w:rPr>
              <w:t xml:space="preserve"> </w:t>
            </w:r>
            <w:proofErr w:type="spellStart"/>
            <w:r w:rsidRPr="00B93186">
              <w:rPr>
                <w:rFonts w:ascii="Sylfaen" w:hAnsi="Sylfaen"/>
              </w:rPr>
              <w:t>კანონმდებელმა</w:t>
            </w:r>
            <w:proofErr w:type="spellEnd"/>
            <w:r w:rsidRPr="00B93186">
              <w:rPr>
                <w:rFonts w:ascii="Sylfaen" w:hAnsi="Sylfaen"/>
              </w:rPr>
              <w:t xml:space="preserve"> მიიღო </w:t>
            </w:r>
            <w:proofErr w:type="spellStart"/>
            <w:r w:rsidRPr="00B93186">
              <w:rPr>
                <w:rFonts w:ascii="Sylfaen" w:hAnsi="Sylfaen"/>
              </w:rPr>
              <w:t>სადავო</w:t>
            </w:r>
            <w:proofErr w:type="spellEnd"/>
            <w:r w:rsidRPr="00B93186">
              <w:rPr>
                <w:rFonts w:ascii="Sylfaen" w:hAnsi="Sylfaen"/>
              </w:rPr>
              <w:t xml:space="preserve"> აქტი</w:t>
            </w:r>
            <w:r>
              <w:rPr>
                <w:rFonts w:ascii="Sylfaen" w:hAnsi="Sylfaen"/>
              </w:rPr>
              <w:t xml:space="preserve"> </w:t>
            </w:r>
            <w:r w:rsidRPr="00B93186">
              <w:rPr>
                <w:rFonts w:ascii="Sylfaen" w:hAnsi="Sylfaen"/>
                <w:lang w:val="ka-GE"/>
              </w:rPr>
              <w:t xml:space="preserve">საქართველოს საკონსტიტუციო სასამართლოს 2018 წლის 14 დეკემბრის </w:t>
            </w:r>
            <w:r w:rsidRPr="00B93186">
              <w:rPr>
                <w:rFonts w:ascii="Sylfaen" w:hAnsi="Sylfaen"/>
              </w:rPr>
              <w:t>N2/12/1229, 1242, 1247, 1299</w:t>
            </w:r>
            <w:r w:rsidRPr="00B93186">
              <w:rPr>
                <w:rFonts w:ascii="Sylfaen" w:hAnsi="Sylfaen"/>
                <w:lang w:val="ka-GE"/>
              </w:rPr>
              <w:t xml:space="preserve"> გადაწყვეტილება საქმეზე ხვიჩა ყირმიზაშვილი და სხვები საქართველოს პარლამენტის წინააღმდეგ </w:t>
            </w:r>
            <w:r w:rsidRPr="00B93186">
              <w:rPr>
                <w:rFonts w:ascii="Sylfaen" w:hAnsi="Sylfaen"/>
              </w:rPr>
              <w:t>II-</w:t>
            </w:r>
            <w:r>
              <w:rPr>
                <w:rFonts w:ascii="Sylfaen" w:hAnsi="Sylfaen"/>
              </w:rPr>
              <w:t xml:space="preserve">13) </w:t>
            </w:r>
            <w:r w:rsidRPr="00B93186">
              <w:rPr>
                <w:rFonts w:ascii="Sylfaen" w:hAnsi="Sylfaen"/>
              </w:rPr>
              <w:t>.</w:t>
            </w:r>
          </w:p>
          <w:p w14:paraId="06501539" w14:textId="73BB666B" w:rsidR="00B93186" w:rsidRDefault="00B93186" w:rsidP="00933ECD">
            <w:pPr>
              <w:ind w:right="-18"/>
              <w:jc w:val="both"/>
              <w:rPr>
                <w:rFonts w:ascii="Sylfaen" w:hAnsi="Sylfaen"/>
              </w:rPr>
            </w:pPr>
          </w:p>
          <w:p w14:paraId="7755089C" w14:textId="392F055D" w:rsidR="00B93186" w:rsidRPr="00B93186" w:rsidRDefault="00B93186" w:rsidP="00933ECD">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სასამართლომ საქმეში </w:t>
            </w:r>
            <w:proofErr w:type="spellStart"/>
            <w:r>
              <w:rPr>
                <w:rFonts w:ascii="Sylfaen" w:hAnsi="Sylfaen"/>
                <w:lang w:val="ka-GE"/>
              </w:rPr>
              <w:t>ოგანეს</w:t>
            </w:r>
            <w:proofErr w:type="spellEnd"/>
            <w:r>
              <w:rPr>
                <w:rFonts w:ascii="Sylfaen" w:hAnsi="Sylfaen"/>
                <w:lang w:val="ka-GE"/>
              </w:rPr>
              <w:t xml:space="preserve"> </w:t>
            </w:r>
            <w:proofErr w:type="spellStart"/>
            <w:r>
              <w:rPr>
                <w:rFonts w:ascii="Sylfaen" w:hAnsi="Sylfaen"/>
                <w:lang w:val="ka-GE"/>
              </w:rPr>
              <w:t>დარბიანიანი</w:t>
            </w:r>
            <w:proofErr w:type="spellEnd"/>
            <w:r>
              <w:rPr>
                <w:rFonts w:ascii="Sylfaen" w:hAnsi="Sylfaen"/>
                <w:lang w:val="ka-GE"/>
              </w:rPr>
              <w:t xml:space="preserve"> და სხვები საქართველოს პარლამენტის წინააღმდეგ მეორე თავის 24-ე პუნქტში განაცხადა: „</w:t>
            </w:r>
            <w:r w:rsidRPr="00B93186">
              <w:rPr>
                <w:rFonts w:ascii="Sylfaen" w:hAnsi="Sylfaen"/>
              </w:rPr>
              <w:t xml:space="preserve">ნორმის კონსტიტუციურობის </w:t>
            </w:r>
            <w:proofErr w:type="spellStart"/>
            <w:r w:rsidRPr="00B93186">
              <w:rPr>
                <w:rFonts w:ascii="Sylfaen" w:hAnsi="Sylfaen"/>
              </w:rPr>
              <w:lastRenderedPageBreak/>
              <w:t>შეფასებისას</w:t>
            </w:r>
            <w:proofErr w:type="spellEnd"/>
            <w:r w:rsidRPr="00B93186">
              <w:rPr>
                <w:rFonts w:ascii="Sylfaen" w:hAnsi="Sylfaen"/>
              </w:rPr>
              <w:t xml:space="preserve">, პირველ </w:t>
            </w:r>
            <w:proofErr w:type="spellStart"/>
            <w:r w:rsidRPr="00B93186">
              <w:rPr>
                <w:rFonts w:ascii="Sylfaen" w:hAnsi="Sylfaen"/>
              </w:rPr>
              <w:t>რიგში</w:t>
            </w:r>
            <w:proofErr w:type="spellEnd"/>
            <w:r w:rsidRPr="00B93186">
              <w:rPr>
                <w:rFonts w:ascii="Sylfaen" w:hAnsi="Sylfaen"/>
              </w:rPr>
              <w:t xml:space="preserve">, </w:t>
            </w:r>
            <w:proofErr w:type="spellStart"/>
            <w:r w:rsidRPr="00B93186">
              <w:rPr>
                <w:rFonts w:ascii="Sylfaen" w:hAnsi="Sylfaen"/>
              </w:rPr>
              <w:t>მნიშვნელოვანია</w:t>
            </w:r>
            <w:proofErr w:type="spellEnd"/>
            <w:r w:rsidRPr="00B93186">
              <w:rPr>
                <w:rFonts w:ascii="Sylfaen" w:hAnsi="Sylfaen"/>
              </w:rPr>
              <w:t xml:space="preserve"> დადგინდეს </w:t>
            </w:r>
            <w:proofErr w:type="spellStart"/>
            <w:r w:rsidRPr="00B93186">
              <w:rPr>
                <w:rFonts w:ascii="Sylfaen" w:hAnsi="Sylfaen"/>
              </w:rPr>
              <w:t>ის</w:t>
            </w:r>
            <w:proofErr w:type="spellEnd"/>
            <w:r w:rsidRPr="00B93186">
              <w:rPr>
                <w:rFonts w:ascii="Sylfaen" w:hAnsi="Sylfaen"/>
              </w:rPr>
              <w:t xml:space="preserve"> ლეგიტიმური საჯარო </w:t>
            </w:r>
            <w:proofErr w:type="spellStart"/>
            <w:r w:rsidRPr="00B93186">
              <w:rPr>
                <w:rFonts w:ascii="Sylfaen" w:hAnsi="Sylfaen"/>
              </w:rPr>
              <w:t>მიზანი</w:t>
            </w:r>
            <w:proofErr w:type="spellEnd"/>
            <w:r w:rsidRPr="00B93186">
              <w:rPr>
                <w:rFonts w:ascii="Sylfaen" w:hAnsi="Sylfaen"/>
              </w:rPr>
              <w:t xml:space="preserve">, რომლის მიღწევასაც უკავშირდება შეზღუდვა. ლეგიტიმური მიზნის </w:t>
            </w:r>
            <w:proofErr w:type="spellStart"/>
            <w:r w:rsidRPr="00B93186">
              <w:rPr>
                <w:rFonts w:ascii="Sylfaen" w:hAnsi="Sylfaen"/>
              </w:rPr>
              <w:t>არარსებობის</w:t>
            </w:r>
            <w:proofErr w:type="spellEnd"/>
            <w:r w:rsidRPr="00B93186">
              <w:rPr>
                <w:rFonts w:ascii="Sylfaen" w:hAnsi="Sylfaen"/>
              </w:rPr>
              <w:t xml:space="preserve"> პირობებში, ადამიანის </w:t>
            </w:r>
            <w:proofErr w:type="spellStart"/>
            <w:r w:rsidRPr="00B93186">
              <w:rPr>
                <w:rFonts w:ascii="Sylfaen" w:hAnsi="Sylfaen"/>
              </w:rPr>
              <w:t>უფლებაში</w:t>
            </w:r>
            <w:proofErr w:type="spellEnd"/>
            <w:r w:rsidRPr="00B93186">
              <w:rPr>
                <w:rFonts w:ascii="Sylfaen" w:hAnsi="Sylfaen"/>
              </w:rPr>
              <w:t xml:space="preserve"> ნებისმიერი ჩარევა </w:t>
            </w:r>
            <w:proofErr w:type="spellStart"/>
            <w:r w:rsidRPr="00B93186">
              <w:rPr>
                <w:rFonts w:ascii="Sylfaen" w:hAnsi="Sylfaen"/>
              </w:rPr>
              <w:t>თვითნებურ</w:t>
            </w:r>
            <w:proofErr w:type="spellEnd"/>
            <w:r w:rsidRPr="00B93186">
              <w:rPr>
                <w:rFonts w:ascii="Sylfaen" w:hAnsi="Sylfaen"/>
              </w:rPr>
              <w:t xml:space="preserve"> </w:t>
            </w:r>
            <w:proofErr w:type="spellStart"/>
            <w:r w:rsidRPr="00B93186">
              <w:rPr>
                <w:rFonts w:ascii="Sylfaen" w:hAnsi="Sylfaen"/>
              </w:rPr>
              <w:t>ხასიათს</w:t>
            </w:r>
            <w:proofErr w:type="spellEnd"/>
            <w:r w:rsidRPr="00B93186">
              <w:rPr>
                <w:rFonts w:ascii="Sylfaen" w:hAnsi="Sylfaen"/>
              </w:rPr>
              <w:t xml:space="preserve"> </w:t>
            </w:r>
            <w:proofErr w:type="spellStart"/>
            <w:r w:rsidRPr="00B93186">
              <w:rPr>
                <w:rFonts w:ascii="Sylfaen" w:hAnsi="Sylfaen"/>
              </w:rPr>
              <w:t>ატარებს</w:t>
            </w:r>
            <w:proofErr w:type="spellEnd"/>
            <w:r w:rsidRPr="00B93186">
              <w:rPr>
                <w:rFonts w:ascii="Sylfaen" w:hAnsi="Sylfaen"/>
              </w:rPr>
              <w:t xml:space="preserve"> და უფლების შეზღუდვა </w:t>
            </w:r>
            <w:proofErr w:type="spellStart"/>
            <w:r w:rsidRPr="00B93186">
              <w:rPr>
                <w:rFonts w:ascii="Sylfaen" w:hAnsi="Sylfaen"/>
              </w:rPr>
              <w:t>საფუძველშივე</w:t>
            </w:r>
            <w:proofErr w:type="spellEnd"/>
            <w:r w:rsidRPr="00B93186">
              <w:rPr>
                <w:rFonts w:ascii="Sylfaen" w:hAnsi="Sylfaen"/>
              </w:rPr>
              <w:t xml:space="preserve"> </w:t>
            </w:r>
            <w:proofErr w:type="spellStart"/>
            <w:r w:rsidRPr="00B93186">
              <w:rPr>
                <w:rFonts w:ascii="Sylfaen" w:hAnsi="Sylfaen"/>
              </w:rPr>
              <w:t>გაუმართლებელი</w:t>
            </w:r>
            <w:proofErr w:type="spellEnd"/>
            <w:r w:rsidRPr="00B93186">
              <w:rPr>
                <w:rFonts w:ascii="Sylfaen" w:hAnsi="Sylfaen"/>
              </w:rPr>
              <w:t xml:space="preserve">, </w:t>
            </w:r>
            <w:proofErr w:type="spellStart"/>
            <w:r w:rsidRPr="00B93186">
              <w:rPr>
                <w:rFonts w:ascii="Sylfaen" w:hAnsi="Sylfaen"/>
              </w:rPr>
              <w:t>არაკონსტიტუციურია</w:t>
            </w:r>
            <w:proofErr w:type="spellEnd"/>
            <w:r w:rsidRPr="00B93186">
              <w:rPr>
                <w:rFonts w:ascii="Sylfaen" w:hAnsi="Sylfaen"/>
              </w:rPr>
              <w:t>.</w:t>
            </w:r>
            <w:r>
              <w:rPr>
                <w:rFonts w:ascii="Sylfaen" w:hAnsi="Sylfaen"/>
                <w:lang w:val="ka-GE"/>
              </w:rPr>
              <w:t xml:space="preserve">“ </w:t>
            </w:r>
          </w:p>
          <w:p w14:paraId="43CA21E8" w14:textId="77777777" w:rsidR="00B93186" w:rsidRDefault="00B93186" w:rsidP="00933ECD">
            <w:pPr>
              <w:ind w:right="-18"/>
              <w:jc w:val="both"/>
              <w:rPr>
                <w:rFonts w:ascii="Sylfaen" w:hAnsi="Sylfaen"/>
                <w:lang w:val="ka-GE"/>
              </w:rPr>
            </w:pPr>
          </w:p>
          <w:p w14:paraId="1928A725" w14:textId="422FEDFF" w:rsidR="00C621A0" w:rsidRDefault="00530010" w:rsidP="00933ECD">
            <w:pPr>
              <w:ind w:right="-18"/>
              <w:jc w:val="both"/>
              <w:rPr>
                <w:rFonts w:ascii="Sylfaen" w:hAnsi="Sylfaen"/>
                <w:lang w:val="ka-GE"/>
              </w:rPr>
            </w:pPr>
            <w:r>
              <w:rPr>
                <w:rFonts w:ascii="Sylfaen" w:hAnsi="Sylfaen"/>
                <w:lang w:val="ka-GE"/>
              </w:rPr>
              <w:t>მოსარჩელის მიერ სადავოდ გამხდარი ნორმატიული შ</w:t>
            </w:r>
            <w:r w:rsidR="00E1021B">
              <w:rPr>
                <w:rFonts w:ascii="Sylfaen" w:hAnsi="Sylfaen"/>
                <w:lang w:val="ka-GE"/>
              </w:rPr>
              <w:t xml:space="preserve">ინაარსი მას არ აძლევს უფლებას სასამართლოში გაასაჩივროს საარჩევნო კოდექსის დარღვევის გამო ადმინისტრაციულ სამართალდარღვევის ოქმის შედგენაზე </w:t>
            </w:r>
            <w:r w:rsidR="00CE43F7">
              <w:rPr>
                <w:rFonts w:ascii="Sylfaen" w:hAnsi="Sylfaen"/>
                <w:lang w:val="ka-GE"/>
              </w:rPr>
              <w:t>უფლებამოსილი პირის უარი.</w:t>
            </w:r>
            <w:r w:rsidR="001858D6">
              <w:rPr>
                <w:rFonts w:ascii="Sylfaen" w:hAnsi="Sylfaen"/>
                <w:lang w:val="ka-GE"/>
              </w:rPr>
              <w:t xml:space="preserve"> აღნიშნული შეზღუდვის ლეგიტიმურ მიზნად შესაძლოა დაფიქსირდეს </w:t>
            </w:r>
            <w:r w:rsidR="00DA75A8">
              <w:rPr>
                <w:rFonts w:ascii="Sylfaen" w:hAnsi="Sylfaen"/>
                <w:lang w:val="ka-GE"/>
              </w:rPr>
              <w:t>სწრაფი, ეფექტური მართლმსაჯულების განხორცილების ინტერესი.</w:t>
            </w:r>
            <w:r w:rsidR="00322A6E">
              <w:rPr>
                <w:rFonts w:ascii="Sylfaen" w:hAnsi="Sylfaen"/>
                <w:lang w:val="ka-GE"/>
              </w:rPr>
              <w:t xml:space="preserve"> </w:t>
            </w:r>
            <w:r w:rsidR="00322A6E" w:rsidRPr="00322A6E">
              <w:rPr>
                <w:rFonts w:ascii="Sylfaen" w:hAnsi="Sylfaen"/>
                <w:lang w:val="ka-GE"/>
              </w:rPr>
              <w:t>სადავო ნორმის მიზნად მოპასუხე მხარე ასევე განიხილავს პროცესის ეკონომიურობის უზრუნველყოფას და სასამართლო სისტემის გადატვირთვისგან დაცვას</w:t>
            </w:r>
            <w:r w:rsidR="00322A6E">
              <w:rPr>
                <w:rFonts w:ascii="Sylfaen" w:hAnsi="Sylfaen"/>
                <w:lang w:val="ka-GE"/>
              </w:rPr>
              <w:t>.</w:t>
            </w:r>
          </w:p>
          <w:p w14:paraId="2AEDDF1A" w14:textId="447B03BC" w:rsidR="00AB290D" w:rsidRDefault="00AB290D" w:rsidP="00933ECD">
            <w:pPr>
              <w:ind w:right="-18"/>
              <w:jc w:val="both"/>
              <w:rPr>
                <w:rFonts w:ascii="Sylfaen" w:hAnsi="Sylfaen"/>
                <w:lang w:val="ka-GE"/>
              </w:rPr>
            </w:pPr>
          </w:p>
          <w:p w14:paraId="3E4B0ADB" w14:textId="57F91856" w:rsidR="00AB290D" w:rsidRDefault="00AB290D" w:rsidP="00AB290D">
            <w:pPr>
              <w:pStyle w:val="ListParagraph"/>
              <w:numPr>
                <w:ilvl w:val="1"/>
                <w:numId w:val="31"/>
              </w:numPr>
              <w:ind w:right="-18"/>
              <w:jc w:val="both"/>
              <w:rPr>
                <w:rFonts w:ascii="Sylfaen" w:hAnsi="Sylfaen"/>
                <w:b/>
                <w:lang w:val="ka-GE"/>
              </w:rPr>
            </w:pPr>
            <w:r>
              <w:rPr>
                <w:rFonts w:ascii="Sylfaen" w:hAnsi="Sylfaen"/>
                <w:b/>
                <w:lang w:val="ka-GE"/>
              </w:rPr>
              <w:t>სწრაფი და ეფექტური მართლმსაჯულება</w:t>
            </w:r>
          </w:p>
          <w:p w14:paraId="0A277276" w14:textId="4A16CC6F" w:rsidR="00AB290D" w:rsidRDefault="00AB290D" w:rsidP="00AB290D">
            <w:pPr>
              <w:ind w:right="-18"/>
              <w:jc w:val="both"/>
              <w:rPr>
                <w:rFonts w:ascii="Sylfaen" w:hAnsi="Sylfaen"/>
                <w:b/>
                <w:lang w:val="ka-GE"/>
              </w:rPr>
            </w:pPr>
          </w:p>
          <w:p w14:paraId="67ADAD84" w14:textId="3EED3652" w:rsidR="00AB290D" w:rsidRDefault="00AB290D" w:rsidP="00AB290D">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სასამართლომ საქმეზე </w:t>
            </w:r>
            <w:r w:rsidRPr="00AB290D">
              <w:rPr>
                <w:rFonts w:ascii="Sylfaen" w:hAnsi="Sylfaen"/>
                <w:lang w:val="ka-GE"/>
              </w:rPr>
              <w:t>საქმეზე „ააიპ „ფრემა“ საქართველოს პარლამენტის წინააღმდეგ“</w:t>
            </w:r>
            <w:r>
              <w:rPr>
                <w:rFonts w:ascii="Sylfaen" w:hAnsi="Sylfaen"/>
                <w:lang w:val="ka-GE"/>
              </w:rPr>
              <w:t xml:space="preserve"> უკვე იმსჯელა</w:t>
            </w:r>
            <w:r w:rsidR="00302226">
              <w:rPr>
                <w:rFonts w:ascii="Sylfaen" w:hAnsi="Sylfaen"/>
                <w:lang w:val="ka-GE"/>
              </w:rPr>
              <w:t xml:space="preserve"> საქმის</w:t>
            </w:r>
            <w:r>
              <w:rPr>
                <w:rFonts w:ascii="Sylfaen" w:hAnsi="Sylfaen"/>
                <w:lang w:val="ka-GE"/>
              </w:rPr>
              <w:t xml:space="preserve"> სასამართლოში გასაჩივრების უფლების </w:t>
            </w:r>
            <w:r w:rsidR="009129DE">
              <w:rPr>
                <w:rFonts w:ascii="Sylfaen" w:hAnsi="Sylfaen"/>
                <w:lang w:val="ka-GE"/>
              </w:rPr>
              <w:t xml:space="preserve">შეზღუდვის საფუძვლად </w:t>
            </w:r>
            <w:r>
              <w:rPr>
                <w:rFonts w:ascii="Sylfaen" w:hAnsi="Sylfaen"/>
                <w:lang w:val="ka-GE"/>
              </w:rPr>
              <w:t xml:space="preserve">სწრაფი და ეფექტური მართლმსაჯულების </w:t>
            </w:r>
            <w:r w:rsidR="0045492F">
              <w:rPr>
                <w:rFonts w:ascii="Sylfaen" w:hAnsi="Sylfaen"/>
                <w:lang w:val="ka-GE"/>
              </w:rPr>
              <w:t>ინტერესის ლეგიტიმურობაზე.</w:t>
            </w:r>
            <w:r w:rsidR="00B425BA">
              <w:rPr>
                <w:rFonts w:ascii="Sylfaen" w:hAnsi="Sylfaen"/>
                <w:lang w:val="ka-GE"/>
              </w:rPr>
              <w:t xml:space="preserve"> სასამართლომ </w:t>
            </w:r>
            <w:r w:rsidR="00E24347">
              <w:rPr>
                <w:rFonts w:ascii="Sylfaen" w:hAnsi="Sylfaen"/>
                <w:lang w:val="ka-GE"/>
              </w:rPr>
              <w:t xml:space="preserve"> არ გაიზიარა</w:t>
            </w:r>
            <w:r w:rsidR="00B425BA" w:rsidRPr="00B425BA">
              <w:rPr>
                <w:rFonts w:ascii="Sylfaen" w:hAnsi="Sylfaen"/>
                <w:lang w:val="ka-GE"/>
              </w:rPr>
              <w:t xml:space="preserve"> საქართველოს პარლმენტის მოსაზრება, რომ სასამართლოს გადაწყვეტილების გასაჩივრების უფლება თავად გასაჩივრების მსურველი პირისათვის სწრაფი მართლმსაჯულების უზრუნველყოფის მიზნით შეიძლება შეიზღუდოს</w:t>
            </w:r>
            <w:r w:rsidR="00DA004D">
              <w:rPr>
                <w:rFonts w:ascii="Sylfaen" w:hAnsi="Sylfaen"/>
                <w:lang w:val="ka-GE"/>
              </w:rPr>
              <w:t xml:space="preserve">. </w:t>
            </w:r>
            <w:r w:rsidR="003F3673">
              <w:rPr>
                <w:rFonts w:ascii="Sylfaen" w:hAnsi="Sylfaen"/>
                <w:lang w:val="ka-GE"/>
              </w:rPr>
              <w:t>სასამართლოს განმარტებით „</w:t>
            </w:r>
            <w:r w:rsidR="003F3673" w:rsidRPr="003F3673">
              <w:rPr>
                <w:rFonts w:ascii="Sylfaen" w:hAnsi="Sylfaen"/>
                <w:lang w:val="ka-GE"/>
              </w:rPr>
              <w:t>გაუმართლებელია პირის სამართლიანი სასამართლოს უფლების შეზღუდვა მისივე ინტერესებზე მითითებით. როდესაც საქმის განხილვის სწრაფად დასრულება თავად პირის ინტერესებშია, შეუძლებელია, პირს გააჩნდეს საქმის ხელოვნურად გახანგრძლივების მოტივაცია. პირიქით, ასეთ შემთხვევაში იგი თავად უკეთ გადაწყვეტს, მის რომელ ინტერესს მიანიჭოს უპირატესობა და რა მოცულობით ისარგებლოს სამართლიანი სასამართლოს უფლებრივი გარანტიებით“</w:t>
            </w:r>
            <w:r w:rsidR="00E72488">
              <w:rPr>
                <w:rFonts w:ascii="Sylfaen" w:hAnsi="Sylfaen"/>
                <w:lang w:val="ka-GE"/>
              </w:rPr>
              <w:t>.</w:t>
            </w:r>
            <w:r w:rsidR="003F3673">
              <w:rPr>
                <w:rStyle w:val="FootnoteReference"/>
                <w:rFonts w:ascii="Sylfaen" w:hAnsi="Sylfaen"/>
                <w:lang w:val="ka-GE"/>
              </w:rPr>
              <w:footnoteReference w:id="9"/>
            </w:r>
          </w:p>
          <w:p w14:paraId="2D49B14C" w14:textId="163B6A25" w:rsidR="00E72488" w:rsidRDefault="00E72488" w:rsidP="00AB290D">
            <w:pPr>
              <w:ind w:right="-18"/>
              <w:jc w:val="both"/>
              <w:rPr>
                <w:rFonts w:ascii="Sylfaen" w:hAnsi="Sylfaen"/>
                <w:lang w:val="ka-GE"/>
              </w:rPr>
            </w:pPr>
          </w:p>
          <w:p w14:paraId="0063BB4D" w14:textId="5C3A53FF" w:rsidR="00E72488" w:rsidRDefault="00E72488" w:rsidP="00AB290D">
            <w:pPr>
              <w:ind w:right="-18"/>
              <w:jc w:val="both"/>
              <w:rPr>
                <w:rFonts w:ascii="Sylfaen" w:hAnsi="Sylfaen"/>
                <w:lang w:val="ka-GE"/>
              </w:rPr>
            </w:pPr>
            <w:r>
              <w:rPr>
                <w:rFonts w:ascii="Sylfaen" w:hAnsi="Sylfaen"/>
                <w:lang w:val="ka-GE"/>
              </w:rPr>
              <w:t>აქედან გამომდინარე, წინამდებარე კონსტიტუციური სარჩელის მიზნები</w:t>
            </w:r>
            <w:r w:rsidR="00375E76">
              <w:rPr>
                <w:rFonts w:ascii="Sylfaen" w:hAnsi="Sylfaen"/>
                <w:lang w:val="ka-GE"/>
              </w:rPr>
              <w:t>ს</w:t>
            </w:r>
            <w:r>
              <w:rPr>
                <w:rFonts w:ascii="Sylfaen" w:hAnsi="Sylfaen"/>
                <w:lang w:val="ka-GE"/>
              </w:rPr>
              <w:t>თვისაც მოპასუხის სავარაუდო ლეგიტიმური მიზანი</w:t>
            </w:r>
            <w:r w:rsidR="00375E76">
              <w:rPr>
                <w:rFonts w:ascii="Sylfaen" w:hAnsi="Sylfaen"/>
                <w:lang w:val="ka-GE"/>
              </w:rPr>
              <w:t xml:space="preserve"> - </w:t>
            </w:r>
            <w:r>
              <w:rPr>
                <w:rFonts w:ascii="Sylfaen" w:hAnsi="Sylfaen"/>
                <w:lang w:val="ka-GE"/>
              </w:rPr>
              <w:t>სწრაფი და ეფექტური მართლმსაჯულების განხორციელების ინტერესი</w:t>
            </w:r>
            <w:r w:rsidR="00375E76">
              <w:rPr>
                <w:rFonts w:ascii="Sylfaen" w:hAnsi="Sylfaen"/>
                <w:lang w:val="ka-GE"/>
              </w:rPr>
              <w:t>, ვერ იქნება სასამართლოში საქმის გასაჩ</w:t>
            </w:r>
            <w:r w:rsidR="003C2B62">
              <w:rPr>
                <w:rFonts w:ascii="Sylfaen" w:hAnsi="Sylfaen"/>
                <w:lang w:val="ka-GE"/>
              </w:rPr>
              <w:t>ივ</w:t>
            </w:r>
            <w:r w:rsidR="00375E76">
              <w:rPr>
                <w:rFonts w:ascii="Sylfaen" w:hAnsi="Sylfaen"/>
                <w:lang w:val="ka-GE"/>
              </w:rPr>
              <w:t>რების უფლების შეზღუდვისთვის ლეგიტიმური.</w:t>
            </w:r>
          </w:p>
          <w:p w14:paraId="44B53D3F" w14:textId="2D89CBFE" w:rsidR="00856D43" w:rsidRDefault="00856D43" w:rsidP="00AB290D">
            <w:pPr>
              <w:ind w:right="-18"/>
              <w:jc w:val="both"/>
              <w:rPr>
                <w:rFonts w:ascii="Sylfaen" w:hAnsi="Sylfaen"/>
                <w:lang w:val="ka-GE"/>
              </w:rPr>
            </w:pPr>
          </w:p>
          <w:p w14:paraId="1A63AC0A" w14:textId="170C892F" w:rsidR="00856D43" w:rsidRDefault="00D91113" w:rsidP="00D91113">
            <w:pPr>
              <w:pStyle w:val="ListParagraph"/>
              <w:numPr>
                <w:ilvl w:val="1"/>
                <w:numId w:val="31"/>
              </w:numPr>
              <w:ind w:right="-18"/>
              <w:jc w:val="both"/>
              <w:rPr>
                <w:rFonts w:ascii="Sylfaen" w:hAnsi="Sylfaen"/>
                <w:b/>
                <w:lang w:val="ka-GE"/>
              </w:rPr>
            </w:pPr>
            <w:r w:rsidRPr="00D91113">
              <w:rPr>
                <w:rFonts w:ascii="Sylfaen" w:hAnsi="Sylfaen"/>
                <w:b/>
                <w:lang w:val="ka-GE"/>
              </w:rPr>
              <w:t>პროცესის ეკონომიურობის უზრუნველყოფა და სასამართლოს გადატვირთვისგან დაცვა</w:t>
            </w:r>
          </w:p>
          <w:p w14:paraId="56F78738" w14:textId="046B275C" w:rsidR="00D91113" w:rsidRDefault="00D91113" w:rsidP="00D91113">
            <w:pPr>
              <w:ind w:right="-18"/>
              <w:jc w:val="both"/>
              <w:rPr>
                <w:rFonts w:ascii="Sylfaen" w:hAnsi="Sylfaen"/>
                <w:lang w:val="ka-GE"/>
              </w:rPr>
            </w:pPr>
          </w:p>
          <w:p w14:paraId="1DD1A6DA" w14:textId="7E999CC2" w:rsidR="00D91113" w:rsidRPr="0012673F" w:rsidRDefault="00D91113" w:rsidP="00D91113">
            <w:pPr>
              <w:ind w:right="-18"/>
              <w:jc w:val="both"/>
              <w:rPr>
                <w:rFonts w:ascii="Sylfaen" w:hAnsi="Sylfaen"/>
                <w:lang w:val="ka-GE"/>
              </w:rPr>
            </w:pPr>
            <w:r>
              <w:rPr>
                <w:rFonts w:ascii="Sylfaen" w:hAnsi="Sylfaen"/>
                <w:lang w:val="ka-GE"/>
              </w:rPr>
              <w:t xml:space="preserve">მეორე სავარაუდო ლეგიტიმური მიზანი ,რომელიც შესაძლოა </w:t>
            </w:r>
            <w:r w:rsidR="0012673F">
              <w:rPr>
                <w:rFonts w:ascii="Sylfaen" w:hAnsi="Sylfaen"/>
                <w:lang w:val="ka-GE"/>
              </w:rPr>
              <w:t xml:space="preserve">მოპასუხემ </w:t>
            </w:r>
            <w:r>
              <w:rPr>
                <w:rFonts w:ascii="Sylfaen" w:hAnsi="Sylfaen"/>
                <w:lang w:val="ka-GE"/>
              </w:rPr>
              <w:t xml:space="preserve">დაასახელოს, შესაძლოა იყოს </w:t>
            </w:r>
            <w:r w:rsidRPr="00D91113">
              <w:rPr>
                <w:rFonts w:ascii="Sylfaen" w:hAnsi="Sylfaen"/>
                <w:lang w:val="ka-GE"/>
              </w:rPr>
              <w:t>პროცესის ეკონომიურობის უზრუნველყოფა და სასამართლოს გადატვირთვისგან დაცვა.</w:t>
            </w:r>
            <w:r w:rsidR="001F1EEC">
              <w:rPr>
                <w:rFonts w:ascii="Sylfaen" w:hAnsi="Sylfaen"/>
                <w:lang w:val="ka-GE"/>
              </w:rPr>
              <w:t xml:space="preserve"> </w:t>
            </w:r>
            <w:r w:rsidR="001F1EEC" w:rsidRPr="001F1EEC">
              <w:rPr>
                <w:rFonts w:ascii="Sylfaen" w:hAnsi="Sylfaen"/>
                <w:lang w:val="ka-GE"/>
              </w:rPr>
              <w:t>საქართველოს საკონსტიტუციო სასამართლოს განმარტებით, „პროცესის ეკონომიურობა და სასამართლოს ხელოვნური გადატვირთვის თავიდან აცილება უმნიშვნელოვანესია მართლმსაჯულების ხარისხის უზრუნველყოფისთვის“</w:t>
            </w:r>
            <w:r w:rsidR="007C3803">
              <w:rPr>
                <w:rFonts w:ascii="Sylfaen" w:hAnsi="Sylfaen"/>
              </w:rPr>
              <w:t>.</w:t>
            </w:r>
            <w:r w:rsidR="001F1EEC">
              <w:rPr>
                <w:rStyle w:val="FootnoteReference"/>
                <w:rFonts w:ascii="Sylfaen" w:hAnsi="Sylfaen"/>
                <w:lang w:val="ka-GE"/>
              </w:rPr>
              <w:footnoteReference w:id="10"/>
            </w:r>
            <w:r w:rsidR="0012673F">
              <w:rPr>
                <w:rFonts w:ascii="Sylfaen" w:hAnsi="Sylfaen"/>
                <w:lang w:val="ka-GE"/>
              </w:rPr>
              <w:t xml:space="preserve"> საკონსტიტუციო სასამართლომ </w:t>
            </w:r>
            <w:proofErr w:type="spellStart"/>
            <w:r w:rsidR="0012673F">
              <w:rPr>
                <w:rFonts w:ascii="Sylfaen" w:hAnsi="Sylfaen"/>
                <w:lang w:val="ka-GE"/>
              </w:rPr>
              <w:t>ყირმიზაშვილის</w:t>
            </w:r>
            <w:proofErr w:type="spellEnd"/>
            <w:r w:rsidR="0012673F">
              <w:rPr>
                <w:rFonts w:ascii="Sylfaen" w:hAnsi="Sylfaen"/>
                <w:lang w:val="ka-GE"/>
              </w:rPr>
              <w:t xml:space="preserve"> საქმეში მიღებული გადაწყვეტილების მეორე თავის მე-16 პუნქტში განაცხადა: „</w:t>
            </w:r>
            <w:proofErr w:type="spellStart"/>
            <w:r w:rsidR="0012673F" w:rsidRPr="0012673F">
              <w:rPr>
                <w:rFonts w:ascii="Sylfaen" w:hAnsi="Sylfaen"/>
              </w:rPr>
              <w:t>სახელმწიფომ</w:t>
            </w:r>
            <w:proofErr w:type="spellEnd"/>
            <w:r w:rsidR="0012673F" w:rsidRPr="0012673F">
              <w:rPr>
                <w:rFonts w:ascii="Sylfaen" w:hAnsi="Sylfaen"/>
              </w:rPr>
              <w:t xml:space="preserve"> უნდა </w:t>
            </w:r>
            <w:proofErr w:type="spellStart"/>
            <w:r w:rsidR="0012673F" w:rsidRPr="0012673F">
              <w:rPr>
                <w:rFonts w:ascii="Sylfaen" w:hAnsi="Sylfaen"/>
              </w:rPr>
              <w:t>უზრუნველყოს</w:t>
            </w:r>
            <w:proofErr w:type="spellEnd"/>
            <w:r w:rsidR="0012673F" w:rsidRPr="0012673F">
              <w:rPr>
                <w:rFonts w:ascii="Sylfaen" w:hAnsi="Sylfaen"/>
              </w:rPr>
              <w:t xml:space="preserve"> ისეთი სასამართლო სისტემის არსებობა, რომლის </w:t>
            </w:r>
            <w:proofErr w:type="spellStart"/>
            <w:r w:rsidR="0012673F" w:rsidRPr="0012673F">
              <w:rPr>
                <w:rFonts w:ascii="Sylfaen" w:hAnsi="Sylfaen"/>
              </w:rPr>
              <w:t>ფარგლებშიც</w:t>
            </w:r>
            <w:proofErr w:type="spellEnd"/>
            <w:r w:rsidR="0012673F" w:rsidRPr="0012673F">
              <w:rPr>
                <w:rFonts w:ascii="Sylfaen" w:hAnsi="Sylfaen"/>
              </w:rPr>
              <w:t xml:space="preserve"> </w:t>
            </w:r>
            <w:proofErr w:type="spellStart"/>
            <w:r w:rsidR="0012673F" w:rsidRPr="0012673F">
              <w:rPr>
                <w:rFonts w:ascii="Sylfaen" w:hAnsi="Sylfaen"/>
              </w:rPr>
              <w:t>უზრუნველყოფილი</w:t>
            </w:r>
            <w:proofErr w:type="spellEnd"/>
            <w:r w:rsidR="0012673F" w:rsidRPr="0012673F">
              <w:rPr>
                <w:rFonts w:ascii="Sylfaen" w:hAnsi="Sylfaen"/>
              </w:rPr>
              <w:t xml:space="preserve"> იქნება ადამიანის უფლებებისა და </w:t>
            </w:r>
            <w:proofErr w:type="spellStart"/>
            <w:r w:rsidR="0012673F" w:rsidRPr="0012673F">
              <w:rPr>
                <w:rFonts w:ascii="Sylfaen" w:hAnsi="Sylfaen"/>
              </w:rPr>
              <w:t>თავისუფლებების</w:t>
            </w:r>
            <w:proofErr w:type="spellEnd"/>
            <w:r w:rsidR="0012673F" w:rsidRPr="0012673F">
              <w:rPr>
                <w:rFonts w:ascii="Sylfaen" w:hAnsi="Sylfaen"/>
              </w:rPr>
              <w:t xml:space="preserve"> </w:t>
            </w:r>
            <w:proofErr w:type="spellStart"/>
            <w:r w:rsidR="0012673F" w:rsidRPr="0012673F">
              <w:rPr>
                <w:rFonts w:ascii="Sylfaen" w:hAnsi="Sylfaen"/>
              </w:rPr>
              <w:t>ადეკვატური</w:t>
            </w:r>
            <w:proofErr w:type="spellEnd"/>
            <w:r w:rsidR="0012673F" w:rsidRPr="0012673F">
              <w:rPr>
                <w:rFonts w:ascii="Sylfaen" w:hAnsi="Sylfaen"/>
              </w:rPr>
              <w:t xml:space="preserve">, დროული დაცვა. საკონსტიტუციო სასამართლო </w:t>
            </w:r>
            <w:proofErr w:type="spellStart"/>
            <w:r w:rsidR="0012673F" w:rsidRPr="0012673F">
              <w:rPr>
                <w:rFonts w:ascii="Sylfaen" w:hAnsi="Sylfaen"/>
              </w:rPr>
              <w:t>მიიჩნევს</w:t>
            </w:r>
            <w:proofErr w:type="spellEnd"/>
            <w:r w:rsidR="0012673F" w:rsidRPr="0012673F">
              <w:rPr>
                <w:rFonts w:ascii="Sylfaen" w:hAnsi="Sylfaen"/>
              </w:rPr>
              <w:t xml:space="preserve">, რომ </w:t>
            </w:r>
            <w:proofErr w:type="spellStart"/>
            <w:r w:rsidR="0012673F" w:rsidRPr="0012673F">
              <w:rPr>
                <w:rFonts w:ascii="Sylfaen" w:hAnsi="Sylfaen"/>
              </w:rPr>
              <w:t>მოპასუხის</w:t>
            </w:r>
            <w:proofErr w:type="spellEnd"/>
            <w:r w:rsidR="0012673F" w:rsidRPr="0012673F">
              <w:rPr>
                <w:rFonts w:ascii="Sylfaen" w:hAnsi="Sylfaen"/>
              </w:rPr>
              <w:t xml:space="preserve"> მიერ </w:t>
            </w:r>
            <w:proofErr w:type="spellStart"/>
            <w:r w:rsidR="0012673F" w:rsidRPr="0012673F">
              <w:rPr>
                <w:rFonts w:ascii="Sylfaen" w:hAnsi="Sylfaen"/>
              </w:rPr>
              <w:t>დასახელდა</w:t>
            </w:r>
            <w:proofErr w:type="spellEnd"/>
            <w:r w:rsidR="0012673F" w:rsidRPr="0012673F">
              <w:rPr>
                <w:rFonts w:ascii="Sylfaen" w:hAnsi="Sylfaen"/>
              </w:rPr>
              <w:t xml:space="preserve"> </w:t>
            </w:r>
            <w:proofErr w:type="spellStart"/>
            <w:r w:rsidR="0012673F" w:rsidRPr="0012673F">
              <w:rPr>
                <w:rFonts w:ascii="Sylfaen" w:hAnsi="Sylfaen"/>
              </w:rPr>
              <w:t>ღირებული</w:t>
            </w:r>
            <w:proofErr w:type="spellEnd"/>
            <w:r w:rsidR="0012673F" w:rsidRPr="0012673F">
              <w:rPr>
                <w:rFonts w:ascii="Sylfaen" w:hAnsi="Sylfaen"/>
              </w:rPr>
              <w:t xml:space="preserve"> ლეგიტიმური </w:t>
            </w:r>
            <w:proofErr w:type="spellStart"/>
            <w:r w:rsidR="0012673F" w:rsidRPr="0012673F">
              <w:rPr>
                <w:rFonts w:ascii="Sylfaen" w:hAnsi="Sylfaen"/>
              </w:rPr>
              <w:t>მიზანი</w:t>
            </w:r>
            <w:proofErr w:type="spellEnd"/>
            <w:r w:rsidR="0012673F" w:rsidRPr="0012673F">
              <w:rPr>
                <w:rFonts w:ascii="Sylfaen" w:hAnsi="Sylfaen"/>
              </w:rPr>
              <w:t xml:space="preserve"> და დასაშვებია სამართლიანი სასამართლოს უფლების შეზღუდვა სასამართლოს </w:t>
            </w:r>
            <w:proofErr w:type="spellStart"/>
            <w:r w:rsidR="0012673F" w:rsidRPr="0012673F">
              <w:rPr>
                <w:rFonts w:ascii="Sylfaen" w:hAnsi="Sylfaen"/>
              </w:rPr>
              <w:t>გადატვირთვისგან</w:t>
            </w:r>
            <w:proofErr w:type="spellEnd"/>
            <w:r w:rsidR="0012673F" w:rsidRPr="0012673F">
              <w:rPr>
                <w:rFonts w:ascii="Sylfaen" w:hAnsi="Sylfaen"/>
              </w:rPr>
              <w:t xml:space="preserve"> დაცვის მიზნით.</w:t>
            </w:r>
            <w:r w:rsidR="0012673F">
              <w:rPr>
                <w:rFonts w:ascii="Sylfaen" w:hAnsi="Sylfaen"/>
                <w:lang w:val="ka-GE"/>
              </w:rPr>
              <w:t xml:space="preserve">“ </w:t>
            </w:r>
          </w:p>
          <w:p w14:paraId="43C32A2B" w14:textId="52F355D1" w:rsidR="007C3803" w:rsidRDefault="007C3803" w:rsidP="00D91113">
            <w:pPr>
              <w:ind w:right="-18"/>
              <w:jc w:val="both"/>
              <w:rPr>
                <w:rFonts w:ascii="Sylfaen" w:hAnsi="Sylfaen"/>
              </w:rPr>
            </w:pPr>
          </w:p>
          <w:p w14:paraId="5C30202B" w14:textId="342A8EB1" w:rsidR="007C3803" w:rsidRDefault="007C3803" w:rsidP="00D91113">
            <w:pPr>
              <w:ind w:right="-18"/>
              <w:jc w:val="both"/>
              <w:rPr>
                <w:rFonts w:ascii="Sylfaen" w:hAnsi="Sylfaen"/>
                <w:lang w:val="ka-GE"/>
              </w:rPr>
            </w:pPr>
            <w:r>
              <w:rPr>
                <w:rFonts w:ascii="Sylfaen" w:hAnsi="Sylfaen"/>
                <w:lang w:val="ka-GE"/>
              </w:rPr>
              <w:t xml:space="preserve">შესაბამისად, </w:t>
            </w:r>
            <w:r w:rsidRPr="007C3803">
              <w:rPr>
                <w:rFonts w:ascii="Sylfaen" w:hAnsi="Sylfaen"/>
                <w:lang w:val="ka-GE"/>
              </w:rPr>
              <w:t>სასამართლო გადატვირთვისგან დაცვა ნამდვილად წარმოადგენს ღირებულ ლეგიტიმურ მიზანს, რომლის მისაღწევად დასაშვებია სამართლიანი სასამართლოს უფლების შეზღუდვა თანაზომიერების პრინციპის მოთხოვნათა განუხრელი დაცვით.</w:t>
            </w:r>
            <w:r>
              <w:rPr>
                <w:rFonts w:ascii="Sylfaen" w:hAnsi="Sylfaen"/>
                <w:lang w:val="ka-GE"/>
              </w:rPr>
              <w:t xml:space="preserve"> </w:t>
            </w:r>
            <w:r w:rsidR="00DD0E98">
              <w:rPr>
                <w:rFonts w:ascii="Sylfaen" w:hAnsi="Sylfaen"/>
                <w:lang w:val="ka-GE"/>
              </w:rPr>
              <w:t>თუმცა, მიუხედავად იმისა, რომ არსებობს უფლების შეზღუდვის ლეგიტიმური მიზანი, ამასთანავე აღნიშნული ინტერესი უნდა იყოს გამოსადეგი, აუცილებელი რა პროპორციული საშუალება.</w:t>
            </w:r>
            <w:r w:rsidR="007A44ED">
              <w:rPr>
                <w:rFonts w:ascii="Sylfaen" w:hAnsi="Sylfaen"/>
                <w:lang w:val="ka-GE"/>
              </w:rPr>
              <w:t xml:space="preserve"> </w:t>
            </w:r>
          </w:p>
          <w:p w14:paraId="5FB0F5D7" w14:textId="11946E22" w:rsidR="007A44ED" w:rsidRDefault="007A44ED" w:rsidP="00D91113">
            <w:pPr>
              <w:ind w:right="-18"/>
              <w:jc w:val="both"/>
              <w:rPr>
                <w:rFonts w:ascii="Sylfaen" w:hAnsi="Sylfaen"/>
                <w:lang w:val="ka-GE"/>
              </w:rPr>
            </w:pPr>
          </w:p>
          <w:p w14:paraId="0651D4A3" w14:textId="466B104A" w:rsidR="007A44ED" w:rsidRDefault="007A44ED" w:rsidP="007A44ED">
            <w:pPr>
              <w:pStyle w:val="ListParagraph"/>
              <w:numPr>
                <w:ilvl w:val="0"/>
                <w:numId w:val="31"/>
              </w:numPr>
              <w:ind w:right="-18"/>
              <w:jc w:val="both"/>
              <w:rPr>
                <w:rFonts w:ascii="Sylfaen" w:hAnsi="Sylfaen"/>
                <w:b/>
                <w:lang w:val="ka-GE"/>
              </w:rPr>
            </w:pPr>
            <w:r>
              <w:rPr>
                <w:rFonts w:ascii="Sylfaen" w:hAnsi="Sylfaen"/>
                <w:b/>
                <w:lang w:val="ka-GE"/>
              </w:rPr>
              <w:t>გამოსადეგობა</w:t>
            </w:r>
            <w:r w:rsidR="001F0428">
              <w:rPr>
                <w:rFonts w:ascii="Sylfaen" w:hAnsi="Sylfaen"/>
                <w:b/>
                <w:lang w:val="ka-GE"/>
              </w:rPr>
              <w:t xml:space="preserve"> და აუცილებლობა</w:t>
            </w:r>
          </w:p>
          <w:p w14:paraId="145CC4C5" w14:textId="286C9186" w:rsidR="00921D1C" w:rsidRDefault="00921D1C" w:rsidP="00921D1C">
            <w:pPr>
              <w:ind w:right="-18"/>
              <w:jc w:val="both"/>
              <w:rPr>
                <w:rFonts w:ascii="Sylfaen" w:hAnsi="Sylfaen"/>
                <w:b/>
                <w:lang w:val="ka-GE"/>
              </w:rPr>
            </w:pPr>
          </w:p>
          <w:p w14:paraId="681792AD" w14:textId="6D060BE9" w:rsidR="00921D1C" w:rsidRDefault="00921D1C" w:rsidP="00921D1C">
            <w:pPr>
              <w:ind w:right="-18"/>
              <w:jc w:val="both"/>
              <w:rPr>
                <w:rFonts w:ascii="Sylfaen" w:hAnsi="Sylfaen"/>
                <w:lang w:val="ka-GE"/>
              </w:rPr>
            </w:pPr>
            <w:r w:rsidRPr="00921D1C">
              <w:rPr>
                <w:rFonts w:ascii="Sylfaen" w:hAnsi="Sylfaen"/>
                <w:lang w:val="ka-GE"/>
              </w:rPr>
              <w:t>საქართველოს საკონსტიტუციო სასამართლოს დამკვიდრებული პრაქტიკით, იმისთვის, რომ სადავო ნორმით განსაზღვრული შეზღუდვა თანაზომიერების პრინციპთან შესაბამისად ჩაითვალოს, იგი უნდა აკმაყოფილებდეს გამოსადეგობის და აუცილებლობის კრიტერიუმებს. კერძოდ,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Pr>
                <w:rStyle w:val="FootnoteReference"/>
                <w:rFonts w:ascii="Sylfaen" w:hAnsi="Sylfaen"/>
                <w:lang w:val="ka-GE"/>
              </w:rPr>
              <w:footnoteReference w:id="11"/>
            </w:r>
            <w:r w:rsidR="00394401">
              <w:rPr>
                <w:rFonts w:ascii="Sylfaen" w:hAnsi="Sylfaen"/>
                <w:lang w:val="ka-GE"/>
              </w:rPr>
              <w:t xml:space="preserve">. ამასთან, </w:t>
            </w:r>
            <w:r w:rsidR="00394401" w:rsidRPr="00394401">
              <w:rPr>
                <w:rFonts w:ascii="Sylfaen" w:hAnsi="Sylfaen"/>
                <w:lang w:val="ka-GE"/>
              </w:rPr>
              <w:t>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 მზღუდველ) საშუალებას. უფრო კონკრეტულად, „საშუალების აუცილებლობას ობიექტური გარემოებები იწვევს და მას სხვა ალტერნატივა არ გააჩნია. საშუალებისადმი ასეთი მიდგომა გამორიცხავს შეზღუდვის ხელოვნურობას. აუცილებლობით გამოწვეული შეზღუდვა აუცილებელი საშუალების გამოყენებით გამართლდება. მხოლოდ ასეთი შეზღუდვა შეიძლება პასუხობდეს პრაქტიკული გონიერების მოთხოვნებს და სუბიექტის მზაობას, უფლების შეზღუდვა მიიჩნიოს, როგორც გარდაუვალი აუცილებლობა“</w:t>
            </w:r>
            <w:r w:rsidR="00394401">
              <w:rPr>
                <w:rStyle w:val="FootnoteReference"/>
                <w:rFonts w:ascii="Sylfaen" w:hAnsi="Sylfaen"/>
                <w:lang w:val="ka-GE"/>
              </w:rPr>
              <w:footnoteReference w:id="12"/>
            </w:r>
            <w:r w:rsidR="002D7CE0">
              <w:rPr>
                <w:rFonts w:ascii="Sylfaen" w:hAnsi="Sylfaen"/>
                <w:lang w:val="ka-GE"/>
              </w:rPr>
              <w:t>.</w:t>
            </w:r>
          </w:p>
          <w:p w14:paraId="1C03DE29" w14:textId="04481D46" w:rsidR="00982EBF" w:rsidRDefault="00982EBF" w:rsidP="00921D1C">
            <w:pPr>
              <w:ind w:right="-18"/>
              <w:jc w:val="both"/>
              <w:rPr>
                <w:rFonts w:ascii="Sylfaen" w:hAnsi="Sylfaen"/>
                <w:lang w:val="ka-GE"/>
              </w:rPr>
            </w:pPr>
          </w:p>
          <w:p w14:paraId="043428D1" w14:textId="070FF297" w:rsidR="0012673F" w:rsidRDefault="00982EBF" w:rsidP="00921D1C">
            <w:pPr>
              <w:ind w:right="-18"/>
              <w:jc w:val="both"/>
              <w:rPr>
                <w:rFonts w:ascii="Sylfaen" w:hAnsi="Sylfaen"/>
                <w:lang w:val="ka-GE"/>
              </w:rPr>
            </w:pPr>
            <w:r>
              <w:rPr>
                <w:rFonts w:ascii="Sylfaen" w:hAnsi="Sylfaen"/>
                <w:lang w:val="ka-GE"/>
              </w:rPr>
              <w:t xml:space="preserve">სადავო ნორმატიული შინაარსი სრულად ზღუდავს </w:t>
            </w:r>
            <w:r w:rsidR="0098063A">
              <w:rPr>
                <w:rFonts w:ascii="Sylfaen" w:hAnsi="Sylfaen"/>
                <w:lang w:val="ka-GE"/>
              </w:rPr>
              <w:t>მოსარჩელის</w:t>
            </w:r>
            <w:r>
              <w:rPr>
                <w:rFonts w:ascii="Sylfaen" w:hAnsi="Sylfaen"/>
                <w:lang w:val="ka-GE"/>
              </w:rPr>
              <w:t xml:space="preserve"> უფლებას </w:t>
            </w:r>
            <w:r w:rsidR="00D31688">
              <w:rPr>
                <w:rFonts w:ascii="Sylfaen" w:hAnsi="Sylfaen"/>
                <w:lang w:val="ka-GE"/>
              </w:rPr>
              <w:t xml:space="preserve"> პირველი და მეორე ინსტანციის სასამართლოებში გაასაჩივროს </w:t>
            </w:r>
            <w:r>
              <w:rPr>
                <w:rFonts w:ascii="Sylfaen" w:hAnsi="Sylfaen"/>
                <w:lang w:val="ka-GE"/>
              </w:rPr>
              <w:t xml:space="preserve">ადმინისტრაციული ორგანოს უარი </w:t>
            </w:r>
            <w:r w:rsidR="00D31688">
              <w:rPr>
                <w:rFonts w:ascii="Sylfaen" w:hAnsi="Sylfaen"/>
                <w:lang w:val="ka-GE"/>
              </w:rPr>
              <w:t xml:space="preserve">საარჩევნო კოდექსის დარღვევასთან დაკავშირებით ადმინისტრაციულ სამართალდარღვევა ოქმის შედგენაზე. </w:t>
            </w:r>
            <w:r w:rsidR="007A0648">
              <w:rPr>
                <w:rFonts w:ascii="Sylfaen" w:hAnsi="Sylfaen"/>
                <w:lang w:val="ka-GE"/>
              </w:rPr>
              <w:t xml:space="preserve">ცხადია, აღნიშნულ პირობებში მცირდება პირველი და მეორე ინსტანციების სასამართლოების მიერ განსახულველ საქმეთა რაოდენობა და </w:t>
            </w:r>
            <w:r w:rsidR="00AF2489">
              <w:rPr>
                <w:rFonts w:ascii="Sylfaen" w:hAnsi="Sylfaen"/>
                <w:lang w:val="ka-GE"/>
              </w:rPr>
              <w:t>ხდება სასამართლოთა განტვირთვა.</w:t>
            </w:r>
            <w:r w:rsidR="0012673F">
              <w:rPr>
                <w:rFonts w:ascii="Sylfaen" w:hAnsi="Sylfaen"/>
                <w:lang w:val="ka-GE"/>
              </w:rPr>
              <w:t xml:space="preserve"> როგორც საკონსტიტუციო სასამართლომ ხვიჩა </w:t>
            </w:r>
            <w:proofErr w:type="spellStart"/>
            <w:r w:rsidR="0012673F">
              <w:rPr>
                <w:rFonts w:ascii="Sylfaen" w:hAnsi="Sylfaen"/>
                <w:lang w:val="ka-GE"/>
              </w:rPr>
              <w:t>ყირმიზაშვილის</w:t>
            </w:r>
            <w:proofErr w:type="spellEnd"/>
            <w:r w:rsidR="0012673F">
              <w:rPr>
                <w:rFonts w:ascii="Sylfaen" w:hAnsi="Sylfaen"/>
                <w:lang w:val="ka-GE"/>
              </w:rPr>
              <w:t xml:space="preserve"> საქმეზე მიღებული გადაწყვეტილების მეორე თავის მე-17 პუნქტში განაცხადა: „</w:t>
            </w:r>
            <w:proofErr w:type="spellStart"/>
            <w:r w:rsidR="0012673F" w:rsidRPr="0012673F">
              <w:rPr>
                <w:rFonts w:ascii="Sylfaen" w:hAnsi="Sylfaen"/>
              </w:rPr>
              <w:t>ამგვარი</w:t>
            </w:r>
            <w:proofErr w:type="spellEnd"/>
            <w:r w:rsidR="0012673F" w:rsidRPr="0012673F">
              <w:rPr>
                <w:rFonts w:ascii="Sylfaen" w:hAnsi="Sylfaen"/>
              </w:rPr>
              <w:t xml:space="preserve"> </w:t>
            </w:r>
            <w:proofErr w:type="spellStart"/>
            <w:r w:rsidR="0012673F" w:rsidRPr="0012673F">
              <w:rPr>
                <w:rFonts w:ascii="Sylfaen" w:hAnsi="Sylfaen"/>
              </w:rPr>
              <w:t>რეგულირება</w:t>
            </w:r>
            <w:proofErr w:type="spellEnd"/>
            <w:r w:rsidR="0012673F" w:rsidRPr="0012673F">
              <w:rPr>
                <w:rFonts w:ascii="Sylfaen" w:hAnsi="Sylfaen"/>
              </w:rPr>
              <w:t xml:space="preserve"> </w:t>
            </w:r>
            <w:proofErr w:type="spellStart"/>
            <w:r w:rsidR="0012673F" w:rsidRPr="0012673F">
              <w:rPr>
                <w:rFonts w:ascii="Sylfaen" w:hAnsi="Sylfaen"/>
              </w:rPr>
              <w:t>ამცირებს</w:t>
            </w:r>
            <w:proofErr w:type="spellEnd"/>
            <w:r w:rsidR="0012673F" w:rsidRPr="0012673F">
              <w:rPr>
                <w:rFonts w:ascii="Sylfaen" w:hAnsi="Sylfaen"/>
              </w:rPr>
              <w:t xml:space="preserve"> სასამართლოს </w:t>
            </w:r>
            <w:proofErr w:type="spellStart"/>
            <w:r w:rsidR="0012673F" w:rsidRPr="0012673F">
              <w:rPr>
                <w:rFonts w:ascii="Sylfaen" w:hAnsi="Sylfaen"/>
              </w:rPr>
              <w:t>განსახილველ</w:t>
            </w:r>
            <w:proofErr w:type="spellEnd"/>
            <w:r w:rsidR="0012673F" w:rsidRPr="0012673F">
              <w:rPr>
                <w:rFonts w:ascii="Sylfaen" w:hAnsi="Sylfaen"/>
              </w:rPr>
              <w:t xml:space="preserve"> </w:t>
            </w:r>
            <w:proofErr w:type="spellStart"/>
            <w:r w:rsidR="0012673F" w:rsidRPr="0012673F">
              <w:rPr>
                <w:rFonts w:ascii="Sylfaen" w:hAnsi="Sylfaen"/>
              </w:rPr>
              <w:t>საქმეთა</w:t>
            </w:r>
            <w:proofErr w:type="spellEnd"/>
            <w:r w:rsidR="0012673F" w:rsidRPr="0012673F">
              <w:rPr>
                <w:rFonts w:ascii="Sylfaen" w:hAnsi="Sylfaen"/>
              </w:rPr>
              <w:t xml:space="preserve"> რაოდენობას და, </w:t>
            </w:r>
            <w:proofErr w:type="spellStart"/>
            <w:r w:rsidR="0012673F" w:rsidRPr="0012673F">
              <w:rPr>
                <w:rFonts w:ascii="Sylfaen" w:hAnsi="Sylfaen"/>
              </w:rPr>
              <w:t>შედეგად</w:t>
            </w:r>
            <w:proofErr w:type="spellEnd"/>
            <w:r w:rsidR="0012673F" w:rsidRPr="0012673F">
              <w:rPr>
                <w:rFonts w:ascii="Sylfaen" w:hAnsi="Sylfaen"/>
              </w:rPr>
              <w:t xml:space="preserve">, ხელს უწყობს სასამართლოს </w:t>
            </w:r>
            <w:proofErr w:type="spellStart"/>
            <w:r w:rsidR="0012673F" w:rsidRPr="0012673F">
              <w:rPr>
                <w:rFonts w:ascii="Sylfaen" w:hAnsi="Sylfaen"/>
              </w:rPr>
              <w:t>განტვირთვას</w:t>
            </w:r>
            <w:proofErr w:type="spellEnd"/>
            <w:r w:rsidR="0012673F" w:rsidRPr="0012673F">
              <w:rPr>
                <w:rFonts w:ascii="Sylfaen" w:hAnsi="Sylfaen"/>
              </w:rPr>
              <w:t xml:space="preserve">. </w:t>
            </w:r>
            <w:proofErr w:type="spellStart"/>
            <w:r w:rsidR="0012673F" w:rsidRPr="0012673F">
              <w:rPr>
                <w:rFonts w:ascii="Sylfaen" w:hAnsi="Sylfaen"/>
              </w:rPr>
              <w:t>ამდენად</w:t>
            </w:r>
            <w:proofErr w:type="spellEnd"/>
            <w:r w:rsidR="0012673F" w:rsidRPr="0012673F">
              <w:rPr>
                <w:rFonts w:ascii="Sylfaen" w:hAnsi="Sylfaen"/>
              </w:rPr>
              <w:t xml:space="preserve">, </w:t>
            </w:r>
            <w:proofErr w:type="spellStart"/>
            <w:r w:rsidR="0012673F" w:rsidRPr="0012673F">
              <w:rPr>
                <w:rFonts w:ascii="Sylfaen" w:hAnsi="Sylfaen"/>
              </w:rPr>
              <w:t>სადავო</w:t>
            </w:r>
            <w:proofErr w:type="spellEnd"/>
            <w:r w:rsidR="0012673F" w:rsidRPr="0012673F">
              <w:rPr>
                <w:rFonts w:ascii="Sylfaen" w:hAnsi="Sylfaen"/>
              </w:rPr>
              <w:t xml:space="preserve"> </w:t>
            </w:r>
            <w:proofErr w:type="spellStart"/>
            <w:r w:rsidR="0012673F" w:rsidRPr="0012673F">
              <w:rPr>
                <w:rFonts w:ascii="Sylfaen" w:hAnsi="Sylfaen"/>
              </w:rPr>
              <w:t>ნორმით</w:t>
            </w:r>
            <w:proofErr w:type="spellEnd"/>
            <w:r w:rsidR="0012673F" w:rsidRPr="0012673F">
              <w:rPr>
                <w:rFonts w:ascii="Sylfaen" w:hAnsi="Sylfaen"/>
              </w:rPr>
              <w:t xml:space="preserve"> გათვალისწინებული უფლების </w:t>
            </w:r>
            <w:proofErr w:type="spellStart"/>
            <w:r w:rsidR="0012673F" w:rsidRPr="0012673F">
              <w:rPr>
                <w:rFonts w:ascii="Sylfaen" w:hAnsi="Sylfaen"/>
              </w:rPr>
              <w:t>შემზღუდველი</w:t>
            </w:r>
            <w:proofErr w:type="spellEnd"/>
            <w:r w:rsidR="0012673F" w:rsidRPr="0012673F">
              <w:rPr>
                <w:rFonts w:ascii="Sylfaen" w:hAnsi="Sylfaen"/>
              </w:rPr>
              <w:t xml:space="preserve"> </w:t>
            </w:r>
            <w:proofErr w:type="spellStart"/>
            <w:r w:rsidR="0012673F" w:rsidRPr="0012673F">
              <w:rPr>
                <w:rFonts w:ascii="Sylfaen" w:hAnsi="Sylfaen"/>
              </w:rPr>
              <w:t>ღონისძიება</w:t>
            </w:r>
            <w:proofErr w:type="spellEnd"/>
            <w:r w:rsidR="0012673F" w:rsidRPr="0012673F">
              <w:rPr>
                <w:rFonts w:ascii="Sylfaen" w:hAnsi="Sylfaen"/>
              </w:rPr>
              <w:t xml:space="preserve"> </w:t>
            </w:r>
            <w:proofErr w:type="spellStart"/>
            <w:r w:rsidR="0012673F" w:rsidRPr="0012673F">
              <w:rPr>
                <w:rFonts w:ascii="Sylfaen" w:hAnsi="Sylfaen"/>
              </w:rPr>
              <w:t>დასახელებული</w:t>
            </w:r>
            <w:proofErr w:type="spellEnd"/>
            <w:r w:rsidR="0012673F" w:rsidRPr="0012673F">
              <w:rPr>
                <w:rFonts w:ascii="Sylfaen" w:hAnsi="Sylfaen"/>
              </w:rPr>
              <w:t xml:space="preserve"> მიზნის </w:t>
            </w:r>
            <w:proofErr w:type="spellStart"/>
            <w:r w:rsidR="0012673F" w:rsidRPr="0012673F">
              <w:rPr>
                <w:rFonts w:ascii="Sylfaen" w:hAnsi="Sylfaen"/>
              </w:rPr>
              <w:t>მიღწევის</w:t>
            </w:r>
            <w:proofErr w:type="spellEnd"/>
            <w:r w:rsidR="0012673F" w:rsidRPr="0012673F">
              <w:rPr>
                <w:rFonts w:ascii="Sylfaen" w:hAnsi="Sylfaen"/>
              </w:rPr>
              <w:t xml:space="preserve"> </w:t>
            </w:r>
            <w:proofErr w:type="spellStart"/>
            <w:r w:rsidR="0012673F" w:rsidRPr="0012673F">
              <w:rPr>
                <w:rFonts w:ascii="Sylfaen" w:hAnsi="Sylfaen"/>
              </w:rPr>
              <w:t>გამოსადეგი</w:t>
            </w:r>
            <w:proofErr w:type="spellEnd"/>
            <w:r w:rsidR="0012673F" w:rsidRPr="0012673F">
              <w:rPr>
                <w:rFonts w:ascii="Sylfaen" w:hAnsi="Sylfaen"/>
              </w:rPr>
              <w:t xml:space="preserve"> </w:t>
            </w:r>
            <w:proofErr w:type="spellStart"/>
            <w:r w:rsidR="0012673F" w:rsidRPr="0012673F">
              <w:rPr>
                <w:rFonts w:ascii="Sylfaen" w:hAnsi="Sylfaen"/>
              </w:rPr>
              <w:t>საშუალებაა</w:t>
            </w:r>
            <w:proofErr w:type="spellEnd"/>
            <w:r w:rsidR="0012673F" w:rsidRPr="0012673F">
              <w:rPr>
                <w:rFonts w:ascii="Sylfaen" w:hAnsi="Sylfaen"/>
              </w:rPr>
              <w:t>.</w:t>
            </w:r>
            <w:r w:rsidR="006D14E6">
              <w:rPr>
                <w:rFonts w:ascii="Sylfaen" w:hAnsi="Sylfaen"/>
                <w:lang w:val="ka-GE"/>
              </w:rPr>
              <w:t xml:space="preserve">“ </w:t>
            </w:r>
            <w:r w:rsidR="007E4281">
              <w:rPr>
                <w:rFonts w:ascii="Sylfaen" w:hAnsi="Sylfaen"/>
                <w:lang w:val="ka-GE"/>
              </w:rPr>
              <w:t xml:space="preserve"> </w:t>
            </w:r>
          </w:p>
          <w:p w14:paraId="16F08BBE" w14:textId="77777777" w:rsidR="0012673F" w:rsidRDefault="0012673F" w:rsidP="00921D1C">
            <w:pPr>
              <w:ind w:right="-18"/>
              <w:jc w:val="both"/>
              <w:rPr>
                <w:rFonts w:ascii="Sylfaen" w:hAnsi="Sylfaen"/>
                <w:lang w:val="ka-GE"/>
              </w:rPr>
            </w:pPr>
          </w:p>
          <w:p w14:paraId="0A7A7133" w14:textId="3020D726" w:rsidR="006940BF" w:rsidRPr="006D14E6" w:rsidRDefault="008E4141" w:rsidP="00921D1C">
            <w:pPr>
              <w:ind w:right="-18"/>
              <w:jc w:val="both"/>
              <w:rPr>
                <w:rFonts w:ascii="Sylfaen" w:hAnsi="Sylfaen"/>
                <w:lang w:val="ka-GE"/>
              </w:rPr>
            </w:pPr>
            <w:r>
              <w:rPr>
                <w:rFonts w:ascii="Sylfaen" w:hAnsi="Sylfaen"/>
                <w:lang w:val="ka-GE"/>
              </w:rPr>
              <w:t xml:space="preserve">მნიშვნელოვანია ისიც რომ მოსარჩელის ინტერესის დაკმაყოფილება - შეამოწმოს ადმინისტრაციული ორგანოს მიერ ოქმის შედგენაზე უარის თქმისას აღნიშნული ორგანოს დისკრეციული უფლებამოსილების კანონიერება მხოლოდ სასამართლო კონტროლის განხორციელებითაა შესაძლებელი. ამასთან, არ არსებობს რაიმე ნაკლებად მზღუდავი მექანიზმი, რომელიც იმავე ეფექტურობით უზრუნველყოფდა სასამართლოს განტვირთვას. </w:t>
            </w:r>
            <w:r w:rsidR="006D14E6" w:rsidRPr="006D14E6">
              <w:rPr>
                <w:rFonts w:ascii="Sylfaen" w:hAnsi="Sylfaen"/>
              </w:rPr>
              <w:t xml:space="preserve">არ </w:t>
            </w:r>
            <w:proofErr w:type="spellStart"/>
            <w:r w:rsidR="006D14E6" w:rsidRPr="006D14E6">
              <w:rPr>
                <w:rFonts w:ascii="Sylfaen" w:hAnsi="Sylfaen"/>
              </w:rPr>
              <w:t>იკვეთება</w:t>
            </w:r>
            <w:proofErr w:type="spellEnd"/>
            <w:r w:rsidR="006D14E6" w:rsidRPr="006D14E6">
              <w:rPr>
                <w:rFonts w:ascii="Sylfaen" w:hAnsi="Sylfaen"/>
              </w:rPr>
              <w:t xml:space="preserve"> სხვა, </w:t>
            </w:r>
            <w:proofErr w:type="spellStart"/>
            <w:r w:rsidR="006D14E6" w:rsidRPr="006D14E6">
              <w:rPr>
                <w:rFonts w:ascii="Sylfaen" w:hAnsi="Sylfaen"/>
              </w:rPr>
              <w:t>ნაკლებად</w:t>
            </w:r>
            <w:proofErr w:type="spellEnd"/>
            <w:r w:rsidR="006D14E6" w:rsidRPr="006D14E6">
              <w:rPr>
                <w:rFonts w:ascii="Sylfaen" w:hAnsi="Sylfaen"/>
              </w:rPr>
              <w:t xml:space="preserve"> </w:t>
            </w:r>
            <w:proofErr w:type="spellStart"/>
            <w:r w:rsidR="006D14E6" w:rsidRPr="006D14E6">
              <w:rPr>
                <w:rFonts w:ascii="Sylfaen" w:hAnsi="Sylfaen"/>
              </w:rPr>
              <w:t>მზღუდავი</w:t>
            </w:r>
            <w:proofErr w:type="spellEnd"/>
            <w:r w:rsidR="006D14E6" w:rsidRPr="006D14E6">
              <w:rPr>
                <w:rFonts w:ascii="Sylfaen" w:hAnsi="Sylfaen"/>
              </w:rPr>
              <w:t xml:space="preserve"> სამართლებრივი </w:t>
            </w:r>
            <w:proofErr w:type="spellStart"/>
            <w:r w:rsidR="006D14E6" w:rsidRPr="006D14E6">
              <w:rPr>
                <w:rFonts w:ascii="Sylfaen" w:hAnsi="Sylfaen"/>
              </w:rPr>
              <w:t>მექანიზმი</w:t>
            </w:r>
            <w:proofErr w:type="spellEnd"/>
            <w:r w:rsidR="006D14E6" w:rsidRPr="006D14E6">
              <w:rPr>
                <w:rFonts w:ascii="Sylfaen" w:hAnsi="Sylfaen"/>
              </w:rPr>
              <w:t xml:space="preserve">, რომელიც იმავე </w:t>
            </w:r>
            <w:proofErr w:type="spellStart"/>
            <w:r w:rsidR="006D14E6" w:rsidRPr="006D14E6">
              <w:rPr>
                <w:rFonts w:ascii="Sylfaen" w:hAnsi="Sylfaen"/>
              </w:rPr>
              <w:t>ეფექტიანობით</w:t>
            </w:r>
            <w:proofErr w:type="spellEnd"/>
            <w:r w:rsidR="006D14E6" w:rsidRPr="006D14E6">
              <w:rPr>
                <w:rFonts w:ascii="Sylfaen" w:hAnsi="Sylfaen"/>
              </w:rPr>
              <w:t xml:space="preserve"> </w:t>
            </w:r>
            <w:proofErr w:type="spellStart"/>
            <w:r w:rsidR="006D14E6" w:rsidRPr="006D14E6">
              <w:rPr>
                <w:rFonts w:ascii="Sylfaen" w:hAnsi="Sylfaen"/>
              </w:rPr>
              <w:t>უზრუნველყოფდა</w:t>
            </w:r>
            <w:proofErr w:type="spellEnd"/>
            <w:r w:rsidR="006D14E6" w:rsidRPr="006D14E6">
              <w:rPr>
                <w:rFonts w:ascii="Sylfaen" w:hAnsi="Sylfaen"/>
              </w:rPr>
              <w:t xml:space="preserve"> სასამართლოს </w:t>
            </w:r>
            <w:proofErr w:type="spellStart"/>
            <w:r w:rsidR="006D14E6" w:rsidRPr="006D14E6">
              <w:rPr>
                <w:rFonts w:ascii="Sylfaen" w:hAnsi="Sylfaen"/>
              </w:rPr>
              <w:t>განტვირთვას</w:t>
            </w:r>
            <w:proofErr w:type="spellEnd"/>
            <w:r w:rsidR="006D14E6" w:rsidRPr="006D14E6">
              <w:rPr>
                <w:rFonts w:ascii="Sylfaen" w:hAnsi="Sylfaen"/>
              </w:rPr>
              <w:t xml:space="preserve">, როგორც </w:t>
            </w:r>
            <w:proofErr w:type="spellStart"/>
            <w:r w:rsidR="006D14E6" w:rsidRPr="006D14E6">
              <w:rPr>
                <w:rFonts w:ascii="Sylfaen" w:hAnsi="Sylfaen"/>
              </w:rPr>
              <w:t>ამას</w:t>
            </w:r>
            <w:proofErr w:type="spellEnd"/>
            <w:r w:rsidR="006D14E6">
              <w:rPr>
                <w:rFonts w:ascii="Sylfaen" w:hAnsi="Sylfaen"/>
                <w:lang w:val="ka-GE"/>
              </w:rPr>
              <w:t xml:space="preserve"> ადმინისტრაციული სამართალდარღვევის ოქმის შედგენაზე უარის </w:t>
            </w:r>
            <w:proofErr w:type="spellStart"/>
            <w:r w:rsidR="006D14E6" w:rsidRPr="006D14E6">
              <w:rPr>
                <w:rFonts w:ascii="Sylfaen" w:hAnsi="Sylfaen"/>
              </w:rPr>
              <w:t>გასაჩივრების</w:t>
            </w:r>
            <w:proofErr w:type="spellEnd"/>
            <w:r w:rsidR="006D14E6" w:rsidRPr="006D14E6">
              <w:rPr>
                <w:rFonts w:ascii="Sylfaen" w:hAnsi="Sylfaen"/>
              </w:rPr>
              <w:t xml:space="preserve"> </w:t>
            </w:r>
            <w:proofErr w:type="spellStart"/>
            <w:r w:rsidR="006D14E6" w:rsidRPr="006D14E6">
              <w:rPr>
                <w:rFonts w:ascii="Sylfaen" w:hAnsi="Sylfaen"/>
              </w:rPr>
              <w:t>აბსოლუტური</w:t>
            </w:r>
            <w:proofErr w:type="spellEnd"/>
            <w:r w:rsidR="006D14E6" w:rsidRPr="006D14E6">
              <w:rPr>
                <w:rFonts w:ascii="Sylfaen" w:hAnsi="Sylfaen"/>
              </w:rPr>
              <w:t xml:space="preserve"> აკრძალვა </w:t>
            </w:r>
            <w:r w:rsidR="006D14E6" w:rsidRPr="006D14E6">
              <w:rPr>
                <w:rFonts w:ascii="Sylfaen" w:hAnsi="Sylfaen"/>
              </w:rPr>
              <w:lastRenderedPageBreak/>
              <w:t xml:space="preserve">უზრუნველყოფს. </w:t>
            </w:r>
            <w:proofErr w:type="spellStart"/>
            <w:r w:rsidR="006D14E6" w:rsidRPr="006D14E6">
              <w:rPr>
                <w:rFonts w:ascii="Sylfaen" w:hAnsi="Sylfaen"/>
              </w:rPr>
              <w:t>აღნიშნულიდან</w:t>
            </w:r>
            <w:proofErr w:type="spellEnd"/>
            <w:r w:rsidR="006D14E6" w:rsidRPr="006D14E6">
              <w:rPr>
                <w:rFonts w:ascii="Sylfaen" w:hAnsi="Sylfaen"/>
              </w:rPr>
              <w:t xml:space="preserve"> </w:t>
            </w:r>
            <w:proofErr w:type="spellStart"/>
            <w:r w:rsidR="006D14E6" w:rsidRPr="006D14E6">
              <w:rPr>
                <w:rFonts w:ascii="Sylfaen" w:hAnsi="Sylfaen"/>
              </w:rPr>
              <w:t>გამომდინარე</w:t>
            </w:r>
            <w:proofErr w:type="spellEnd"/>
            <w:r w:rsidR="006D14E6" w:rsidRPr="006D14E6">
              <w:rPr>
                <w:rFonts w:ascii="Sylfaen" w:hAnsi="Sylfaen"/>
              </w:rPr>
              <w:t xml:space="preserve">, </w:t>
            </w:r>
            <w:proofErr w:type="spellStart"/>
            <w:r w:rsidR="006D14E6" w:rsidRPr="006D14E6">
              <w:rPr>
                <w:rFonts w:ascii="Sylfaen" w:hAnsi="Sylfaen"/>
              </w:rPr>
              <w:t>საქართველოს</w:t>
            </w:r>
            <w:proofErr w:type="spellEnd"/>
            <w:r w:rsidR="006D14E6" w:rsidRPr="006D14E6">
              <w:rPr>
                <w:rFonts w:ascii="Sylfaen" w:hAnsi="Sylfaen"/>
              </w:rPr>
              <w:t xml:space="preserve"> საკონსტიტუციო სასამართლო </w:t>
            </w:r>
            <w:proofErr w:type="spellStart"/>
            <w:r w:rsidR="006D14E6" w:rsidRPr="006D14E6">
              <w:rPr>
                <w:rFonts w:ascii="Sylfaen" w:hAnsi="Sylfaen"/>
              </w:rPr>
              <w:t>მიიჩნევს</w:t>
            </w:r>
            <w:proofErr w:type="spellEnd"/>
            <w:r w:rsidR="006D14E6" w:rsidRPr="006D14E6">
              <w:rPr>
                <w:rFonts w:ascii="Sylfaen" w:hAnsi="Sylfaen"/>
              </w:rPr>
              <w:t xml:space="preserve">, რომ </w:t>
            </w:r>
            <w:proofErr w:type="spellStart"/>
            <w:r w:rsidR="006D14E6" w:rsidRPr="006D14E6">
              <w:rPr>
                <w:rFonts w:ascii="Sylfaen" w:hAnsi="Sylfaen"/>
              </w:rPr>
              <w:t>სადავო</w:t>
            </w:r>
            <w:proofErr w:type="spellEnd"/>
            <w:r w:rsidR="006D14E6" w:rsidRPr="006D14E6">
              <w:rPr>
                <w:rFonts w:ascii="Sylfaen" w:hAnsi="Sylfaen"/>
              </w:rPr>
              <w:t xml:space="preserve"> </w:t>
            </w:r>
            <w:proofErr w:type="spellStart"/>
            <w:r w:rsidR="006D14E6" w:rsidRPr="006D14E6">
              <w:rPr>
                <w:rFonts w:ascii="Sylfaen" w:hAnsi="Sylfaen"/>
              </w:rPr>
              <w:t>ნორმით</w:t>
            </w:r>
            <w:proofErr w:type="spellEnd"/>
            <w:r w:rsidR="006D14E6" w:rsidRPr="006D14E6">
              <w:rPr>
                <w:rFonts w:ascii="Sylfaen" w:hAnsi="Sylfaen"/>
              </w:rPr>
              <w:t xml:space="preserve"> გათვალისწინებული </w:t>
            </w:r>
            <w:proofErr w:type="spellStart"/>
            <w:r w:rsidR="006D14E6" w:rsidRPr="006D14E6">
              <w:rPr>
                <w:rFonts w:ascii="Sylfaen" w:hAnsi="Sylfaen"/>
              </w:rPr>
              <w:t>შემზღუდველი</w:t>
            </w:r>
            <w:proofErr w:type="spellEnd"/>
            <w:r w:rsidR="006D14E6" w:rsidRPr="006D14E6">
              <w:rPr>
                <w:rFonts w:ascii="Sylfaen" w:hAnsi="Sylfaen"/>
              </w:rPr>
              <w:t xml:space="preserve"> </w:t>
            </w:r>
            <w:proofErr w:type="spellStart"/>
            <w:r w:rsidR="006D14E6" w:rsidRPr="006D14E6">
              <w:rPr>
                <w:rFonts w:ascii="Sylfaen" w:hAnsi="Sylfaen"/>
              </w:rPr>
              <w:t>ღონისძიება</w:t>
            </w:r>
            <w:proofErr w:type="spellEnd"/>
            <w:r w:rsidR="006D14E6" w:rsidRPr="006D14E6">
              <w:rPr>
                <w:rFonts w:ascii="Sylfaen" w:hAnsi="Sylfaen"/>
              </w:rPr>
              <w:t xml:space="preserve"> აკმაყოფილებს </w:t>
            </w:r>
            <w:proofErr w:type="spellStart"/>
            <w:r w:rsidR="006D14E6" w:rsidRPr="006D14E6">
              <w:rPr>
                <w:rFonts w:ascii="Sylfaen" w:hAnsi="Sylfaen"/>
              </w:rPr>
              <w:t>აუცილებლობის</w:t>
            </w:r>
            <w:proofErr w:type="spellEnd"/>
            <w:r w:rsidR="006D14E6" w:rsidRPr="006D14E6">
              <w:rPr>
                <w:rFonts w:ascii="Sylfaen" w:hAnsi="Sylfaen"/>
              </w:rPr>
              <w:t xml:space="preserve"> მოთხოვნებს</w:t>
            </w:r>
            <w:r w:rsidR="006D14E6">
              <w:rPr>
                <w:rFonts w:ascii="Sylfaen" w:hAnsi="Sylfaen"/>
                <w:lang w:val="ka-GE"/>
              </w:rPr>
              <w:t xml:space="preserve"> (</w:t>
            </w:r>
            <w:r w:rsidR="006D14E6" w:rsidRPr="006D14E6">
              <w:rPr>
                <w:rFonts w:ascii="Sylfaen" w:hAnsi="Sylfaen"/>
              </w:rPr>
              <w:t>mutatis mutandis</w:t>
            </w:r>
            <w:r w:rsidR="006D14E6">
              <w:rPr>
                <w:rFonts w:ascii="Sylfaen" w:hAnsi="Sylfaen"/>
              </w:rPr>
              <w:t xml:space="preserve"> </w:t>
            </w:r>
            <w:r w:rsidR="006D14E6" w:rsidRPr="006D14E6">
              <w:rPr>
                <w:rFonts w:ascii="Sylfaen" w:hAnsi="Sylfaen"/>
                <w:lang w:val="ka-GE"/>
              </w:rPr>
              <w:t xml:space="preserve">საქართველოს საკონსტიტუციო სასამართლოს 2018 წლის 14 დეკემბრის </w:t>
            </w:r>
            <w:r w:rsidR="006D14E6" w:rsidRPr="006D14E6">
              <w:rPr>
                <w:rFonts w:ascii="Sylfaen" w:hAnsi="Sylfaen"/>
              </w:rPr>
              <w:t>N2/12/1229, 1242, 1247, 1299</w:t>
            </w:r>
            <w:r w:rsidR="006D14E6" w:rsidRPr="006D14E6">
              <w:rPr>
                <w:rFonts w:ascii="Sylfaen" w:hAnsi="Sylfaen"/>
                <w:lang w:val="ka-GE"/>
              </w:rPr>
              <w:t xml:space="preserve"> გადაწყვეტილება საქმეზე ხვიჩა ყირმიზაშვილი და სხვები საქართველოს პარლამენტის წინააღმდეგ </w:t>
            </w:r>
            <w:r w:rsidR="006D14E6" w:rsidRPr="006D14E6">
              <w:rPr>
                <w:rFonts w:ascii="Sylfaen" w:hAnsi="Sylfaen"/>
              </w:rPr>
              <w:t>II-</w:t>
            </w:r>
            <w:r w:rsidR="006D14E6">
              <w:rPr>
                <w:rFonts w:ascii="Sylfaen" w:hAnsi="Sylfaen"/>
              </w:rPr>
              <w:t>19)</w:t>
            </w:r>
            <w:r w:rsidR="006D14E6" w:rsidRPr="006D14E6">
              <w:rPr>
                <w:rFonts w:ascii="Sylfaen" w:hAnsi="Sylfaen"/>
              </w:rPr>
              <w:t>.</w:t>
            </w:r>
          </w:p>
          <w:p w14:paraId="44EACC86" w14:textId="77777777" w:rsidR="006940BF" w:rsidRDefault="006940BF" w:rsidP="00921D1C">
            <w:pPr>
              <w:ind w:right="-18"/>
              <w:jc w:val="both"/>
              <w:rPr>
                <w:rFonts w:ascii="Sylfaen" w:hAnsi="Sylfaen"/>
                <w:lang w:val="ka-GE"/>
              </w:rPr>
            </w:pPr>
          </w:p>
          <w:p w14:paraId="71AA8654" w14:textId="644AE3DC" w:rsidR="008938DF" w:rsidRDefault="006940BF" w:rsidP="00921D1C">
            <w:pPr>
              <w:ind w:right="-18"/>
              <w:jc w:val="both"/>
              <w:rPr>
                <w:rFonts w:ascii="Sylfaen" w:hAnsi="Sylfaen"/>
                <w:lang w:val="ka-GE"/>
              </w:rPr>
            </w:pPr>
            <w:r>
              <w:rPr>
                <w:rFonts w:ascii="Sylfaen" w:hAnsi="Sylfaen"/>
                <w:lang w:val="ka-GE"/>
              </w:rPr>
              <w:t>ყოველივე ზემოთქმულიდან გამომდინარე, მოსარჩელე მიიჩნევს რომ უფლებაში ჩარევა წარმოადგენ გამოსადეგ და აუცილებელ საშუალებას.</w:t>
            </w:r>
          </w:p>
          <w:p w14:paraId="28146B4E" w14:textId="0F5F8BA0" w:rsidR="00435FCC" w:rsidRDefault="00435FCC" w:rsidP="00921D1C">
            <w:pPr>
              <w:ind w:right="-18"/>
              <w:jc w:val="both"/>
              <w:rPr>
                <w:rFonts w:ascii="Sylfaen" w:hAnsi="Sylfaen"/>
                <w:lang w:val="ka-GE"/>
              </w:rPr>
            </w:pPr>
          </w:p>
          <w:p w14:paraId="5F7C3631" w14:textId="6E0EFF44" w:rsidR="00435FCC" w:rsidRDefault="00435FCC" w:rsidP="00435FCC">
            <w:pPr>
              <w:pStyle w:val="ListParagraph"/>
              <w:numPr>
                <w:ilvl w:val="0"/>
                <w:numId w:val="31"/>
              </w:numPr>
              <w:ind w:right="-18"/>
              <w:jc w:val="both"/>
              <w:rPr>
                <w:rFonts w:ascii="Sylfaen" w:hAnsi="Sylfaen"/>
                <w:b/>
                <w:lang w:val="ka-GE"/>
              </w:rPr>
            </w:pPr>
            <w:r>
              <w:rPr>
                <w:rFonts w:ascii="Sylfaen" w:hAnsi="Sylfaen"/>
                <w:b/>
                <w:lang w:val="ka-GE"/>
              </w:rPr>
              <w:t>პროპორციულობა ვიწრო გაგებით</w:t>
            </w:r>
          </w:p>
          <w:p w14:paraId="5063B33C" w14:textId="442C3F90" w:rsidR="00435FCC" w:rsidRDefault="00435FCC" w:rsidP="00435FCC">
            <w:pPr>
              <w:ind w:right="-18"/>
              <w:jc w:val="both"/>
              <w:rPr>
                <w:rFonts w:ascii="Sylfaen" w:hAnsi="Sylfaen"/>
                <w:b/>
                <w:lang w:val="ka-GE"/>
              </w:rPr>
            </w:pPr>
          </w:p>
          <w:p w14:paraId="708F417D" w14:textId="49F96D82" w:rsidR="00435FCC" w:rsidRDefault="000E49D2" w:rsidP="00435FCC">
            <w:pPr>
              <w:ind w:right="-18"/>
              <w:jc w:val="both"/>
              <w:rPr>
                <w:rFonts w:ascii="Sylfaen" w:hAnsi="Sylfaen"/>
                <w:lang w:val="ka-GE"/>
              </w:rPr>
            </w:pPr>
            <w:r w:rsidRPr="000E49D2">
              <w:rPr>
                <w:rFonts w:ascii="Sylfaen" w:hAnsi="Sylfaen"/>
                <w:lang w:val="ka-GE"/>
              </w:rPr>
              <w:t xml:space="preserve">ვინაიდან </w:t>
            </w:r>
            <w:r>
              <w:rPr>
                <w:rFonts w:ascii="Sylfaen" w:hAnsi="Sylfaen"/>
                <w:lang w:val="ka-GE"/>
              </w:rPr>
              <w:t xml:space="preserve">მოსარჩელის აზრით, </w:t>
            </w:r>
            <w:r w:rsidRPr="000E49D2">
              <w:rPr>
                <w:rFonts w:ascii="Sylfaen" w:hAnsi="Sylfaen"/>
                <w:lang w:val="ka-GE"/>
              </w:rPr>
              <w:t>სადავო ნორმა შეესაბამება გამოსადეგობისა და აუცილებლობის მოთხოვნებს, შეზღუდვის პროპორციულობა</w:t>
            </w:r>
            <w:r w:rsidR="00C66199">
              <w:rPr>
                <w:rFonts w:ascii="Sylfaen" w:hAnsi="Sylfaen"/>
                <w:lang w:val="ka-GE"/>
              </w:rPr>
              <w:t xml:space="preserve"> </w:t>
            </w:r>
            <w:r w:rsidR="00C66199" w:rsidRPr="000E49D2">
              <w:rPr>
                <w:rFonts w:ascii="Sylfaen" w:hAnsi="Sylfaen"/>
                <w:lang w:val="ka-GE"/>
              </w:rPr>
              <w:t>უნდა</w:t>
            </w:r>
            <w:r w:rsidR="00C66199">
              <w:rPr>
                <w:rFonts w:ascii="Sylfaen" w:hAnsi="Sylfaen"/>
                <w:lang w:val="ka-GE"/>
              </w:rPr>
              <w:t xml:space="preserve"> შეფასდეს</w:t>
            </w:r>
            <w:r w:rsidR="00C66199" w:rsidRPr="000E49D2">
              <w:rPr>
                <w:rFonts w:ascii="Sylfaen" w:hAnsi="Sylfaen"/>
                <w:lang w:val="ka-GE"/>
              </w:rPr>
              <w:t xml:space="preserve"> </w:t>
            </w:r>
            <w:r w:rsidRPr="000E49D2">
              <w:rPr>
                <w:rFonts w:ascii="Sylfaen" w:hAnsi="Sylfaen"/>
                <w:lang w:val="ka-GE"/>
              </w:rPr>
              <w:t xml:space="preserve"> ვიწრო გაგებით. თანაზომიერების ტესტის ხსენებული კომპონენტი მოითხოვს,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w:t>
            </w:r>
            <w:r w:rsidR="008914D1">
              <w:rPr>
                <w:rFonts w:ascii="Sylfaen" w:hAnsi="Sylfaen"/>
                <w:lang w:val="ka-GE"/>
              </w:rPr>
              <w:t>.</w:t>
            </w:r>
            <w:r w:rsidR="007E06B9">
              <w:rPr>
                <w:rStyle w:val="FootnoteReference"/>
                <w:rFonts w:ascii="Sylfaen" w:hAnsi="Sylfaen"/>
                <w:lang w:val="ka-GE"/>
              </w:rPr>
              <w:footnoteReference w:id="13"/>
            </w:r>
          </w:p>
          <w:p w14:paraId="00EAFE54" w14:textId="08FC3EF8" w:rsidR="00A10D9E" w:rsidRDefault="00A10D9E" w:rsidP="00435FCC">
            <w:pPr>
              <w:ind w:right="-18"/>
              <w:jc w:val="both"/>
              <w:rPr>
                <w:rFonts w:ascii="Sylfaen" w:hAnsi="Sylfaen"/>
                <w:lang w:val="ka-GE"/>
              </w:rPr>
            </w:pPr>
          </w:p>
          <w:p w14:paraId="500864EB" w14:textId="00E6B2B2" w:rsidR="00A10D9E" w:rsidRDefault="00A10D9E" w:rsidP="00435FCC">
            <w:pPr>
              <w:ind w:right="-18"/>
              <w:jc w:val="both"/>
              <w:rPr>
                <w:rFonts w:ascii="Sylfaen" w:hAnsi="Sylfaen"/>
                <w:lang w:val="ka-GE"/>
              </w:rPr>
            </w:pPr>
            <w:r>
              <w:rPr>
                <w:rFonts w:ascii="Sylfaen" w:hAnsi="Sylfaen"/>
                <w:lang w:val="ka-GE"/>
              </w:rPr>
              <w:t>განსახილველ შემთხვევაში ერთმანეთს უპირისპირდება პირის უფლება სასამართლოში გაასაჩივროს უფლებამოსილი პირის უარი ადმინისტრაციულ სამართალდარღვევათა ოქმის შედგენაზე და სასამართლოს სისტემი</w:t>
            </w:r>
            <w:r w:rsidR="00731D16">
              <w:rPr>
                <w:rFonts w:ascii="Sylfaen" w:hAnsi="Sylfaen"/>
                <w:lang w:val="ka-GE"/>
              </w:rPr>
              <w:t>ს</w:t>
            </w:r>
            <w:r>
              <w:rPr>
                <w:rFonts w:ascii="Sylfaen" w:hAnsi="Sylfaen"/>
                <w:lang w:val="ka-GE"/>
              </w:rPr>
              <w:t xml:space="preserve"> გადატვირთვისგან დაცვის ლეგიტიმური ინტერესი.</w:t>
            </w:r>
            <w:r w:rsidR="00731D16">
              <w:rPr>
                <w:rFonts w:ascii="Sylfaen" w:hAnsi="Sylfaen"/>
                <w:lang w:val="ka-GE"/>
              </w:rPr>
              <w:t xml:space="preserve"> შეპირისპირებულ სიკეთეთა შორის სამართლიანი ბალანსის დადგენისთვის მნიშვნელოვანია გაანალიზდეს თუ რა ღირებულება აქვს აღნიშნულ შემთხვევაში პირის მიერ სამართლიანი სასამართლოს უფლების გამოყენებას</w:t>
            </w:r>
            <w:r w:rsidR="0085277F">
              <w:rPr>
                <w:rFonts w:ascii="Sylfaen" w:hAnsi="Sylfaen"/>
              </w:rPr>
              <w:t xml:space="preserve"> </w:t>
            </w:r>
            <w:r w:rsidR="0085277F">
              <w:rPr>
                <w:rFonts w:ascii="Sylfaen" w:hAnsi="Sylfaen"/>
                <w:lang w:val="ka-GE"/>
              </w:rPr>
              <w:t>საარჩევნო პროცესის გამართული ფუნქციონირებისთვის</w:t>
            </w:r>
            <w:r w:rsidR="00E31D9D">
              <w:rPr>
                <w:rFonts w:ascii="Sylfaen" w:hAnsi="Sylfaen"/>
                <w:lang w:val="ka-GE"/>
              </w:rPr>
              <w:t xml:space="preserve">. ხოლო </w:t>
            </w:r>
            <w:r w:rsidR="00731D16">
              <w:rPr>
                <w:rFonts w:ascii="Sylfaen" w:hAnsi="Sylfaen"/>
                <w:lang w:val="ka-GE"/>
              </w:rPr>
              <w:t xml:space="preserve"> ანალიზის შემდეგ დადგინდეს - დაცულ უფლებას</w:t>
            </w:r>
            <w:r w:rsidR="00E31D9D">
              <w:rPr>
                <w:rFonts w:ascii="Sylfaen" w:hAnsi="Sylfaen"/>
                <w:lang w:val="ka-GE"/>
              </w:rPr>
              <w:t>,</w:t>
            </w:r>
            <w:r w:rsidR="00731D16">
              <w:rPr>
                <w:rFonts w:ascii="Sylfaen" w:hAnsi="Sylfaen"/>
                <w:lang w:val="ka-GE"/>
              </w:rPr>
              <w:t xml:space="preserve"> თუ შეზღუდვის ლეგიტიმურ ინტერესს შორის გადაიხრება სამართლიანობის ბალანსი.</w:t>
            </w:r>
          </w:p>
          <w:p w14:paraId="73031304" w14:textId="77777777" w:rsidR="006D14E6" w:rsidRDefault="006D14E6" w:rsidP="00435FCC">
            <w:pPr>
              <w:ind w:right="-18"/>
              <w:jc w:val="both"/>
              <w:rPr>
                <w:rFonts w:ascii="Sylfaen" w:hAnsi="Sylfaen"/>
                <w:lang w:val="ka-GE"/>
              </w:rPr>
            </w:pPr>
          </w:p>
          <w:p w14:paraId="1C83773D" w14:textId="03350D56" w:rsidR="00C35C52" w:rsidRPr="00C35C52" w:rsidRDefault="006D14E6" w:rsidP="00435FCC">
            <w:pPr>
              <w:ind w:right="-18"/>
              <w:jc w:val="both"/>
              <w:rPr>
                <w:rFonts w:ascii="Sylfaen" w:hAnsi="Sylfaen"/>
                <w:lang w:val="ka-GE"/>
              </w:rPr>
            </w:pPr>
            <w:r>
              <w:rPr>
                <w:rFonts w:ascii="Sylfaen" w:hAnsi="Sylfaen"/>
                <w:lang w:val="ka-GE"/>
              </w:rPr>
              <w:t xml:space="preserve">ლეგიტიმური </w:t>
            </w:r>
            <w:r w:rsidR="00C35C52">
              <w:rPr>
                <w:rFonts w:ascii="Sylfaen" w:hAnsi="Sylfaen"/>
                <w:lang w:val="ka-GE"/>
              </w:rPr>
              <w:t>არჩევნები</w:t>
            </w:r>
            <w:r w:rsidR="00EF1E63">
              <w:rPr>
                <w:rFonts w:ascii="Sylfaen" w:hAnsi="Sylfaen"/>
                <w:lang w:val="ka-GE"/>
              </w:rPr>
              <w:t xml:space="preserve"> ყველაზე მეტად</w:t>
            </w:r>
            <w:r w:rsidR="00C35C52">
              <w:rPr>
                <w:rFonts w:ascii="Sylfaen" w:hAnsi="Sylfaen"/>
                <w:lang w:val="ka-GE"/>
              </w:rPr>
              <w:t xml:space="preserve"> აუცილებელი, მაგრამ არასაკმარისი პირობაა დემოკრატიისთვის.</w:t>
            </w:r>
            <w:r w:rsidR="00903F3B">
              <w:rPr>
                <w:rFonts w:ascii="Sylfaen" w:hAnsi="Sylfaen"/>
                <w:lang w:val="ka-GE"/>
              </w:rPr>
              <w:t xml:space="preserve"> </w:t>
            </w:r>
            <w:r w:rsidR="005C7A3B">
              <w:rPr>
                <w:rFonts w:ascii="Sylfaen" w:hAnsi="Sylfaen"/>
                <w:lang w:val="ka-GE"/>
              </w:rPr>
              <w:t>პერიოდული</w:t>
            </w:r>
            <w:r w:rsidR="00903F3B">
              <w:rPr>
                <w:rFonts w:ascii="Sylfaen" w:hAnsi="Sylfaen"/>
                <w:lang w:val="ka-GE"/>
              </w:rPr>
              <w:t xml:space="preserve"> და </w:t>
            </w:r>
            <w:r>
              <w:rPr>
                <w:rFonts w:ascii="Sylfaen" w:hAnsi="Sylfaen"/>
                <w:lang w:val="ka-GE"/>
              </w:rPr>
              <w:t>სამართლიანი</w:t>
            </w:r>
            <w:r w:rsidR="00903F3B">
              <w:rPr>
                <w:rFonts w:ascii="Sylfaen" w:hAnsi="Sylfaen"/>
                <w:lang w:val="ka-GE"/>
              </w:rPr>
              <w:t xml:space="preserve"> არჩევნები წარმოადგენს ძირითად ინსტრუმენტს, რომლის საშუალებითაც კანონმდებლები საკუთარ ძალაუფლებას ამომრჩევლის წინაშე ანგარიშვალდებულების </w:t>
            </w:r>
            <w:r w:rsidR="009C34C4">
              <w:rPr>
                <w:rFonts w:ascii="Sylfaen" w:hAnsi="Sylfaen"/>
                <w:lang w:val="ka-GE"/>
              </w:rPr>
              <w:t>კვალდაკვალ ახორციელებენ.</w:t>
            </w:r>
            <w:r w:rsidR="009D2047">
              <w:rPr>
                <w:rFonts w:ascii="Sylfaen" w:hAnsi="Sylfaen"/>
                <w:lang w:val="ka-GE"/>
              </w:rPr>
              <w:t xml:space="preserve"> ჩვენ შეგვიძლია წარმოვიდგინოთ არჩვენები დემოკრატიის გარეშე, მაგრამ რთულია მოდერნული დემოკრატიების </w:t>
            </w:r>
            <w:r w:rsidR="00DF4A74">
              <w:rPr>
                <w:rFonts w:ascii="Sylfaen" w:hAnsi="Sylfaen"/>
                <w:lang w:val="ka-GE"/>
              </w:rPr>
              <w:t>წარმო</w:t>
            </w:r>
            <w:r w:rsidR="009D2047">
              <w:rPr>
                <w:rFonts w:ascii="Sylfaen" w:hAnsi="Sylfaen"/>
                <w:lang w:val="ka-GE"/>
              </w:rPr>
              <w:t xml:space="preserve">დგენა </w:t>
            </w:r>
            <w:r w:rsidR="00DF4A74">
              <w:rPr>
                <w:rFonts w:ascii="Sylfaen" w:hAnsi="Sylfaen"/>
                <w:lang w:val="ka-GE"/>
              </w:rPr>
              <w:t>საყოველთაო და გამჭირვალე არჩევნების გარეშე.</w:t>
            </w:r>
            <w:r w:rsidR="00DF4A74">
              <w:rPr>
                <w:rStyle w:val="FootnoteReference"/>
                <w:rFonts w:ascii="Sylfaen" w:hAnsi="Sylfaen"/>
                <w:lang w:val="ka-GE"/>
              </w:rPr>
              <w:footnoteReference w:id="14"/>
            </w:r>
          </w:p>
          <w:p w14:paraId="3A326FB2" w14:textId="77777777" w:rsidR="00C35C52" w:rsidRDefault="00C35C52" w:rsidP="00435FCC">
            <w:pPr>
              <w:ind w:right="-18"/>
              <w:jc w:val="both"/>
              <w:rPr>
                <w:rFonts w:ascii="Sylfaen" w:hAnsi="Sylfaen"/>
                <w:lang w:val="ka-GE"/>
              </w:rPr>
            </w:pPr>
          </w:p>
          <w:p w14:paraId="1A47A807" w14:textId="5B2057F3" w:rsidR="00C35C52" w:rsidRDefault="00451F38" w:rsidP="00435FCC">
            <w:pPr>
              <w:ind w:right="-18"/>
              <w:jc w:val="both"/>
              <w:rPr>
                <w:rFonts w:ascii="Sylfaen" w:hAnsi="Sylfaen"/>
                <w:lang w:val="ka-GE"/>
              </w:rPr>
            </w:pPr>
            <w:r>
              <w:rPr>
                <w:rFonts w:ascii="Sylfaen" w:hAnsi="Sylfaen"/>
                <w:lang w:val="ka-GE"/>
              </w:rPr>
              <w:t>საარჩევნო პროცესებზე დაკვი</w:t>
            </w:r>
            <w:r w:rsidR="00866E8F">
              <w:rPr>
                <w:rFonts w:ascii="Sylfaen" w:hAnsi="Sylfaen"/>
                <w:lang w:val="ka-GE"/>
              </w:rPr>
              <w:t>რ</w:t>
            </w:r>
            <w:r>
              <w:rPr>
                <w:rFonts w:ascii="Sylfaen" w:hAnsi="Sylfaen"/>
                <w:lang w:val="ka-GE"/>
              </w:rPr>
              <w:t xml:space="preserve">ვება მნიშვნელოვან როლს თამაშობს იმის დასამტკიცებლად წარიმართა თუ არა არჩევნები </w:t>
            </w:r>
            <w:r w:rsidR="00EE19E7">
              <w:rPr>
                <w:rFonts w:ascii="Sylfaen" w:hAnsi="Sylfaen"/>
                <w:lang w:val="ka-GE"/>
              </w:rPr>
              <w:t>კანონიერებისა და სამართლიანობის პრინციპების დაცვით.</w:t>
            </w:r>
            <w:r w:rsidR="00D16F30">
              <w:rPr>
                <w:rFonts w:ascii="Sylfaen" w:hAnsi="Sylfaen"/>
                <w:lang w:val="ka-GE"/>
              </w:rPr>
              <w:t xml:space="preserve"> მნიშვნელოვანია აღინიშნოს, რომ არჩევნებზე დაკვირვება არ მო</w:t>
            </w:r>
            <w:r w:rsidR="00C10755">
              <w:rPr>
                <w:rFonts w:ascii="Sylfaen" w:hAnsi="Sylfaen"/>
                <w:lang w:val="ka-GE"/>
              </w:rPr>
              <w:t>იც</w:t>
            </w:r>
            <w:r w:rsidR="00D16F30">
              <w:rPr>
                <w:rFonts w:ascii="Sylfaen" w:hAnsi="Sylfaen"/>
                <w:lang w:val="ka-GE"/>
              </w:rPr>
              <w:t>ავს დაკვირვებას უშუალოდ არჩევნების დღეს.</w:t>
            </w:r>
            <w:r w:rsidR="00C10755">
              <w:rPr>
                <w:rFonts w:ascii="Sylfaen" w:hAnsi="Sylfaen"/>
                <w:lang w:val="ka-GE"/>
              </w:rPr>
              <w:t xml:space="preserve"> ის ასევე მოიაზრებს წინასაარჩევნო პროცესზე დაკვირვებასაც.</w:t>
            </w:r>
            <w:r w:rsidR="00A33783">
              <w:rPr>
                <w:rFonts w:ascii="Sylfaen" w:hAnsi="Sylfaen"/>
                <w:lang w:val="ka-GE"/>
              </w:rPr>
              <w:t xml:space="preserve"> </w:t>
            </w:r>
            <w:r w:rsidR="004E419E">
              <w:rPr>
                <w:rFonts w:ascii="Sylfaen" w:hAnsi="Sylfaen"/>
                <w:lang w:val="ka-GE"/>
              </w:rPr>
              <w:t>არჩევნებზე დაკვირვების პროცესში არასამთავრობო ორგანიზაციებს ხელშესახები და განსაკუთრებული მნიშვნელობის როლი უკავიათ. მათი საქმიანობა უზრუნველყოფს საარჩევნო პროცესის სამართლიანობას და მთავრობასა და მის პოლიტიკურ მოწინააღმდეგეებს შორის ანგარიშვალდებულებას აძლიერებს.</w:t>
            </w:r>
            <w:r w:rsidR="00C57BE2">
              <w:rPr>
                <w:rFonts w:ascii="Sylfaen" w:hAnsi="Sylfaen"/>
                <w:lang w:val="ka-GE"/>
              </w:rPr>
              <w:t xml:space="preserve"> ამომრჩეველთა უფლება გულისხმობს არჩევნებში მონაწილეობას, არამედ იმასაც გქონდეს ინფორმაცია </w:t>
            </w:r>
            <w:r w:rsidR="00C92AF3">
              <w:rPr>
                <w:rFonts w:ascii="Sylfaen" w:hAnsi="Sylfaen"/>
                <w:lang w:val="ka-GE"/>
              </w:rPr>
              <w:t>საარჩევნო პროცესის მიმდინარეობასთან დაკავშ</w:t>
            </w:r>
            <w:r w:rsidR="00167B66">
              <w:rPr>
                <w:rFonts w:ascii="Sylfaen" w:hAnsi="Sylfaen"/>
                <w:lang w:val="ka-GE"/>
              </w:rPr>
              <w:t>ირებით.</w:t>
            </w:r>
            <w:r w:rsidR="005C7A3B">
              <w:rPr>
                <w:rFonts w:ascii="Sylfaen" w:hAnsi="Sylfaen"/>
                <w:lang w:val="ka-GE"/>
              </w:rPr>
              <w:t xml:space="preserve"> </w:t>
            </w:r>
          </w:p>
          <w:p w14:paraId="4A64D74C" w14:textId="77777777" w:rsidR="00C35C52" w:rsidRDefault="00C35C52" w:rsidP="00435FCC">
            <w:pPr>
              <w:ind w:right="-18"/>
              <w:jc w:val="both"/>
              <w:rPr>
                <w:rFonts w:ascii="Sylfaen" w:hAnsi="Sylfaen"/>
                <w:lang w:val="ka-GE"/>
              </w:rPr>
            </w:pPr>
          </w:p>
          <w:p w14:paraId="0C597D69" w14:textId="2AA6C1F7" w:rsidR="00DF1326" w:rsidRDefault="006D14E6" w:rsidP="00435FCC">
            <w:pPr>
              <w:ind w:right="-18"/>
              <w:jc w:val="both"/>
              <w:rPr>
                <w:rFonts w:ascii="Sylfaen" w:hAnsi="Sylfaen"/>
                <w:lang w:val="ka-GE"/>
              </w:rPr>
            </w:pPr>
            <w:r>
              <w:rPr>
                <w:rFonts w:ascii="Sylfaen" w:hAnsi="Sylfaen"/>
                <w:lang w:val="ka-GE"/>
              </w:rPr>
              <w:t xml:space="preserve">ვენეციის კომისიის მიერ დადგენილი სტანდარტების მიხედვით, </w:t>
            </w:r>
            <w:r w:rsidR="00F463A7">
              <w:rPr>
                <w:rFonts w:ascii="Sylfaen" w:hAnsi="Sylfaen"/>
                <w:lang w:val="ka-GE"/>
              </w:rPr>
              <w:t xml:space="preserve">დემოკრატიული არჩევნებისთვის მნიშვნელოვანია ხმის მიცემის უფლება იყოს </w:t>
            </w:r>
            <w:r>
              <w:rPr>
                <w:rFonts w:ascii="Sylfaen" w:hAnsi="Sylfaen"/>
                <w:lang w:val="ka-GE"/>
              </w:rPr>
              <w:t>საყოველთაო</w:t>
            </w:r>
            <w:r w:rsidR="00F463A7">
              <w:rPr>
                <w:rFonts w:ascii="Sylfaen" w:hAnsi="Sylfaen"/>
                <w:lang w:val="ka-GE"/>
              </w:rPr>
              <w:t xml:space="preserve">, თანასწორი, თავისუფალი, ფარული და </w:t>
            </w:r>
            <w:r w:rsidR="00F463A7">
              <w:rPr>
                <w:rFonts w:ascii="Sylfaen" w:hAnsi="Sylfaen"/>
                <w:lang w:val="ka-GE"/>
              </w:rPr>
              <w:lastRenderedPageBreak/>
              <w:t>პირდაპირი.</w:t>
            </w:r>
            <w:r w:rsidR="000A43A6">
              <w:rPr>
                <w:rStyle w:val="FootnoteReference"/>
                <w:rFonts w:ascii="Sylfaen" w:hAnsi="Sylfaen"/>
                <w:lang w:val="ka-GE"/>
              </w:rPr>
              <w:footnoteReference w:id="15"/>
            </w:r>
            <w:r w:rsidR="0054167F" w:rsidRPr="00FF6A31">
              <w:rPr>
                <w:rFonts w:ascii="Sylfaen" w:hAnsi="Sylfaen"/>
                <w:lang w:val="ka-GE"/>
              </w:rPr>
              <w:t xml:space="preserve"> </w:t>
            </w:r>
            <w:r w:rsidR="0054167F">
              <w:rPr>
                <w:rFonts w:ascii="Sylfaen" w:hAnsi="Sylfaen"/>
                <w:lang w:val="ka-GE"/>
              </w:rPr>
              <w:t>აღნიშნულ პრინციპთაგან ერთ-ერთია ამომრჩევლის უფლება თავისუფლად გააკეთოს არჩევანი.</w:t>
            </w:r>
            <w:r w:rsidR="00090C14">
              <w:rPr>
                <w:rFonts w:ascii="Sylfaen" w:hAnsi="Sylfaen"/>
                <w:lang w:val="ka-GE"/>
              </w:rPr>
              <w:t xml:space="preserve"> ამ პრინციპის დეკლარირებას ახდენს საქართველოს კონსტიტუციის 24-ე მუხლის პირველი პუნქტის მე-2 წინადადება - „</w:t>
            </w:r>
            <w:r w:rsidR="00090C14" w:rsidRPr="00090C14">
              <w:rPr>
                <w:rFonts w:ascii="Sylfaen" w:hAnsi="Sylfaen"/>
                <w:lang w:val="ka-GE"/>
              </w:rPr>
              <w:t>უზრუნველყოფილია ამომრჩევლის ნების თავისუფალი გამოვლენა</w:t>
            </w:r>
            <w:r w:rsidR="00090C14">
              <w:rPr>
                <w:rFonts w:ascii="Sylfaen" w:hAnsi="Sylfaen"/>
                <w:lang w:val="ka-GE"/>
              </w:rPr>
              <w:t>“.</w:t>
            </w:r>
            <w:r w:rsidR="00CB432E">
              <w:rPr>
                <w:rFonts w:ascii="Sylfaen" w:hAnsi="Sylfaen"/>
                <w:lang w:val="ka-GE"/>
              </w:rPr>
              <w:t xml:space="preserve">  აღნიშნული უფლება სახელმწიფოს აკისრებს პოზიტიურ ვალდებულებას გადადგას ქმედითი ნაბიჯები, რათა როგორც წინასაარჩევნოდ, ასევე უშუალოდ არჩევნების დღეს ამომრჩეველს ჰქონდეს ნების</w:t>
            </w:r>
            <w:r w:rsidR="003A7E27">
              <w:rPr>
                <w:rFonts w:ascii="Sylfaen" w:hAnsi="Sylfaen"/>
                <w:lang w:val="ka-GE"/>
              </w:rPr>
              <w:t xml:space="preserve"> </w:t>
            </w:r>
            <w:r w:rsidR="00CB432E">
              <w:rPr>
                <w:rFonts w:ascii="Sylfaen" w:hAnsi="Sylfaen"/>
                <w:lang w:val="ka-GE"/>
              </w:rPr>
              <w:t>თავისუფალი გამოვლენის შესაძლებლობა.</w:t>
            </w:r>
            <w:r w:rsidR="003A7E27">
              <w:rPr>
                <w:rFonts w:ascii="Sylfaen" w:hAnsi="Sylfaen"/>
                <w:lang w:val="ka-GE"/>
              </w:rPr>
              <w:t xml:space="preserve"> </w:t>
            </w:r>
            <w:r w:rsidR="00693A30">
              <w:rPr>
                <w:rFonts w:ascii="Sylfaen" w:hAnsi="Sylfaen"/>
                <w:lang w:val="ka-GE"/>
              </w:rPr>
              <w:t>პოზიტიური ვალდებულება შესაძლოა მოიცავდეს მასმედიის, შეკრება მანიფესტაციის უფლებისა და გამოხატვის თავისუფლების იმგვარ ფორმებში მოქცევას, რომ არ შეფერხდეს ნების თავისუფლად გამოვლენისთვის საჭირო პირობები.</w:t>
            </w:r>
            <w:r w:rsidR="004D5366">
              <w:rPr>
                <w:rFonts w:ascii="Sylfaen" w:hAnsi="Sylfaen"/>
                <w:lang w:val="ka-GE"/>
              </w:rPr>
              <w:t xml:space="preserve"> </w:t>
            </w:r>
          </w:p>
          <w:p w14:paraId="734F5F5B" w14:textId="45A5F668" w:rsidR="00DF1326" w:rsidRDefault="00DF1326" w:rsidP="00435FCC">
            <w:pPr>
              <w:ind w:right="-18"/>
              <w:jc w:val="both"/>
              <w:rPr>
                <w:rFonts w:ascii="Sylfaen" w:hAnsi="Sylfaen"/>
                <w:lang w:val="ka-GE"/>
              </w:rPr>
            </w:pPr>
          </w:p>
          <w:p w14:paraId="0AEAD2CB" w14:textId="3E1AB717" w:rsidR="00DF1326" w:rsidRDefault="00DF1326" w:rsidP="00435FCC">
            <w:pPr>
              <w:ind w:right="-18"/>
              <w:jc w:val="both"/>
              <w:rPr>
                <w:rFonts w:ascii="Sylfaen" w:hAnsi="Sylfaen"/>
                <w:lang w:val="ka-GE"/>
              </w:rPr>
            </w:pPr>
            <w:r w:rsidRPr="00097D4D">
              <w:rPr>
                <w:rFonts w:ascii="Sylfaen" w:hAnsi="Sylfaen"/>
                <w:lang w:val="ka-GE"/>
              </w:rPr>
              <w:t xml:space="preserve">საკუთარი პოზიტიური ვალდებულების განსახორციელებლად სახელმწიფომ შესაძლოა დაადგინოს სანქციები, რომლებიც უზრუნველყოფს ამომრჩევლის ნების გამოვლენის თავისუფლებას. </w:t>
            </w:r>
            <w:r w:rsidR="00E5573D" w:rsidRPr="00097D4D">
              <w:rPr>
                <w:rFonts w:ascii="Sylfaen" w:hAnsi="Sylfaen"/>
                <w:lang w:val="ka-GE"/>
              </w:rPr>
              <w:t xml:space="preserve">ჩვენს კანონმდებლობაში აღნიშნულ სანქციებს წარმოადგენს საარჩევნო კოდექსის </w:t>
            </w:r>
            <w:r w:rsidR="00B93BB1" w:rsidRPr="00097D4D">
              <w:rPr>
                <w:rFonts w:ascii="Sylfaen" w:hAnsi="Sylfaen"/>
                <w:lang w:val="ka-GE"/>
              </w:rPr>
              <w:t xml:space="preserve">მე-10 თავი, რომელიც განსაზღვრავს პასუხისმგებლობას საარჩევნო კანონმდებლობის </w:t>
            </w:r>
            <w:r w:rsidR="00FA5486" w:rsidRPr="00097D4D">
              <w:rPr>
                <w:rFonts w:ascii="Sylfaen" w:hAnsi="Sylfaen"/>
                <w:lang w:val="ka-GE"/>
              </w:rPr>
              <w:t xml:space="preserve">დარღვევისთვის. საარჩევნო ადმინისტრაციაში განცხადება/საჩივრის შეტანისა და განხილვის ინსტრუქციის დამტკიცების შესახებ </w:t>
            </w:r>
            <w:r w:rsidR="00FA5486" w:rsidRPr="00097D4D">
              <w:rPr>
                <w:rFonts w:ascii="Sylfaen" w:hAnsi="Sylfaen"/>
                <w:noProof/>
                <w:lang w:val="ka-GE"/>
              </w:rPr>
              <w:t>2012 წლის 2 მარტის N8/2012 დადგენილების მე-7 მუხლის პირველი ნაწილის მიხედვით, ადმინისტრაციულ სამართალდარღვევათა ოქმი დგება საქართველოს ორგანული კანონის საარჩევნო კოდექსის 79-ე, 81-ე და 86-ე-92-ე მუხლებითა და საქართველოს ადმინისტრაციულ სამართალდარღვევათა კოდექსის 174</w:t>
            </w:r>
            <w:r w:rsidR="00FA5486" w:rsidRPr="00097D4D">
              <w:rPr>
                <w:rFonts w:ascii="Sylfaen" w:hAnsi="Sylfaen"/>
                <w:noProof/>
                <w:vertAlign w:val="superscript"/>
                <w:lang w:val="ka-GE"/>
              </w:rPr>
              <w:t>2</w:t>
            </w:r>
            <w:r w:rsidR="005C7A3B">
              <w:rPr>
                <w:rFonts w:ascii="Sylfaen" w:hAnsi="Sylfaen"/>
                <w:noProof/>
                <w:vertAlign w:val="superscript"/>
                <w:lang w:val="ka-GE"/>
              </w:rPr>
              <w:t xml:space="preserve"> </w:t>
            </w:r>
            <w:r w:rsidR="00FA5486" w:rsidRPr="00097D4D">
              <w:rPr>
                <w:rFonts w:ascii="Sylfaen" w:hAnsi="Sylfaen"/>
                <w:noProof/>
                <w:lang w:val="ka-GE"/>
              </w:rPr>
              <w:t>მუხლებით გათვალისწინებულ ადმინისტრაციულ სამართალდარღევათა შესახებ.</w:t>
            </w:r>
            <w:r w:rsidR="001A2BE2">
              <w:rPr>
                <w:rFonts w:ascii="Sylfaen" w:hAnsi="Sylfaen"/>
                <w:noProof/>
                <w:lang w:val="ka-GE"/>
              </w:rPr>
              <w:t xml:space="preserve"> </w:t>
            </w:r>
            <w:r w:rsidR="00192ACB">
              <w:rPr>
                <w:rFonts w:ascii="Sylfaen" w:hAnsi="Sylfaen"/>
                <w:noProof/>
                <w:lang w:val="ka-GE"/>
              </w:rPr>
              <w:t xml:space="preserve">ამასთან, სადამკვირვებლო </w:t>
            </w:r>
            <w:r w:rsidR="00192ACB" w:rsidRPr="00FE0479">
              <w:rPr>
                <w:rFonts w:ascii="Sylfaen" w:hAnsi="Sylfaen"/>
                <w:noProof/>
                <w:lang w:val="ka-GE"/>
              </w:rPr>
              <w:t xml:space="preserve">ორგანიზაციებს საარჩევნო კოდექსის 78-ე მუხლის საფუძველზე უფლება აქვთ გაასაჩივრონ </w:t>
            </w:r>
            <w:r w:rsidR="00192ACB" w:rsidRPr="00FF6A31">
              <w:rPr>
                <w:rFonts w:ascii="Sylfaen" w:hAnsi="Sylfaen"/>
                <w:lang w:val="ka-GE"/>
              </w:rPr>
              <w:t>საარჩევნო კანონმდებლობის დარღვევა და განცხადები</w:t>
            </w:r>
            <w:r w:rsidR="00192ACB" w:rsidRPr="00FE0479">
              <w:rPr>
                <w:rFonts w:ascii="Sylfaen" w:hAnsi="Sylfaen"/>
                <w:lang w:val="ka-GE"/>
              </w:rPr>
              <w:t>თ/საჩივრით მიმართონ შესაბამის საარჩევნო კომისიას სამართალდარღვევის ოქმის შედგენასთან დაკავშირებით.</w:t>
            </w:r>
          </w:p>
          <w:p w14:paraId="79E5261D" w14:textId="229907F7" w:rsidR="008C5EDA" w:rsidRDefault="008C5EDA" w:rsidP="00435FCC">
            <w:pPr>
              <w:ind w:right="-18"/>
              <w:jc w:val="both"/>
              <w:rPr>
                <w:rFonts w:ascii="Sylfaen" w:hAnsi="Sylfaen"/>
                <w:lang w:val="ka-GE"/>
              </w:rPr>
            </w:pPr>
          </w:p>
          <w:p w14:paraId="3DB2995E" w14:textId="307235C9" w:rsidR="00987508" w:rsidRDefault="00987508" w:rsidP="00987508">
            <w:pPr>
              <w:ind w:right="-18"/>
              <w:jc w:val="both"/>
              <w:rPr>
                <w:rFonts w:ascii="Sylfaen" w:hAnsi="Sylfaen"/>
                <w:lang w:val="ka-GE"/>
              </w:rPr>
            </w:pPr>
            <w:r>
              <w:rPr>
                <w:rFonts w:ascii="Sylfaen" w:hAnsi="Sylfaen"/>
                <w:lang w:val="ka-GE"/>
              </w:rPr>
              <w:t xml:space="preserve">როგორც წინასაარჩევნო პერიოდში, ასევე არჩევნების დღეს </w:t>
            </w:r>
            <w:r w:rsidRPr="00987508">
              <w:rPr>
                <w:rFonts w:ascii="Sylfaen" w:hAnsi="Sylfaen"/>
                <w:lang w:val="ka-GE"/>
              </w:rPr>
              <w:t xml:space="preserve"> საარჩევნო კოდექსის </w:t>
            </w:r>
            <w:r>
              <w:rPr>
                <w:rFonts w:ascii="Sylfaen" w:hAnsi="Sylfaen"/>
                <w:lang w:val="ka-GE"/>
              </w:rPr>
              <w:t xml:space="preserve">დარღვევამ შესაძლოა გამოიწვიოს ამომრჩეველთა უფლებების დარღვევა. საარჩევნო კოდექსის დარღვევამ შესაძლოა მნიშვნელოვნად შეზღუდოს </w:t>
            </w:r>
            <w:r w:rsidRPr="00987508">
              <w:rPr>
                <w:rFonts w:ascii="Sylfaen" w:hAnsi="Sylfaen"/>
                <w:lang w:val="ka-GE"/>
              </w:rPr>
              <w:t>ამომრჩევლის ნების თავისუფალი გამოვლენა</w:t>
            </w:r>
            <w:r w:rsidR="00605BDB">
              <w:rPr>
                <w:rFonts w:ascii="Sylfaen" w:hAnsi="Sylfaen"/>
                <w:lang w:val="ka-GE"/>
              </w:rPr>
              <w:t>ც</w:t>
            </w:r>
            <w:r w:rsidRPr="00987508">
              <w:rPr>
                <w:rFonts w:ascii="Sylfaen" w:hAnsi="Sylfaen"/>
                <w:lang w:val="ka-GE"/>
              </w:rPr>
              <w:t>. ვინაიდან კანონმდებელმა მოსარჩელეს</w:t>
            </w:r>
            <w:r w:rsidR="00454EB6">
              <w:rPr>
                <w:rFonts w:ascii="Sylfaen" w:hAnsi="Sylfaen"/>
                <w:lang w:val="ka-GE"/>
              </w:rPr>
              <w:t xml:space="preserve">, როგორც დამკვირვებელ </w:t>
            </w:r>
            <w:r w:rsidR="00285E59">
              <w:rPr>
                <w:rFonts w:ascii="Sylfaen" w:hAnsi="Sylfaen"/>
                <w:lang w:val="ka-GE"/>
              </w:rPr>
              <w:t>ორგანიზაცია</w:t>
            </w:r>
            <w:r w:rsidR="00605BDB">
              <w:rPr>
                <w:rFonts w:ascii="Sylfaen" w:hAnsi="Sylfaen"/>
                <w:lang w:val="ka-GE"/>
              </w:rPr>
              <w:t>ს</w:t>
            </w:r>
            <w:r w:rsidRPr="00987508">
              <w:rPr>
                <w:rFonts w:ascii="Sylfaen" w:hAnsi="Sylfaen"/>
                <w:lang w:val="ka-GE"/>
              </w:rPr>
              <w:t xml:space="preserve"> მისცა შესაძლებლობა</w:t>
            </w:r>
            <w:r w:rsidR="006D14E6">
              <w:rPr>
                <w:rFonts w:ascii="Sylfaen" w:hAnsi="Sylfaen"/>
                <w:lang w:val="ka-GE"/>
              </w:rPr>
              <w:t>,</w:t>
            </w:r>
            <w:r w:rsidRPr="00987508">
              <w:rPr>
                <w:rFonts w:ascii="Sylfaen" w:hAnsi="Sylfaen"/>
                <w:lang w:val="ka-GE"/>
              </w:rPr>
              <w:t xml:space="preserve"> </w:t>
            </w:r>
            <w:r w:rsidR="00285E59">
              <w:rPr>
                <w:rFonts w:ascii="Sylfaen" w:hAnsi="Sylfaen"/>
                <w:lang w:val="ka-GE"/>
              </w:rPr>
              <w:t>სად</w:t>
            </w:r>
            <w:r w:rsidRPr="00987508">
              <w:rPr>
                <w:rFonts w:ascii="Sylfaen" w:hAnsi="Sylfaen"/>
                <w:lang w:val="ka-GE"/>
              </w:rPr>
              <w:t>ამკვი</w:t>
            </w:r>
            <w:r w:rsidR="00285E59">
              <w:rPr>
                <w:rFonts w:ascii="Sylfaen" w:hAnsi="Sylfaen"/>
                <w:lang w:val="ka-GE"/>
              </w:rPr>
              <w:t>რ</w:t>
            </w:r>
            <w:r w:rsidRPr="00987508">
              <w:rPr>
                <w:rFonts w:ascii="Sylfaen" w:hAnsi="Sylfaen"/>
                <w:lang w:val="ka-GE"/>
              </w:rPr>
              <w:t>ვებლო მისიის ფარგლებში</w:t>
            </w:r>
            <w:r w:rsidR="00285E59">
              <w:rPr>
                <w:rFonts w:ascii="Sylfaen" w:hAnsi="Sylfaen"/>
                <w:lang w:val="ka-GE"/>
              </w:rPr>
              <w:t>,</w:t>
            </w:r>
            <w:r w:rsidRPr="00987508">
              <w:rPr>
                <w:rFonts w:ascii="Sylfaen" w:hAnsi="Sylfaen"/>
                <w:lang w:val="ka-GE"/>
              </w:rPr>
              <w:t xml:space="preserve"> მიმართოს საარჩევნო კომისიას განცხადებით, რათა საარჩევნო კოდექსის დამრღვევის მიმართ შედგენილ იქნას ადმინისტრაციულ სამართალდარღ</w:t>
            </w:r>
            <w:r w:rsidR="00547FE4">
              <w:rPr>
                <w:rFonts w:ascii="Sylfaen" w:hAnsi="Sylfaen"/>
                <w:lang w:val="ka-GE"/>
              </w:rPr>
              <w:t>ვ</w:t>
            </w:r>
            <w:r w:rsidRPr="00987508">
              <w:rPr>
                <w:rFonts w:ascii="Sylfaen" w:hAnsi="Sylfaen"/>
                <w:lang w:val="ka-GE"/>
              </w:rPr>
              <w:t>ევათა ოქმი, ლოგიკურია იმის თქმაც, რომ გარკვეულწილად სახელმწიფომ საკუთარი პოზიტიური ვალდებულების დელეგირება დამკვირვებელ ორგანიზაციებზეც მოახდინა</w:t>
            </w:r>
            <w:r w:rsidR="00285E59">
              <w:rPr>
                <w:rFonts w:ascii="Sylfaen" w:hAnsi="Sylfaen"/>
                <w:lang w:val="ka-GE"/>
              </w:rPr>
              <w:t>.</w:t>
            </w:r>
            <w:r w:rsidRPr="00987508">
              <w:rPr>
                <w:rFonts w:ascii="Sylfaen" w:hAnsi="Sylfaen"/>
                <w:lang w:val="ka-GE"/>
              </w:rPr>
              <w:t xml:space="preserve"> შესაბამისად, ვინაიდან </w:t>
            </w:r>
            <w:r w:rsidR="00AD4F4A">
              <w:rPr>
                <w:rFonts w:ascii="Sylfaen" w:hAnsi="Sylfaen"/>
                <w:lang w:val="ka-GE"/>
              </w:rPr>
              <w:t>ამომრჩევლის ნების თავისუფლად გამოვლენისთვის სათანადო გარემოს შექმნა</w:t>
            </w:r>
            <w:r w:rsidRPr="00987508">
              <w:rPr>
                <w:rFonts w:ascii="Sylfaen" w:hAnsi="Sylfaen"/>
                <w:lang w:val="ka-GE"/>
              </w:rPr>
              <w:t xml:space="preserve"> არჩევნების ნორმალური ფუნქციონირებისთვის აუცილებლობას წარმოადგენს, დამკვირვებელ ორგანიზაციებს </w:t>
            </w:r>
            <w:r w:rsidR="00AD4F4A">
              <w:rPr>
                <w:rFonts w:ascii="Sylfaen" w:hAnsi="Sylfaen"/>
                <w:lang w:val="ka-GE"/>
              </w:rPr>
              <w:t>ასევე უნდა შეეძლოთ სამართალდარღვევის ოქმის  შედგენაზე</w:t>
            </w:r>
            <w:r w:rsidRPr="00987508">
              <w:rPr>
                <w:rFonts w:ascii="Sylfaen" w:hAnsi="Sylfaen"/>
                <w:lang w:val="ka-GE"/>
              </w:rPr>
              <w:t xml:space="preserve"> უარის გასაჩივ</w:t>
            </w:r>
            <w:r w:rsidR="00AD4F4A">
              <w:rPr>
                <w:rFonts w:ascii="Sylfaen" w:hAnsi="Sylfaen"/>
                <w:lang w:val="ka-GE"/>
              </w:rPr>
              <w:t>რ</w:t>
            </w:r>
            <w:r w:rsidRPr="00987508">
              <w:rPr>
                <w:rFonts w:ascii="Sylfaen" w:hAnsi="Sylfaen"/>
                <w:lang w:val="ka-GE"/>
              </w:rPr>
              <w:t xml:space="preserve">ება, რათა გამოირიცხოს საარჩევნო კომისიის დისკრეციული უფლებამოსილების გამოყენების მიმართ არსებული ეჭვები და </w:t>
            </w:r>
            <w:r w:rsidR="00AD4F4A">
              <w:rPr>
                <w:rFonts w:ascii="Sylfaen" w:hAnsi="Sylfaen"/>
                <w:lang w:val="ka-GE"/>
              </w:rPr>
              <w:t xml:space="preserve">დაცული იქნეს </w:t>
            </w:r>
            <w:r w:rsidRPr="00987508">
              <w:rPr>
                <w:rFonts w:ascii="Sylfaen" w:hAnsi="Sylfaen"/>
                <w:lang w:val="ka-GE"/>
              </w:rPr>
              <w:t>ამომრჩევლის ინტერესი - გამოავლინოს ნება თავისუფლად.</w:t>
            </w:r>
          </w:p>
          <w:p w14:paraId="01DCAC0C" w14:textId="1FFD3EEF" w:rsidR="005C7A3B" w:rsidRDefault="005C7A3B" w:rsidP="00987508">
            <w:pPr>
              <w:ind w:right="-18"/>
              <w:jc w:val="both"/>
              <w:rPr>
                <w:rFonts w:ascii="Sylfaen" w:hAnsi="Sylfaen"/>
                <w:lang w:val="ka-GE"/>
              </w:rPr>
            </w:pPr>
          </w:p>
          <w:p w14:paraId="4408BA30" w14:textId="42AC6861" w:rsidR="001A621D" w:rsidRDefault="005C7A3B" w:rsidP="00987508">
            <w:pPr>
              <w:ind w:right="-18"/>
              <w:jc w:val="both"/>
              <w:rPr>
                <w:rFonts w:ascii="Sylfaen" w:hAnsi="Sylfaen"/>
                <w:lang w:val="ka-GE"/>
              </w:rPr>
            </w:pPr>
            <w:r>
              <w:rPr>
                <w:rFonts w:ascii="Sylfaen" w:hAnsi="Sylfaen"/>
                <w:lang w:val="ka-GE"/>
              </w:rPr>
              <w:t>საარჩევნო კომისიაში უფლებამოსილი პირი განიხილავს საკითხს</w:t>
            </w:r>
            <w:r w:rsidR="00A07D0D">
              <w:rPr>
                <w:rFonts w:ascii="Sylfaen" w:hAnsi="Sylfaen"/>
                <w:lang w:val="ka-GE"/>
              </w:rPr>
              <w:t xml:space="preserve"> საარჩევნო კოდექსის დარღვევისთვის</w:t>
            </w:r>
            <w:r>
              <w:rPr>
                <w:rFonts w:ascii="Sylfaen" w:hAnsi="Sylfaen"/>
                <w:lang w:val="ka-GE"/>
              </w:rPr>
              <w:t xml:space="preserve"> ადმინისტრაციულ სამართალდარღვევათა ოქმის შედგენასთან დაკავშირებით. </w:t>
            </w:r>
            <w:r w:rsidR="00056A42">
              <w:rPr>
                <w:rFonts w:ascii="Sylfaen" w:hAnsi="Sylfaen"/>
                <w:lang w:val="ka-GE"/>
              </w:rPr>
              <w:t xml:space="preserve">აღნიშნულ პროცესში ადმინისტრაციული ორგანო სარგებლობს დისკრეციული უფლებამოსილებით - </w:t>
            </w:r>
            <w:r w:rsidR="002B044B">
              <w:rPr>
                <w:rFonts w:ascii="Sylfaen" w:hAnsi="Sylfaen"/>
                <w:lang w:val="ka-GE"/>
              </w:rPr>
              <w:t>განცხადებაში აღნიშნული ფაქტობრივი გარემოებები მიიჩნიოს ან არ მიიჩნიოს ადმინისტრაციულ სამართალდარღვევათა ოქმის შედგენის საფუძვლად.</w:t>
            </w:r>
            <w:r w:rsidR="00FC358F">
              <w:rPr>
                <w:rFonts w:ascii="Sylfaen" w:hAnsi="Sylfaen"/>
                <w:lang w:val="ka-GE"/>
              </w:rPr>
              <w:t xml:space="preserve"> აღნიშნული დისკრეციული უფლებამოსილების განხორციელების </w:t>
            </w:r>
            <w:r w:rsidR="00DA0FFF">
              <w:rPr>
                <w:rFonts w:ascii="Sylfaen" w:hAnsi="Sylfaen"/>
                <w:lang w:val="ka-GE"/>
              </w:rPr>
              <w:t xml:space="preserve">კანონიერების შემოწმება ხდება მხოლოდ იმ შემთხვევაში თუ ორგანო სამართალდამრღვევი პირის მიმართ შეადგენს სამართალდარღვევის ოქმს, რომელსაც შემდეგში შეუძლია აღნიშნული გადაწყვეტილების სასამართლოში </w:t>
            </w:r>
            <w:r w:rsidR="002B59CC">
              <w:rPr>
                <w:rFonts w:ascii="Sylfaen" w:hAnsi="Sylfaen"/>
                <w:lang w:val="ka-GE"/>
              </w:rPr>
              <w:t>გ</w:t>
            </w:r>
            <w:r w:rsidR="00DA0FFF">
              <w:rPr>
                <w:rFonts w:ascii="Sylfaen" w:hAnsi="Sylfaen"/>
                <w:lang w:val="ka-GE"/>
              </w:rPr>
              <w:t>ა</w:t>
            </w:r>
            <w:r w:rsidR="005F2099">
              <w:rPr>
                <w:rFonts w:ascii="Sylfaen" w:hAnsi="Sylfaen"/>
                <w:lang w:val="ka-GE"/>
              </w:rPr>
              <w:t>საჩივრება</w:t>
            </w:r>
            <w:r w:rsidR="002B59CC">
              <w:rPr>
                <w:rFonts w:ascii="Sylfaen" w:hAnsi="Sylfaen"/>
                <w:lang w:val="ka-GE"/>
              </w:rPr>
              <w:t xml:space="preserve">. </w:t>
            </w:r>
            <w:r w:rsidR="00805488">
              <w:rPr>
                <w:rFonts w:ascii="Sylfaen" w:hAnsi="Sylfaen"/>
                <w:lang w:val="ka-GE"/>
              </w:rPr>
              <w:t xml:space="preserve">ხოლო, იმ შემთხვევაში, როცა უფლებამოსილი პირი უარს აცხადებს სამართალდარღვევის ოქმის შედგენაზე, განმცხადებელს არ აქვს </w:t>
            </w:r>
            <w:r w:rsidR="00805488">
              <w:rPr>
                <w:rFonts w:ascii="Sylfaen" w:hAnsi="Sylfaen"/>
                <w:lang w:val="ka-GE"/>
              </w:rPr>
              <w:lastRenderedPageBreak/>
              <w:t>შესაძლებლობა აღნიშნული გადაწყვეტილების სასამართლოში გასაჩივრების უფლება</w:t>
            </w:r>
            <w:r w:rsidR="00C81C55">
              <w:rPr>
                <w:rFonts w:ascii="Sylfaen" w:hAnsi="Sylfaen"/>
                <w:lang w:val="ka-GE"/>
              </w:rPr>
              <w:t>, შესაბამისად დისკრეციული უფლებამოსილების კანონიერების შემოწმების შესაძლებლობა.</w:t>
            </w:r>
            <w:r w:rsidR="001A621D">
              <w:rPr>
                <w:rFonts w:ascii="Sylfaen" w:hAnsi="Sylfaen"/>
                <w:lang w:val="ka-GE"/>
              </w:rPr>
              <w:t xml:space="preserve"> მოსარჩელეს მიაჩნია, რომ უფლებამოსილი პირის მიერ სამართალდარღვევის ოქმის შედგენაზე უარის შემთხვევაშიც უნდა არსებობდეს გადაწყვეტილების სასამართლოში გასაჩივრების, შესაბამისად, დისკრეციული უფლებამოსილების კანონიერების შემოწმების შესაძლებლობა.</w:t>
            </w:r>
            <w:r w:rsidR="000B0491">
              <w:rPr>
                <w:rFonts w:ascii="Sylfaen" w:hAnsi="Sylfaen"/>
                <w:lang w:val="ka-GE"/>
              </w:rPr>
              <w:t xml:space="preserve"> </w:t>
            </w:r>
            <w:r w:rsidR="00C752ED">
              <w:rPr>
                <w:rFonts w:ascii="Sylfaen" w:hAnsi="Sylfaen"/>
                <w:lang w:val="ka-GE"/>
              </w:rPr>
              <w:t xml:space="preserve">ამის საჭიროებას განაპირობებს ის გარემოება, რომ დისკრეციული უფლებამოსილების შეუმოწმებლობის შემთხვევაში შესაძლოა უფლებამოსილმა პირმა საკუთარი უფლებამოსილება გამოიყენოს ამომრჩეველთა უფლების საზიანოდ. კერძოდ, შესაძლოა არსებობდეს ოქმის შედგენისთვის საკმარისი ფაქტობრივი </w:t>
            </w:r>
            <w:r w:rsidR="00A22D2E">
              <w:rPr>
                <w:rFonts w:ascii="Sylfaen" w:hAnsi="Sylfaen"/>
                <w:lang w:val="ka-GE"/>
              </w:rPr>
              <w:t>გა</w:t>
            </w:r>
            <w:r w:rsidR="00C752ED">
              <w:rPr>
                <w:rFonts w:ascii="Sylfaen" w:hAnsi="Sylfaen"/>
                <w:lang w:val="ka-GE"/>
              </w:rPr>
              <w:t>რემოებები, თუმცა უფლებამ</w:t>
            </w:r>
            <w:r w:rsidR="00A22D2E">
              <w:rPr>
                <w:rFonts w:ascii="Sylfaen" w:hAnsi="Sylfaen"/>
                <w:lang w:val="ka-GE"/>
              </w:rPr>
              <w:t>ო</w:t>
            </w:r>
            <w:r w:rsidR="00C752ED">
              <w:rPr>
                <w:rFonts w:ascii="Sylfaen" w:hAnsi="Sylfaen"/>
                <w:lang w:val="ka-GE"/>
              </w:rPr>
              <w:t xml:space="preserve">სილმა პირმა </w:t>
            </w:r>
            <w:r w:rsidR="00D3233D">
              <w:rPr>
                <w:rFonts w:ascii="Sylfaen" w:hAnsi="Sylfaen"/>
                <w:lang w:val="ka-GE"/>
              </w:rPr>
              <w:t>იმის გათვალისწინებით, რომ არ იქნება შემოწმებული მისი გადაწყვეტილება, საკუთარი შეხედულებისამებრ არ შეადგინოს სამართალდარღვევის ოქმი, რაც შეაფერხებს საარჩევნო პროცესში ამომრჩევლის ნების თავისუფლად შესაძლებლობას.</w:t>
            </w:r>
            <w:r w:rsidR="00C20F0F">
              <w:rPr>
                <w:rFonts w:ascii="Sylfaen" w:hAnsi="Sylfaen"/>
                <w:lang w:val="ka-GE"/>
              </w:rPr>
              <w:t xml:space="preserve"> ამგვარი სცენარის პირობებში, ვერც მოსარჩელე განახორციელებს საკუთარ ინტერესს - განახორციელოს საარ</w:t>
            </w:r>
            <w:r w:rsidR="00E91930">
              <w:rPr>
                <w:rFonts w:ascii="Sylfaen" w:hAnsi="Sylfaen"/>
                <w:lang w:val="ka-GE"/>
              </w:rPr>
              <w:t>ჩე</w:t>
            </w:r>
            <w:r w:rsidR="00C20F0F">
              <w:rPr>
                <w:rFonts w:ascii="Sylfaen" w:hAnsi="Sylfaen"/>
                <w:lang w:val="ka-GE"/>
              </w:rPr>
              <w:t>ვნო პროცესზე ეფექტური დაკვირვება</w:t>
            </w:r>
            <w:r w:rsidR="00605BDB">
              <w:rPr>
                <w:rFonts w:ascii="Sylfaen" w:hAnsi="Sylfaen"/>
                <w:lang w:val="ka-GE"/>
              </w:rPr>
              <w:t xml:space="preserve"> და ვერც ამომრჩეველი ისარგებლებს ისეთი საარჩევნო სივრცით, სადაც შეძლებს ნების თავისუ</w:t>
            </w:r>
            <w:r w:rsidR="00DE662D">
              <w:rPr>
                <w:rFonts w:ascii="Sylfaen" w:hAnsi="Sylfaen"/>
                <w:lang w:val="ka-GE"/>
              </w:rPr>
              <w:t>ფ</w:t>
            </w:r>
            <w:r w:rsidR="00605BDB">
              <w:rPr>
                <w:rFonts w:ascii="Sylfaen" w:hAnsi="Sylfaen"/>
                <w:lang w:val="ka-GE"/>
              </w:rPr>
              <w:t xml:space="preserve">ლად </w:t>
            </w:r>
            <w:r w:rsidR="00FE5131">
              <w:rPr>
                <w:rFonts w:ascii="Sylfaen" w:hAnsi="Sylfaen"/>
                <w:lang w:val="ka-GE"/>
              </w:rPr>
              <w:t>გამოვ</w:t>
            </w:r>
            <w:r w:rsidR="00605BDB">
              <w:rPr>
                <w:rFonts w:ascii="Sylfaen" w:hAnsi="Sylfaen"/>
                <w:lang w:val="ka-GE"/>
              </w:rPr>
              <w:t>ლენას.</w:t>
            </w:r>
          </w:p>
          <w:p w14:paraId="4F42985E" w14:textId="077CE77D" w:rsidR="00FC6360" w:rsidRDefault="00FC6360" w:rsidP="00987508">
            <w:pPr>
              <w:ind w:right="-18"/>
              <w:jc w:val="both"/>
              <w:rPr>
                <w:rFonts w:ascii="Sylfaen" w:hAnsi="Sylfaen"/>
                <w:lang w:val="ka-GE"/>
              </w:rPr>
            </w:pPr>
          </w:p>
          <w:p w14:paraId="5DC9498D" w14:textId="51FDFE56" w:rsidR="00FC6360" w:rsidRDefault="00FC6360" w:rsidP="00F95B5D">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სასამართლოს პრაქტიკით, </w:t>
            </w:r>
            <w:r w:rsidRPr="00FC6360">
              <w:rPr>
                <w:rFonts w:ascii="Sylfaen" w:hAnsi="Sylfaen"/>
                <w:lang w:val="ka-GE"/>
              </w:rPr>
              <w:t>„სამართლიანი სასამართლოს უფლება, პირველ რიგში, ნიშნავს სახელმწიფო ხელისუფლების ყველა იმ გადაწყვეტილების (ქმედების) სასამართლოში გასაჩივრებას და სამართლებრივ შეფასებას, რომელიც ადამიანის უფლებებს არღვევს. ამ თვალსაზრისით, სამართლიანი სასამართლოს უფლების განხორციელება სამართლებრივი სახელმწიფოს პრინციპს უკავშირდება და მნიშვნელოვანწილად განსაზღვრავს მის არსს“</w:t>
            </w:r>
            <w:r w:rsidR="00F95B5D" w:rsidRPr="00FF6A31">
              <w:rPr>
                <w:rFonts w:ascii="Sylfaen" w:hAnsi="Sylfaen"/>
                <w:lang w:val="ka-GE"/>
              </w:rPr>
              <w:t>.</w:t>
            </w:r>
            <w:r>
              <w:rPr>
                <w:rStyle w:val="FootnoteReference"/>
                <w:rFonts w:ascii="Sylfaen" w:hAnsi="Sylfaen"/>
                <w:lang w:val="ka-GE"/>
              </w:rPr>
              <w:footnoteReference w:id="16"/>
            </w:r>
            <w:r w:rsidR="00F95B5D" w:rsidRPr="00FF6A31">
              <w:rPr>
                <w:rFonts w:ascii="Sylfaen" w:hAnsi="Sylfaen"/>
                <w:lang w:val="ka-GE"/>
              </w:rPr>
              <w:t xml:space="preserve"> </w:t>
            </w:r>
            <w:r w:rsidR="00F95B5D">
              <w:rPr>
                <w:rFonts w:ascii="Sylfaen" w:hAnsi="Sylfaen"/>
                <w:lang w:val="ka-GE"/>
              </w:rPr>
              <w:t xml:space="preserve">განსახილველ შემთხვევაში ადმინისტრაციულ სამართალდარღვევათა ოქმის შედგენაზე </w:t>
            </w:r>
            <w:r w:rsidR="00F95B5D" w:rsidRPr="00F95B5D">
              <w:rPr>
                <w:rFonts w:ascii="Sylfaen" w:hAnsi="Sylfaen"/>
                <w:lang w:val="ka-GE"/>
              </w:rPr>
              <w:t xml:space="preserve"> უარის თქმის შესახებ გადაწყვეტილების სასამართლო კონტროლი ემსახურება თვითნებური, დაუსაბუთებელი და მიკერძოებული გადაწყვეტილებების პრევენციას</w:t>
            </w:r>
            <w:r w:rsidR="00F95B5D">
              <w:rPr>
                <w:rFonts w:ascii="Sylfaen" w:hAnsi="Sylfaen"/>
                <w:lang w:val="ka-GE"/>
              </w:rPr>
              <w:t xml:space="preserve">. </w:t>
            </w:r>
            <w:r w:rsidR="00F95B5D" w:rsidRPr="00F95B5D">
              <w:rPr>
                <w:rFonts w:ascii="Sylfaen" w:hAnsi="Sylfaen"/>
                <w:lang w:val="ka-GE"/>
              </w:rPr>
              <w:t>ცხადია, სასამართლო უფლებამოსილი არ არის, ჩაანაცვლოს გადაწყვეტილების მიმღები სუბიექტი, მის ნაცვლად განახორციელოს დისკრეციული უფლებამოსილება და მიიღოს გადაწყვეტილება, თუმცა, სასამართლომ უნდა შეამოწმოს აღნიშნული სუბიექტის მიერ საკუთარი მიხედულების გამოყენების მართებულობა. წინააღმდეგ შემთხვევაში ეჭვქვეშ დადგება არა მხოლოდ სამართლიანი სასამართლოს, არამედ – სახელმწიფო თანამდებობის დაკავების კონსტიტუციური უფლების გარანტიები.</w:t>
            </w:r>
          </w:p>
          <w:p w14:paraId="1812FDB0" w14:textId="1F95E1F7" w:rsidR="000D73CD" w:rsidRDefault="000D73CD" w:rsidP="00F95B5D">
            <w:pPr>
              <w:ind w:right="-18"/>
              <w:jc w:val="both"/>
              <w:rPr>
                <w:rFonts w:ascii="Sylfaen" w:hAnsi="Sylfaen"/>
                <w:lang w:val="ka-GE"/>
              </w:rPr>
            </w:pPr>
          </w:p>
          <w:p w14:paraId="0D7B1D61" w14:textId="234A9C98" w:rsidR="00FF6A31" w:rsidRPr="008D7F5D" w:rsidRDefault="000D73CD" w:rsidP="00E35FE8">
            <w:pPr>
              <w:ind w:right="-18"/>
              <w:jc w:val="both"/>
              <w:rPr>
                <w:rFonts w:ascii="Sylfaen" w:hAnsi="Sylfaen"/>
                <w:lang w:val="ka-GE"/>
              </w:rPr>
            </w:pPr>
            <w:r>
              <w:rPr>
                <w:rFonts w:ascii="Sylfaen" w:hAnsi="Sylfaen"/>
                <w:lang w:val="ka-GE"/>
              </w:rPr>
              <w:t xml:space="preserve">ვენეციის კომისიის </w:t>
            </w:r>
            <w:r w:rsidR="00151B9B">
              <w:rPr>
                <w:rFonts w:ascii="Sylfaen" w:hAnsi="Sylfaen"/>
                <w:lang w:val="ka-GE"/>
              </w:rPr>
              <w:t>რეკომენდაციით</w:t>
            </w:r>
            <w:r w:rsidR="0084580D">
              <w:rPr>
                <w:rFonts w:ascii="Sylfaen" w:hAnsi="Sylfaen"/>
                <w:lang w:val="ka-GE"/>
              </w:rPr>
              <w:t xml:space="preserve"> საარჩევნო საკითხებზე</w:t>
            </w:r>
            <w:r w:rsidR="00FF6A31">
              <w:rPr>
                <w:rFonts w:ascii="Sylfaen" w:hAnsi="Sylfaen"/>
                <w:lang w:val="ka-GE"/>
              </w:rPr>
              <w:t xml:space="preserve"> საჩივარი შესაძლოა წარდგენილი იქნას საარჩევნო კომისიაში ან სასამართლოში. საპარლამენტ</w:t>
            </w:r>
            <w:r w:rsidR="00FB226C">
              <w:rPr>
                <w:rFonts w:ascii="Sylfaen" w:hAnsi="Sylfaen"/>
                <w:lang w:val="ka-GE"/>
              </w:rPr>
              <w:t xml:space="preserve">ო არჩევნებზე საჩივარს პირველი ინსტანციით შეიძლება განიხილავდეს პარლამენტი. </w:t>
            </w:r>
            <w:r w:rsidR="00FB226C">
              <w:rPr>
                <w:rFonts w:ascii="Sylfaen" w:hAnsi="Sylfaen"/>
                <w:b/>
                <w:lang w:val="ka-GE"/>
              </w:rPr>
              <w:t xml:space="preserve">ნებისმიერ </w:t>
            </w:r>
            <w:r w:rsidR="00FB226C" w:rsidRPr="00FB226C">
              <w:rPr>
                <w:rFonts w:ascii="Sylfaen" w:hAnsi="Sylfaen"/>
                <w:b/>
                <w:lang w:val="ka-GE"/>
              </w:rPr>
              <w:t xml:space="preserve">შემთხვევაში საჩივრის განმხილველი საბოლოო ორგანო </w:t>
            </w:r>
            <w:r w:rsidR="00FB226C">
              <w:rPr>
                <w:rFonts w:ascii="Sylfaen" w:hAnsi="Sylfaen"/>
                <w:b/>
                <w:lang w:val="ka-GE"/>
              </w:rPr>
              <w:t>უნდა</w:t>
            </w:r>
            <w:r w:rsidR="00FB226C" w:rsidRPr="00FB226C">
              <w:rPr>
                <w:rFonts w:ascii="Sylfaen" w:hAnsi="Sylfaen"/>
                <w:b/>
                <w:lang w:val="ka-GE"/>
              </w:rPr>
              <w:t xml:space="preserve"> იყოს სასამართლო</w:t>
            </w:r>
            <w:r w:rsidR="00FB226C">
              <w:rPr>
                <w:rFonts w:ascii="Sylfaen" w:hAnsi="Sylfaen"/>
                <w:b/>
                <w:lang w:val="ka-GE"/>
              </w:rPr>
              <w:t>.</w:t>
            </w:r>
            <w:r w:rsidR="00FB226C">
              <w:rPr>
                <w:rStyle w:val="FootnoteReference"/>
                <w:rFonts w:ascii="Sylfaen" w:hAnsi="Sylfaen"/>
                <w:b/>
                <w:lang w:val="ka-GE"/>
              </w:rPr>
              <w:footnoteReference w:id="17"/>
            </w:r>
            <w:r w:rsidR="0084580D">
              <w:rPr>
                <w:rFonts w:ascii="Sylfaen" w:hAnsi="Sylfaen"/>
                <w:lang w:val="ka-GE"/>
              </w:rPr>
              <w:t xml:space="preserve"> </w:t>
            </w:r>
            <w:r w:rsidR="00FB226C">
              <w:rPr>
                <w:rFonts w:ascii="Sylfaen" w:hAnsi="Sylfaen"/>
                <w:lang w:val="ka-GE"/>
              </w:rPr>
              <w:t xml:space="preserve">ამგვარად, ვენეციის კომისიის საარჩევნო საკითხებზე კარგი პრაქტიკის კოდექსით, დასაშვებია საარჩევნო ხასიათის დარღვევებთან დაკავშირებით საჩივარი თავდაპირველად საარჩევნო კომისიამ ან პარლამენტმა გამოიკვლიოს, იმ პირობებში თუ საჩივრის საბოლოო განმხილველი იქნება სასამართლო ორგანო. ამ კუთხით აღსანიშნავია საკონსტიტუციო სასამართლოს მსჯელობა </w:t>
            </w:r>
            <w:proofErr w:type="spellStart"/>
            <w:r w:rsidR="00FB226C">
              <w:rPr>
                <w:rFonts w:ascii="Sylfaen" w:hAnsi="Sylfaen"/>
                <w:lang w:val="ka-GE"/>
              </w:rPr>
              <w:t>ყირმიზაშვილის</w:t>
            </w:r>
            <w:proofErr w:type="spellEnd"/>
            <w:r w:rsidR="00FB226C">
              <w:rPr>
                <w:rFonts w:ascii="Sylfaen" w:hAnsi="Sylfaen"/>
                <w:lang w:val="ka-GE"/>
              </w:rPr>
              <w:t xml:space="preserve"> საქმეში, რომლის მეორე თავის მე-10 მუხლში საკონსტიტუციო სასამართლომ განაცხადა: „</w:t>
            </w:r>
            <w:proofErr w:type="spellStart"/>
            <w:r w:rsidR="00FB226C" w:rsidRPr="00FB226C">
              <w:rPr>
                <w:rFonts w:ascii="Sylfaen" w:hAnsi="Sylfaen"/>
              </w:rPr>
              <w:t>საქართველოს</w:t>
            </w:r>
            <w:proofErr w:type="spellEnd"/>
            <w:r w:rsidR="00FB226C" w:rsidRPr="00FB226C">
              <w:rPr>
                <w:rFonts w:ascii="Sylfaen" w:hAnsi="Sylfaen"/>
              </w:rPr>
              <w:t xml:space="preserve"> კონსტიტუციის 42-ე მუხლის პირველი </w:t>
            </w:r>
            <w:proofErr w:type="spellStart"/>
            <w:r w:rsidR="00FB226C" w:rsidRPr="00FB226C">
              <w:rPr>
                <w:rFonts w:ascii="Sylfaen" w:hAnsi="Sylfaen"/>
              </w:rPr>
              <w:t>პუნქტი</w:t>
            </w:r>
            <w:proofErr w:type="spellEnd"/>
            <w:r w:rsidR="00FB226C" w:rsidRPr="00FB226C">
              <w:rPr>
                <w:rFonts w:ascii="Sylfaen" w:hAnsi="Sylfaen"/>
              </w:rPr>
              <w:t xml:space="preserve"> </w:t>
            </w:r>
            <w:r w:rsidR="00FB226C">
              <w:rPr>
                <w:rFonts w:ascii="Sylfaen" w:hAnsi="Sylfaen"/>
                <w:lang w:val="ka-GE"/>
              </w:rPr>
              <w:t xml:space="preserve">(ძველი რედაქცია) </w:t>
            </w:r>
            <w:r w:rsidR="00FB226C" w:rsidRPr="00FB226C">
              <w:rPr>
                <w:rFonts w:ascii="Sylfaen" w:hAnsi="Sylfaen"/>
              </w:rPr>
              <w:t xml:space="preserve">იცავს პირის </w:t>
            </w:r>
            <w:proofErr w:type="spellStart"/>
            <w:r w:rsidR="00FB226C" w:rsidRPr="00FB226C">
              <w:rPr>
                <w:rFonts w:ascii="Sylfaen" w:hAnsi="Sylfaen"/>
              </w:rPr>
              <w:t>უფლებას</w:t>
            </w:r>
            <w:proofErr w:type="spellEnd"/>
            <w:r w:rsidR="00FB226C" w:rsidRPr="00FB226C">
              <w:rPr>
                <w:rFonts w:ascii="Sylfaen" w:hAnsi="Sylfaen"/>
              </w:rPr>
              <w:t xml:space="preserve">, დაიცვას საკუთარი უფლებები </w:t>
            </w:r>
            <w:proofErr w:type="spellStart"/>
            <w:r w:rsidR="00FB226C" w:rsidRPr="00FB226C">
              <w:rPr>
                <w:rFonts w:ascii="Sylfaen" w:hAnsi="Sylfaen"/>
              </w:rPr>
              <w:t>ინსტიტუციურად</w:t>
            </w:r>
            <w:proofErr w:type="spellEnd"/>
            <w:r w:rsidR="00FB226C" w:rsidRPr="00FB226C">
              <w:rPr>
                <w:rFonts w:ascii="Sylfaen" w:hAnsi="Sylfaen"/>
              </w:rPr>
              <w:t xml:space="preserve"> და </w:t>
            </w:r>
            <w:proofErr w:type="spellStart"/>
            <w:r w:rsidR="00FB226C" w:rsidRPr="00FB226C">
              <w:rPr>
                <w:rFonts w:ascii="Sylfaen" w:hAnsi="Sylfaen"/>
              </w:rPr>
              <w:t>სისტემურად</w:t>
            </w:r>
            <w:proofErr w:type="spellEnd"/>
            <w:r w:rsidR="00FB226C" w:rsidRPr="00FB226C">
              <w:rPr>
                <w:rFonts w:ascii="Sylfaen" w:hAnsi="Sylfaen"/>
              </w:rPr>
              <w:t xml:space="preserve"> </w:t>
            </w:r>
            <w:proofErr w:type="spellStart"/>
            <w:r w:rsidR="00FB226C" w:rsidRPr="00FB226C">
              <w:rPr>
                <w:rFonts w:ascii="Sylfaen" w:hAnsi="Sylfaen"/>
              </w:rPr>
              <w:t>დამოუკიდებელ</w:t>
            </w:r>
            <w:proofErr w:type="spellEnd"/>
            <w:r w:rsidR="00FB226C" w:rsidRPr="00FB226C">
              <w:rPr>
                <w:rFonts w:ascii="Sylfaen" w:hAnsi="Sylfaen"/>
              </w:rPr>
              <w:t xml:space="preserve"> სასამართლო ორგანოში.</w:t>
            </w:r>
            <w:r w:rsidR="00FB226C">
              <w:rPr>
                <w:rFonts w:ascii="Sylfaen" w:hAnsi="Sylfaen"/>
                <w:lang w:val="ka-GE"/>
              </w:rPr>
              <w:t>“ ის გარემოება, რომ უკანონო ქმედების გასაჩივრების შესაძლებლობა ადმინისტრაციულ ორგანოში და სასამართლო წესით გასაჩივრების შესაძლებლობა ა</w:t>
            </w:r>
            <w:r w:rsidR="00FB226C" w:rsidRPr="00FB226C">
              <w:rPr>
                <w:rFonts w:ascii="Sylfaen" w:hAnsi="Sylfaen"/>
              </w:rPr>
              <w:t xml:space="preserve">რ არის უფლების დაცვის </w:t>
            </w:r>
            <w:proofErr w:type="spellStart"/>
            <w:r w:rsidR="00FB226C" w:rsidRPr="00FB226C">
              <w:rPr>
                <w:rFonts w:ascii="Sylfaen" w:hAnsi="Sylfaen"/>
              </w:rPr>
              <w:t>იდენტური</w:t>
            </w:r>
            <w:proofErr w:type="spellEnd"/>
            <w:r w:rsidR="00FB226C" w:rsidRPr="00FB226C">
              <w:rPr>
                <w:rFonts w:ascii="Sylfaen" w:hAnsi="Sylfaen"/>
              </w:rPr>
              <w:t xml:space="preserve"> </w:t>
            </w:r>
            <w:r w:rsidR="00FB226C" w:rsidRPr="00FB226C">
              <w:rPr>
                <w:rFonts w:ascii="Sylfaen" w:hAnsi="Sylfaen"/>
              </w:rPr>
              <w:lastRenderedPageBreak/>
              <w:t>საშუალებები.</w:t>
            </w:r>
            <w:r w:rsidR="00FB226C">
              <w:rPr>
                <w:rFonts w:ascii="Sylfaen" w:hAnsi="Sylfaen"/>
                <w:lang w:val="ka-GE"/>
              </w:rPr>
              <w:t xml:space="preserve"> </w:t>
            </w:r>
            <w:r w:rsidR="008D7F5D">
              <w:rPr>
                <w:rFonts w:ascii="Sylfaen" w:hAnsi="Sylfaen"/>
                <w:lang w:val="ka-GE"/>
              </w:rPr>
              <w:t>შესაბამისად, სადამკვირვებლო ორგანიზაციის მიერ წინასაარჩევნო კამპანიის დროს მომხდარი დარღვევების საარჩევნო ადმინისტრაციაში გასაჩივრება ვერ ჩაანაცვლებს სამართლიანი სასამართლოს უფლებას (</w:t>
            </w:r>
            <w:r w:rsidR="008D7F5D" w:rsidRPr="008D7F5D">
              <w:rPr>
                <w:rFonts w:ascii="Sylfaen" w:hAnsi="Sylfaen"/>
              </w:rPr>
              <w:t xml:space="preserve">mutatis mutandis </w:t>
            </w:r>
            <w:r w:rsidR="008D7F5D" w:rsidRPr="008D7F5D">
              <w:rPr>
                <w:rFonts w:ascii="Sylfaen" w:hAnsi="Sylfaen"/>
                <w:lang w:val="ka-GE"/>
              </w:rPr>
              <w:t xml:space="preserve">საქართველოს საკონსტიტუციო სასამართლოს 2018 წლის 14 დეკემბრის </w:t>
            </w:r>
            <w:r w:rsidR="008D7F5D" w:rsidRPr="008D7F5D">
              <w:rPr>
                <w:rFonts w:ascii="Sylfaen" w:hAnsi="Sylfaen"/>
              </w:rPr>
              <w:t>N2/12/1229, 1242, 1247, 1299</w:t>
            </w:r>
            <w:r w:rsidR="008D7F5D" w:rsidRPr="008D7F5D">
              <w:rPr>
                <w:rFonts w:ascii="Sylfaen" w:hAnsi="Sylfaen"/>
                <w:lang w:val="ka-GE"/>
              </w:rPr>
              <w:t xml:space="preserve"> გადაწყვეტილება საქმეზე ხვიჩა ყირმიზაშვილი და სხვები საქართველოს პარლამენტის წინააღმდეგ </w:t>
            </w:r>
            <w:r w:rsidR="008D7F5D" w:rsidRPr="008D7F5D">
              <w:rPr>
                <w:rFonts w:ascii="Sylfaen" w:hAnsi="Sylfaen"/>
              </w:rPr>
              <w:t>II</w:t>
            </w:r>
            <w:r w:rsidR="008D7F5D">
              <w:rPr>
                <w:rFonts w:ascii="Sylfaen" w:hAnsi="Sylfaen"/>
                <w:lang w:val="ka-GE"/>
              </w:rPr>
              <w:t>-10)</w:t>
            </w:r>
          </w:p>
          <w:p w14:paraId="16E5BF09" w14:textId="77777777" w:rsidR="008D7F5D" w:rsidRDefault="008D7F5D" w:rsidP="00E35FE8">
            <w:pPr>
              <w:ind w:right="-18"/>
              <w:jc w:val="both"/>
              <w:rPr>
                <w:rFonts w:ascii="Sylfaen" w:hAnsi="Sylfaen"/>
                <w:lang w:val="ka-GE"/>
              </w:rPr>
            </w:pPr>
          </w:p>
          <w:p w14:paraId="0109C448" w14:textId="61EB001B" w:rsidR="00151B9B" w:rsidRDefault="008D7F5D" w:rsidP="00E35FE8">
            <w:pPr>
              <w:ind w:right="-18"/>
              <w:jc w:val="both"/>
              <w:rPr>
                <w:rFonts w:ascii="Sylfaen" w:hAnsi="Sylfaen"/>
                <w:lang w:val="ka-GE"/>
              </w:rPr>
            </w:pPr>
            <w:r>
              <w:rPr>
                <w:rFonts w:ascii="Sylfaen" w:hAnsi="Sylfaen"/>
                <w:lang w:val="ka-GE"/>
              </w:rPr>
              <w:t xml:space="preserve">საარჩევნო ადმინისტრაციის გადაწყვეტილების სასამართლოში გასაჩივრებასთან დაკავშირებით </w:t>
            </w:r>
            <w:r w:rsidR="00E35FE8">
              <w:rPr>
                <w:rFonts w:ascii="Sylfaen" w:hAnsi="Sylfaen"/>
                <w:lang w:val="ka-GE"/>
              </w:rPr>
              <w:t xml:space="preserve">იგივე რეკომენდაციების შეგვიძლია ამოვიკითხოთ </w:t>
            </w:r>
            <w:r w:rsidR="00E35FE8" w:rsidRPr="00E35FE8">
              <w:rPr>
                <w:rFonts w:ascii="Sylfaen" w:hAnsi="Sylfaen"/>
                <w:lang w:val="ka-GE"/>
              </w:rPr>
              <w:t>ეუთოს</w:t>
            </w:r>
            <w:r w:rsidR="00E35FE8">
              <w:rPr>
                <w:rFonts w:ascii="Sylfaen" w:hAnsi="Sylfaen"/>
                <w:lang w:val="ka-GE"/>
              </w:rPr>
              <w:t xml:space="preserve"> </w:t>
            </w:r>
            <w:r w:rsidR="00E35FE8" w:rsidRPr="00E35FE8">
              <w:rPr>
                <w:rFonts w:ascii="Sylfaen" w:hAnsi="Sylfaen"/>
                <w:lang w:val="ka-GE"/>
              </w:rPr>
              <w:t>დემოკრატიული ინსტიტუტებისა და ადამიანის უფლებათა ოფისის ინსტრუქცია</w:t>
            </w:r>
            <w:r w:rsidR="00E35FE8">
              <w:rPr>
                <w:rFonts w:ascii="Sylfaen" w:hAnsi="Sylfaen"/>
                <w:lang w:val="ka-GE"/>
              </w:rPr>
              <w:t xml:space="preserve"> </w:t>
            </w:r>
            <w:r w:rsidR="00E35FE8" w:rsidRPr="00E35FE8">
              <w:rPr>
                <w:rFonts w:ascii="Sylfaen" w:hAnsi="Sylfaen"/>
                <w:lang w:val="ka-GE"/>
              </w:rPr>
              <w:t>საარჩევნო კანონმდებლობის გადახედვის შესახებ</w:t>
            </w:r>
            <w:r w:rsidR="00E35FE8">
              <w:rPr>
                <w:rFonts w:ascii="Sylfaen" w:hAnsi="Sylfaen"/>
                <w:lang w:val="ka-GE"/>
              </w:rPr>
              <w:t xml:space="preserve"> რეზოლუციიდან, რომლის მიხედვითაც: საარჩევნო კანონმდებლობა უნდა </w:t>
            </w:r>
            <w:r w:rsidR="00B464F2">
              <w:rPr>
                <w:rFonts w:ascii="Sylfaen" w:hAnsi="Sylfaen"/>
                <w:lang w:val="ka-GE"/>
              </w:rPr>
              <w:t xml:space="preserve">უზრუნველყოფდეს საარჩევნო კომისიის მიერ მიღებული გადაწყვეტილების შესაბამის სასამართლოში გასაჩივრების უფლებას, რომელიც ვალდებული იქნება გადახედოს და განახორციელოს საბოლოო მართლმსაჯულება აღნიშნულ საკითხზე. </w:t>
            </w:r>
            <w:r w:rsidR="001423C9">
              <w:rPr>
                <w:rFonts w:ascii="Sylfaen" w:hAnsi="Sylfaen"/>
                <w:lang w:val="ka-GE"/>
              </w:rPr>
              <w:t xml:space="preserve">ამასთან, სასამართლოში გასაჩივრების, როგორც საფინალო </w:t>
            </w:r>
            <w:r w:rsidR="001C49A6">
              <w:rPr>
                <w:rFonts w:ascii="Sylfaen" w:hAnsi="Sylfaen"/>
                <w:lang w:val="ka-GE"/>
              </w:rPr>
              <w:t>მექანიზ</w:t>
            </w:r>
            <w:r w:rsidR="001423C9">
              <w:rPr>
                <w:rFonts w:ascii="Sylfaen" w:hAnsi="Sylfaen"/>
                <w:lang w:val="ka-GE"/>
              </w:rPr>
              <w:t>მის გამოყენება უნდა წარიმართოს სწრაფად.</w:t>
            </w:r>
            <w:r w:rsidR="001F1FCE">
              <w:rPr>
                <w:rStyle w:val="FootnoteReference"/>
                <w:rFonts w:ascii="Sylfaen" w:hAnsi="Sylfaen"/>
                <w:lang w:val="ka-GE"/>
              </w:rPr>
              <w:footnoteReference w:id="18"/>
            </w:r>
          </w:p>
          <w:p w14:paraId="0F7006B2" w14:textId="4616028B" w:rsidR="008D7F5D" w:rsidRDefault="008D7F5D" w:rsidP="00E35FE8">
            <w:pPr>
              <w:ind w:right="-18"/>
              <w:jc w:val="both"/>
              <w:rPr>
                <w:rFonts w:ascii="Sylfaen" w:hAnsi="Sylfaen"/>
                <w:lang w:val="ka-GE"/>
              </w:rPr>
            </w:pPr>
          </w:p>
          <w:p w14:paraId="556C6BEE" w14:textId="10573904" w:rsidR="008D7F5D" w:rsidRDefault="008D7F5D" w:rsidP="00E35FE8">
            <w:pPr>
              <w:ind w:right="-18"/>
              <w:jc w:val="both"/>
              <w:rPr>
                <w:rFonts w:ascii="Sylfaen" w:hAnsi="Sylfaen"/>
                <w:lang w:val="ka-GE"/>
              </w:rPr>
            </w:pPr>
            <w:r w:rsidRPr="008D7F5D">
              <w:rPr>
                <w:rFonts w:ascii="Sylfaen" w:hAnsi="Sylfaen"/>
                <w:lang w:val="ka-GE"/>
              </w:rPr>
              <w:t>ამგვარად, ვენეციის კომისიის საარჩევნო საკითხებზე კარგი პრაქტიკის კოდექსი</w:t>
            </w:r>
            <w:r>
              <w:rPr>
                <w:rFonts w:ascii="Sylfaen" w:hAnsi="Sylfaen"/>
                <w:lang w:val="ka-GE"/>
              </w:rPr>
              <w:t>ს 3.3 პუნქტის „</w:t>
            </w:r>
            <w:r w:rsidRPr="00C04958">
              <w:rPr>
                <w:rFonts w:ascii="Sylfaen" w:hAnsi="Sylfaen"/>
                <w:lang w:val="ka-GE"/>
              </w:rPr>
              <w:t xml:space="preserve">d” </w:t>
            </w:r>
            <w:r>
              <w:rPr>
                <w:rFonts w:ascii="Sylfaen" w:hAnsi="Sylfaen"/>
                <w:lang w:val="ka-GE"/>
              </w:rPr>
              <w:t xml:space="preserve">ქვეპუნქტი განსაზღვრავს საჩივრის განმხილველი ორგანოს - საარჩევნო კომისიის, პარლამენტის, საბოლოო შემთხვევაში სასამართლოს უფლებამოსილებას იმასთან დაკავშირებით, თუ რა ტიპის საჩივრების განხილვა შეუძლიათ მათ. ეს საკითხებია: </w:t>
            </w:r>
            <w:r w:rsidR="00C04958">
              <w:rPr>
                <w:rFonts w:ascii="Sylfaen" w:hAnsi="Sylfaen"/>
                <w:lang w:val="ka-GE"/>
              </w:rPr>
              <w:t xml:space="preserve">რამდენად უფლებამოსილია კანდიდატი მონაწილეობა მიიღოს არჩევნებში, </w:t>
            </w:r>
            <w:r w:rsidR="00C04958" w:rsidRPr="00C04958">
              <w:rPr>
                <w:rFonts w:ascii="Sylfaen" w:hAnsi="Sylfaen"/>
                <w:b/>
                <w:lang w:val="ka-GE"/>
              </w:rPr>
              <w:t>რამდენად სათანადოდ იქნა დაცული საარჩევნო კამპანიის წესები,</w:t>
            </w:r>
            <w:r w:rsidR="00C04958">
              <w:rPr>
                <w:rFonts w:ascii="Sylfaen" w:hAnsi="Sylfaen"/>
                <w:lang w:val="ka-GE"/>
              </w:rPr>
              <w:t xml:space="preserve"> რამდენად სწორია არჩევნების შედეგები.</w:t>
            </w:r>
            <w:r w:rsidR="00C04958">
              <w:rPr>
                <w:rStyle w:val="FootnoteReference"/>
                <w:rFonts w:ascii="Sylfaen" w:hAnsi="Sylfaen"/>
                <w:lang w:val="ka-GE"/>
              </w:rPr>
              <w:footnoteReference w:id="19"/>
            </w:r>
            <w:r w:rsidR="00C04958">
              <w:rPr>
                <w:rFonts w:ascii="Sylfaen" w:hAnsi="Sylfaen"/>
                <w:lang w:val="ka-GE"/>
              </w:rPr>
              <w:t xml:space="preserve">  სადავო ნორმების საფუძველზე საერთო სასამართლოებმა სწორედ საარჩევნო კამპანიის წესების სავარაუდო დაუცველობაზე საიას მიერ წარდგენილი სარჩელები არ განიხილეს. </w:t>
            </w:r>
          </w:p>
          <w:p w14:paraId="620A41CB" w14:textId="2A33272E" w:rsidR="00AB44B3" w:rsidRDefault="00AB44B3" w:rsidP="00E35FE8">
            <w:pPr>
              <w:ind w:right="-18"/>
              <w:jc w:val="both"/>
              <w:rPr>
                <w:rFonts w:ascii="Sylfaen" w:hAnsi="Sylfaen"/>
                <w:lang w:val="ka-GE"/>
              </w:rPr>
            </w:pPr>
          </w:p>
          <w:p w14:paraId="5A4825B8" w14:textId="50407EC5" w:rsidR="00E35FE8" w:rsidRDefault="00BA7D93" w:rsidP="00F95B5D">
            <w:pPr>
              <w:ind w:right="-18"/>
              <w:jc w:val="both"/>
              <w:rPr>
                <w:rFonts w:ascii="Sylfaen" w:hAnsi="Sylfaen"/>
                <w:lang w:val="ka-GE"/>
              </w:rPr>
            </w:pPr>
            <w:r>
              <w:rPr>
                <w:rFonts w:ascii="Sylfaen" w:hAnsi="Sylfaen"/>
                <w:lang w:val="ka-GE"/>
              </w:rPr>
              <w:t>წინამდებარე სარჩელში წამოჭრილი პრობლემის ანალიზისთვის, ასევე</w:t>
            </w:r>
            <w:r w:rsidR="00AB44B3">
              <w:rPr>
                <w:rFonts w:ascii="Sylfaen" w:hAnsi="Sylfaen"/>
                <w:lang w:val="ka-GE"/>
              </w:rPr>
              <w:t xml:space="preserve"> მნიშვნელოვანია 2018 წლის 28 ოქტომბრისა და 28 ნოემბრის საპრეზიდენტო არჩევნებზე ეუთოს/დემოკრატიული ინსტიტუტებისა და ადამიანის უფლებების ოფისის საერთაშორისო საარჩევნო სადამკვირვებლო მისიის საბოლოო ანგარიში.</w:t>
            </w:r>
            <w:r w:rsidR="00B12AFC">
              <w:rPr>
                <w:rFonts w:ascii="Sylfaen" w:hAnsi="Sylfaen"/>
                <w:lang w:val="ka-GE"/>
              </w:rPr>
              <w:t xml:space="preserve"> აღნიშნულ ანგარიშში პირდაპირაა ნათქვამი, რომ „ცენტრალური საარჩევნო კომისიის თამჯდომარის გადაწყვეტილებები არ შეედგინა ადმინისტრაციულ სამართალდარ</w:t>
            </w:r>
            <w:r w:rsidR="00610B49">
              <w:rPr>
                <w:rFonts w:ascii="Sylfaen" w:hAnsi="Sylfaen"/>
                <w:lang w:val="ka-GE"/>
              </w:rPr>
              <w:t>ღვ</w:t>
            </w:r>
            <w:r w:rsidR="00B12AFC">
              <w:rPr>
                <w:rFonts w:ascii="Sylfaen" w:hAnsi="Sylfaen"/>
                <w:lang w:val="ka-GE"/>
              </w:rPr>
              <w:t>ევათა ოქმი საარჩევნო კამპანის მიმდინარეობასთან დაკავშირებულ სამართალდარღ</w:t>
            </w:r>
            <w:r w:rsidR="00610B49">
              <w:rPr>
                <w:rFonts w:ascii="Sylfaen" w:hAnsi="Sylfaen"/>
                <w:lang w:val="ka-GE"/>
              </w:rPr>
              <w:t>ვ</w:t>
            </w:r>
            <w:r w:rsidR="00B12AFC">
              <w:rPr>
                <w:rFonts w:ascii="Sylfaen" w:hAnsi="Sylfaen"/>
                <w:lang w:val="ka-GE"/>
              </w:rPr>
              <w:t>ევებზე არ ექვემდებარება გასაჩივრებას</w:t>
            </w:r>
            <w:r w:rsidR="00610B49">
              <w:rPr>
                <w:rFonts w:ascii="Sylfaen" w:hAnsi="Sylfaen"/>
                <w:lang w:val="ka-GE"/>
              </w:rPr>
              <w:t xml:space="preserve">, </w:t>
            </w:r>
            <w:r w:rsidR="00610B49" w:rsidRPr="00610B49">
              <w:rPr>
                <w:rFonts w:ascii="Sylfaen" w:hAnsi="Sylfaen"/>
                <w:lang w:val="ka-GE"/>
              </w:rPr>
              <w:t>რაც დარღვევებზე ეფექტურად რეაგირების უფლებას ზღუდავს, ეს კი</w:t>
            </w:r>
            <w:r w:rsidR="00610B49">
              <w:rPr>
                <w:rFonts w:ascii="Sylfaen" w:hAnsi="Sylfaen"/>
                <w:lang w:val="ka-GE"/>
              </w:rPr>
              <w:t xml:space="preserve"> </w:t>
            </w:r>
            <w:r w:rsidR="00610B49" w:rsidRPr="00610B49">
              <w:rPr>
                <w:rFonts w:ascii="Sylfaen" w:hAnsi="Sylfaen"/>
                <w:lang w:val="ka-GE"/>
              </w:rPr>
              <w:t>სამართლებ</w:t>
            </w:r>
            <w:r w:rsidR="00610B49">
              <w:rPr>
                <w:rFonts w:ascii="Sylfaen" w:hAnsi="Sylfaen"/>
                <w:lang w:val="ka-GE"/>
              </w:rPr>
              <w:t>რ</w:t>
            </w:r>
            <w:r w:rsidR="00610B49" w:rsidRPr="00610B49">
              <w:rPr>
                <w:rFonts w:ascii="Sylfaen" w:hAnsi="Sylfaen"/>
                <w:lang w:val="ka-GE"/>
              </w:rPr>
              <w:t>ივი დაცვის ეფექტური საშუალებების ქონასთან დაკავშირებულ ეუთოს წინაშე</w:t>
            </w:r>
            <w:r w:rsidR="00610B49">
              <w:rPr>
                <w:rFonts w:ascii="Sylfaen" w:hAnsi="Sylfaen"/>
                <w:lang w:val="ka-GE"/>
              </w:rPr>
              <w:t xml:space="preserve"> </w:t>
            </w:r>
            <w:r w:rsidR="00610B49" w:rsidRPr="00610B49">
              <w:rPr>
                <w:rFonts w:ascii="Sylfaen" w:hAnsi="Sylfaen"/>
                <w:lang w:val="ka-GE"/>
              </w:rPr>
              <w:t>აღებულ ვალდებულებებსა და საერთაშორისო სტანდარტებს ეწინააღმდეგება.</w:t>
            </w:r>
            <w:r w:rsidR="00610B49">
              <w:rPr>
                <w:rStyle w:val="FootnoteReference"/>
                <w:rFonts w:ascii="Sylfaen" w:hAnsi="Sylfaen"/>
                <w:lang w:val="ka-GE"/>
              </w:rPr>
              <w:footnoteReference w:id="20"/>
            </w:r>
          </w:p>
          <w:p w14:paraId="712C07C4" w14:textId="77777777" w:rsidR="00E35FE8" w:rsidRDefault="00E35FE8" w:rsidP="00F95B5D">
            <w:pPr>
              <w:ind w:right="-18"/>
              <w:jc w:val="both"/>
              <w:rPr>
                <w:rFonts w:ascii="Sylfaen" w:hAnsi="Sylfaen"/>
                <w:lang w:val="ka-GE"/>
              </w:rPr>
            </w:pPr>
          </w:p>
          <w:p w14:paraId="21557E91" w14:textId="6D9F43DA" w:rsidR="00151B9B" w:rsidRPr="00F95B5D" w:rsidRDefault="002F329C" w:rsidP="00F95B5D">
            <w:pPr>
              <w:ind w:right="-18"/>
              <w:jc w:val="both"/>
              <w:rPr>
                <w:rFonts w:ascii="Sylfaen" w:hAnsi="Sylfaen"/>
                <w:lang w:val="ka-GE"/>
              </w:rPr>
            </w:pPr>
            <w:proofErr w:type="spellStart"/>
            <w:r>
              <w:rPr>
                <w:rFonts w:ascii="Sylfaen" w:hAnsi="Sylfaen"/>
              </w:rPr>
              <w:t>საბოლოოდ</w:t>
            </w:r>
            <w:proofErr w:type="spellEnd"/>
            <w:r w:rsidR="00983F1B">
              <w:rPr>
                <w:rFonts w:ascii="Sylfaen" w:hAnsi="Sylfaen"/>
              </w:rPr>
              <w:t xml:space="preserve">, </w:t>
            </w:r>
            <w:r w:rsidR="00151B9B">
              <w:rPr>
                <w:rFonts w:ascii="Sylfaen" w:hAnsi="Sylfaen"/>
                <w:lang w:val="ka-GE"/>
              </w:rPr>
              <w:t>ვინაიდან</w:t>
            </w:r>
            <w:r w:rsidR="006A5B37">
              <w:rPr>
                <w:rFonts w:ascii="Sylfaen" w:hAnsi="Sylfaen"/>
                <w:lang w:val="ka-GE"/>
              </w:rPr>
              <w:t xml:space="preserve"> სამართალდარღვევის ოქმის შედგენაზე უარის თქმის შემთხვევაში, აღ</w:t>
            </w:r>
            <w:r w:rsidR="000E040F">
              <w:rPr>
                <w:rFonts w:ascii="Sylfaen" w:hAnsi="Sylfaen"/>
                <w:lang w:val="ka-GE"/>
              </w:rPr>
              <w:t>ნ</w:t>
            </w:r>
            <w:r w:rsidR="006A5B37">
              <w:rPr>
                <w:rFonts w:ascii="Sylfaen" w:hAnsi="Sylfaen"/>
                <w:lang w:val="ka-GE"/>
              </w:rPr>
              <w:t>იშნული გადაწყვეტილების სასამართლოში გასაჩივრების აკრძალვით</w:t>
            </w:r>
            <w:r w:rsidR="00151B9B">
              <w:rPr>
                <w:rFonts w:ascii="Sylfaen" w:hAnsi="Sylfaen"/>
                <w:lang w:val="ka-GE"/>
              </w:rPr>
              <w:t xml:space="preserve"> </w:t>
            </w:r>
            <w:r w:rsidR="0079678B">
              <w:rPr>
                <w:rFonts w:ascii="Sylfaen" w:hAnsi="Sylfaen"/>
                <w:lang w:val="ka-GE"/>
              </w:rPr>
              <w:t>მოსარჩელეს ერთმევა შესაძლებლობა</w:t>
            </w:r>
            <w:r w:rsidR="00C04958">
              <w:rPr>
                <w:rFonts w:ascii="Sylfaen" w:hAnsi="Sylfaen"/>
                <w:lang w:val="ka-GE"/>
              </w:rPr>
              <w:t>,</w:t>
            </w:r>
            <w:r w:rsidR="00151B9B">
              <w:rPr>
                <w:rFonts w:ascii="Sylfaen" w:hAnsi="Sylfaen"/>
                <w:lang w:val="ka-GE"/>
              </w:rPr>
              <w:t xml:space="preserve"> გაერთიანების</w:t>
            </w:r>
            <w:r w:rsidR="005918F2">
              <w:rPr>
                <w:rFonts w:ascii="Sylfaen" w:hAnsi="Sylfaen"/>
                <w:lang w:val="ka-GE"/>
              </w:rPr>
              <w:t xml:space="preserve"> </w:t>
            </w:r>
            <w:r w:rsidR="00151B9B">
              <w:rPr>
                <w:rFonts w:ascii="Sylfaen" w:hAnsi="Sylfaen"/>
                <w:lang w:val="ka-GE"/>
              </w:rPr>
              <w:t>თავისუ</w:t>
            </w:r>
            <w:r w:rsidR="005918F2">
              <w:rPr>
                <w:rFonts w:ascii="Sylfaen" w:hAnsi="Sylfaen"/>
                <w:lang w:val="ka-GE"/>
              </w:rPr>
              <w:t>ფ</w:t>
            </w:r>
            <w:r w:rsidR="00151B9B">
              <w:rPr>
                <w:rFonts w:ascii="Sylfaen" w:hAnsi="Sylfaen"/>
                <w:lang w:val="ka-GE"/>
              </w:rPr>
              <w:t>ლების ფარგლებში</w:t>
            </w:r>
            <w:r w:rsidR="00C04958">
              <w:rPr>
                <w:rFonts w:ascii="Sylfaen" w:hAnsi="Sylfaen"/>
                <w:lang w:val="ka-GE"/>
              </w:rPr>
              <w:t>,</w:t>
            </w:r>
            <w:r w:rsidR="00151B9B">
              <w:rPr>
                <w:rFonts w:ascii="Sylfaen" w:hAnsi="Sylfaen"/>
                <w:lang w:val="ka-GE"/>
              </w:rPr>
              <w:t xml:space="preserve"> </w:t>
            </w:r>
            <w:r w:rsidR="00C04958">
              <w:rPr>
                <w:rFonts w:ascii="Sylfaen" w:hAnsi="Sylfaen"/>
                <w:lang w:val="ka-GE"/>
              </w:rPr>
              <w:t xml:space="preserve">კანონით (საარჩევნო კოდექსით) მინიჭებული უფლების ფარგლებში, </w:t>
            </w:r>
            <w:r w:rsidR="006C29EF">
              <w:rPr>
                <w:rFonts w:ascii="Sylfaen" w:hAnsi="Sylfaen"/>
                <w:lang w:val="ka-GE"/>
              </w:rPr>
              <w:t>მოახდინოს საარჩევნო დარღვევებზე ეფექტური რეაგირება</w:t>
            </w:r>
            <w:r w:rsidR="00E457B3">
              <w:rPr>
                <w:rFonts w:ascii="Sylfaen" w:hAnsi="Sylfaen"/>
                <w:lang w:val="ka-GE"/>
              </w:rPr>
              <w:t xml:space="preserve"> და დაიცვას ისეთი მნიშვნელოვანი უფლება,</w:t>
            </w:r>
            <w:r w:rsidR="005918F2">
              <w:rPr>
                <w:rFonts w:ascii="Sylfaen" w:hAnsi="Sylfaen"/>
                <w:lang w:val="ka-GE"/>
              </w:rPr>
              <w:t xml:space="preserve"> როგორიცაა ამომრჩევლის ნების თავისუ</w:t>
            </w:r>
            <w:r w:rsidR="000E040F">
              <w:rPr>
                <w:rFonts w:ascii="Sylfaen" w:hAnsi="Sylfaen"/>
                <w:lang w:val="ka-GE"/>
              </w:rPr>
              <w:t>ფ</w:t>
            </w:r>
            <w:r w:rsidR="005918F2">
              <w:rPr>
                <w:rFonts w:ascii="Sylfaen" w:hAnsi="Sylfaen"/>
                <w:lang w:val="ka-GE"/>
              </w:rPr>
              <w:t>ლად გამოვლენის შესაძლებლობა, უფლებაში ჩარევა ვერ იქნება მიჩნეული პროპორციულად.</w:t>
            </w:r>
            <w:r w:rsidR="000E040F">
              <w:rPr>
                <w:rFonts w:ascii="Sylfaen" w:hAnsi="Sylfaen"/>
                <w:lang w:val="ka-GE"/>
              </w:rPr>
              <w:t xml:space="preserve"> შესაბამისად, სამართლიანი </w:t>
            </w:r>
            <w:r w:rsidR="00BC523A">
              <w:rPr>
                <w:rFonts w:ascii="Sylfaen" w:hAnsi="Sylfaen"/>
                <w:lang w:val="ka-GE"/>
              </w:rPr>
              <w:t xml:space="preserve">ბალანსი დაცულ უფლებასა და </w:t>
            </w:r>
            <w:r w:rsidR="00E457B3">
              <w:rPr>
                <w:rFonts w:ascii="Sylfaen" w:hAnsi="Sylfaen"/>
                <w:lang w:val="ka-GE"/>
              </w:rPr>
              <w:t>შეზღუდვის</w:t>
            </w:r>
            <w:r w:rsidR="00BC523A">
              <w:rPr>
                <w:rFonts w:ascii="Sylfaen" w:hAnsi="Sylfaen"/>
                <w:lang w:val="ka-GE"/>
              </w:rPr>
              <w:t xml:space="preserve"> ლეგიტიმურ ინტერესს შორის, </w:t>
            </w:r>
            <w:r w:rsidR="00C04958">
              <w:rPr>
                <w:rFonts w:ascii="Sylfaen" w:hAnsi="Sylfaen"/>
                <w:lang w:val="ka-GE"/>
              </w:rPr>
              <w:t>სასამართლოზე</w:t>
            </w:r>
            <w:r w:rsidR="00BC523A">
              <w:rPr>
                <w:rFonts w:ascii="Sylfaen" w:hAnsi="Sylfaen"/>
                <w:lang w:val="ka-GE"/>
              </w:rPr>
              <w:t xml:space="preserve"> </w:t>
            </w:r>
            <w:r w:rsidR="00C04958">
              <w:rPr>
                <w:rFonts w:ascii="Sylfaen" w:hAnsi="Sylfaen"/>
                <w:lang w:val="ka-GE"/>
              </w:rPr>
              <w:t>წვდომის უფლებისაკენ უ</w:t>
            </w:r>
            <w:r w:rsidR="00BC523A">
              <w:rPr>
                <w:rFonts w:ascii="Sylfaen" w:hAnsi="Sylfaen"/>
                <w:lang w:val="ka-GE"/>
              </w:rPr>
              <w:t>ნ</w:t>
            </w:r>
            <w:r w:rsidR="00C04958">
              <w:rPr>
                <w:rFonts w:ascii="Sylfaen" w:hAnsi="Sylfaen"/>
                <w:lang w:val="ka-GE"/>
              </w:rPr>
              <w:t>დ</w:t>
            </w:r>
            <w:r w:rsidR="00BC523A">
              <w:rPr>
                <w:rFonts w:ascii="Sylfaen" w:hAnsi="Sylfaen"/>
                <w:lang w:val="ka-GE"/>
              </w:rPr>
              <w:t xml:space="preserve">ა </w:t>
            </w:r>
            <w:r w:rsidR="00BC523A">
              <w:rPr>
                <w:rFonts w:ascii="Sylfaen" w:hAnsi="Sylfaen"/>
                <w:lang w:val="ka-GE"/>
              </w:rPr>
              <w:lastRenderedPageBreak/>
              <w:t>გადაიხაროს და სადავო ნორმატიული შინაარსი არაკონსტიტუციურად იქნეს ცნობილი საქართველოს კონსტიტუციის 31-ე მუხლის პირველ პუნქტთან მიმართებით.</w:t>
            </w:r>
          </w:p>
          <w:p w14:paraId="70C25B4F" w14:textId="3CC60E55" w:rsidR="00987508" w:rsidRPr="00987508" w:rsidRDefault="00987508" w:rsidP="00987508">
            <w:pPr>
              <w:ind w:right="-18"/>
              <w:jc w:val="both"/>
              <w:rPr>
                <w:rFonts w:ascii="Sylfaen" w:hAnsi="Sylfaen"/>
                <w:lang w:val="ka-GE"/>
              </w:rPr>
            </w:pPr>
          </w:p>
          <w:p w14:paraId="18E16D8A" w14:textId="77777777" w:rsidR="00E31D9D" w:rsidRPr="00435FCC" w:rsidRDefault="00E31D9D" w:rsidP="00435FCC">
            <w:pPr>
              <w:ind w:right="-18"/>
              <w:jc w:val="both"/>
              <w:rPr>
                <w:rFonts w:ascii="Sylfaen" w:hAnsi="Sylfaen"/>
                <w:lang w:val="ka-GE"/>
              </w:rPr>
            </w:pPr>
          </w:p>
          <w:p w14:paraId="47100BAB" w14:textId="77777777" w:rsidR="008938DF" w:rsidRDefault="008938DF" w:rsidP="00921D1C">
            <w:pPr>
              <w:ind w:right="-18"/>
              <w:jc w:val="both"/>
              <w:rPr>
                <w:rFonts w:ascii="Sylfaen" w:hAnsi="Sylfaen"/>
                <w:lang w:val="ka-GE"/>
              </w:rPr>
            </w:pPr>
          </w:p>
          <w:p w14:paraId="5D97CC56" w14:textId="3E63077B" w:rsidR="00982EBF" w:rsidRPr="00921D1C" w:rsidRDefault="00982EBF" w:rsidP="00921D1C">
            <w:pPr>
              <w:ind w:right="-18"/>
              <w:jc w:val="both"/>
              <w:rPr>
                <w:rFonts w:ascii="Sylfaen" w:hAnsi="Sylfaen"/>
                <w:lang w:val="ka-GE"/>
              </w:rPr>
            </w:pPr>
          </w:p>
          <w:p w14:paraId="3D27AC0C" w14:textId="140A88A4" w:rsidR="007A44ED" w:rsidRDefault="007A44ED" w:rsidP="007A44ED">
            <w:pPr>
              <w:ind w:right="-18"/>
              <w:jc w:val="both"/>
              <w:rPr>
                <w:rFonts w:ascii="Sylfaen" w:hAnsi="Sylfaen"/>
                <w:b/>
                <w:lang w:val="ka-GE"/>
              </w:rPr>
            </w:pPr>
          </w:p>
          <w:p w14:paraId="7328C7C7" w14:textId="77777777" w:rsidR="007A44ED" w:rsidRPr="007A44ED" w:rsidRDefault="007A44ED" w:rsidP="007A44ED">
            <w:pPr>
              <w:ind w:right="-18"/>
              <w:jc w:val="both"/>
              <w:rPr>
                <w:rFonts w:ascii="Sylfaen" w:hAnsi="Sylfaen"/>
                <w:lang w:val="ka-GE"/>
              </w:rPr>
            </w:pPr>
          </w:p>
          <w:p w14:paraId="705CABD4" w14:textId="24978232" w:rsidR="001F1EEC" w:rsidRDefault="001F1EEC" w:rsidP="00D91113">
            <w:pPr>
              <w:ind w:right="-18"/>
              <w:jc w:val="both"/>
              <w:rPr>
                <w:rFonts w:ascii="Sylfaen" w:hAnsi="Sylfaen"/>
                <w:lang w:val="ka-GE"/>
              </w:rPr>
            </w:pPr>
          </w:p>
          <w:p w14:paraId="636A802B" w14:textId="77777777" w:rsidR="001F1EEC" w:rsidRPr="00D91113" w:rsidRDefault="001F1EEC" w:rsidP="00D91113">
            <w:pPr>
              <w:ind w:right="-18"/>
              <w:jc w:val="both"/>
              <w:rPr>
                <w:rFonts w:ascii="Sylfaen" w:hAnsi="Sylfaen"/>
                <w:lang w:val="ka-GE"/>
              </w:rPr>
            </w:pPr>
          </w:p>
          <w:p w14:paraId="0750CEDB" w14:textId="77777777" w:rsidR="00322A6E" w:rsidRDefault="00322A6E" w:rsidP="00933ECD">
            <w:pPr>
              <w:ind w:right="-18"/>
              <w:jc w:val="both"/>
              <w:rPr>
                <w:rFonts w:ascii="Sylfaen" w:hAnsi="Sylfaen"/>
                <w:lang w:val="ka-GE"/>
              </w:rPr>
            </w:pPr>
          </w:p>
          <w:p w14:paraId="00DBC3F6" w14:textId="77777777" w:rsidR="00322A6E" w:rsidRPr="00530010" w:rsidRDefault="00322A6E" w:rsidP="00933ECD">
            <w:pPr>
              <w:ind w:right="-18"/>
              <w:jc w:val="both"/>
              <w:rPr>
                <w:rFonts w:ascii="Sylfaen" w:hAnsi="Sylfaen"/>
                <w:lang w:val="ka-GE"/>
              </w:rPr>
            </w:pPr>
          </w:p>
          <w:p w14:paraId="4319303E" w14:textId="22AB2D59" w:rsidR="00CE296C" w:rsidRDefault="00CE296C" w:rsidP="00933ECD">
            <w:pPr>
              <w:ind w:right="-18"/>
              <w:jc w:val="both"/>
              <w:rPr>
                <w:rFonts w:ascii="Sylfaen" w:hAnsi="Sylfaen"/>
                <w:lang w:val="ka-GE"/>
              </w:rPr>
            </w:pPr>
          </w:p>
          <w:p w14:paraId="1BF76668" w14:textId="77777777" w:rsidR="00B97A61" w:rsidRPr="00933ECD" w:rsidRDefault="00B97A61" w:rsidP="00933ECD">
            <w:pPr>
              <w:ind w:right="-18"/>
              <w:jc w:val="both"/>
              <w:rPr>
                <w:rFonts w:ascii="Sylfaen" w:hAnsi="Sylfaen"/>
                <w:lang w:val="ka-GE"/>
              </w:rPr>
            </w:pPr>
          </w:p>
          <w:p w14:paraId="21E1A9CC" w14:textId="77777777" w:rsidR="008265C6" w:rsidRDefault="008265C6" w:rsidP="008265C6">
            <w:pPr>
              <w:ind w:right="-18"/>
              <w:jc w:val="both"/>
              <w:rPr>
                <w:rFonts w:ascii="Sylfaen" w:hAnsi="Sylfaen"/>
                <w:b/>
                <w:lang w:val="ka-GE"/>
              </w:rPr>
            </w:pPr>
          </w:p>
          <w:p w14:paraId="32782F28" w14:textId="77777777" w:rsidR="008265C6" w:rsidRDefault="008265C6" w:rsidP="008265C6">
            <w:pPr>
              <w:ind w:right="-18"/>
              <w:jc w:val="both"/>
              <w:rPr>
                <w:rFonts w:ascii="Sylfaen" w:hAnsi="Sylfaen"/>
                <w:b/>
                <w:lang w:val="ka-GE"/>
              </w:rPr>
            </w:pPr>
          </w:p>
          <w:p w14:paraId="7859973B" w14:textId="77777777" w:rsidR="008265C6" w:rsidRDefault="008265C6" w:rsidP="008265C6">
            <w:pPr>
              <w:ind w:right="-18"/>
              <w:jc w:val="both"/>
              <w:rPr>
                <w:rFonts w:ascii="Sylfaen" w:hAnsi="Sylfaen"/>
                <w:b/>
                <w:lang w:val="ka-GE"/>
              </w:rPr>
            </w:pPr>
          </w:p>
          <w:p w14:paraId="286E580D" w14:textId="77777777" w:rsidR="008265C6" w:rsidRDefault="008265C6" w:rsidP="008265C6">
            <w:pPr>
              <w:ind w:right="-18"/>
              <w:jc w:val="both"/>
              <w:rPr>
                <w:rFonts w:ascii="Sylfaen" w:hAnsi="Sylfaen"/>
                <w:b/>
                <w:lang w:val="ka-GE"/>
              </w:rPr>
            </w:pPr>
          </w:p>
          <w:p w14:paraId="482FBF0D" w14:textId="77777777" w:rsidR="008265C6" w:rsidRDefault="008265C6" w:rsidP="008265C6">
            <w:pPr>
              <w:ind w:right="-18"/>
              <w:jc w:val="both"/>
              <w:rPr>
                <w:rFonts w:ascii="Sylfaen" w:hAnsi="Sylfaen"/>
                <w:b/>
                <w:lang w:val="ka-GE"/>
              </w:rPr>
            </w:pPr>
          </w:p>
          <w:p w14:paraId="6B6C86C2" w14:textId="77777777" w:rsidR="008265C6" w:rsidRDefault="008265C6" w:rsidP="008265C6">
            <w:pPr>
              <w:ind w:right="-18"/>
              <w:jc w:val="both"/>
              <w:rPr>
                <w:rFonts w:ascii="Sylfaen" w:hAnsi="Sylfaen"/>
                <w:b/>
                <w:lang w:val="ka-GE"/>
              </w:rPr>
            </w:pPr>
          </w:p>
          <w:p w14:paraId="172E4BD5" w14:textId="77777777" w:rsidR="008265C6" w:rsidRDefault="008265C6" w:rsidP="008265C6">
            <w:pPr>
              <w:ind w:right="-18"/>
              <w:jc w:val="both"/>
              <w:rPr>
                <w:rFonts w:ascii="Sylfaen" w:hAnsi="Sylfaen"/>
                <w:b/>
                <w:lang w:val="ka-GE"/>
              </w:rPr>
            </w:pPr>
          </w:p>
          <w:p w14:paraId="688317E9" w14:textId="77777777" w:rsidR="008265C6" w:rsidRDefault="008265C6" w:rsidP="008265C6">
            <w:pPr>
              <w:ind w:right="-18"/>
              <w:jc w:val="both"/>
              <w:rPr>
                <w:rFonts w:ascii="Sylfaen" w:hAnsi="Sylfaen"/>
                <w:b/>
                <w:lang w:val="ka-GE"/>
              </w:rPr>
            </w:pPr>
          </w:p>
          <w:p w14:paraId="6B18D131" w14:textId="77777777" w:rsidR="008265C6" w:rsidRDefault="008265C6" w:rsidP="008265C6">
            <w:pPr>
              <w:ind w:right="-18"/>
              <w:jc w:val="both"/>
              <w:rPr>
                <w:rFonts w:ascii="Sylfaen" w:hAnsi="Sylfaen"/>
                <w:b/>
                <w:lang w:val="ka-GE"/>
              </w:rPr>
            </w:pPr>
          </w:p>
          <w:p w14:paraId="4F8847F9" w14:textId="77777777" w:rsidR="008265C6" w:rsidRDefault="008265C6" w:rsidP="008265C6">
            <w:pPr>
              <w:ind w:right="-18"/>
              <w:jc w:val="both"/>
              <w:rPr>
                <w:rFonts w:ascii="Sylfaen" w:hAnsi="Sylfaen"/>
                <w:b/>
                <w:lang w:val="ka-GE"/>
              </w:rPr>
            </w:pPr>
          </w:p>
          <w:p w14:paraId="2992B1DE" w14:textId="77777777" w:rsidR="008265C6" w:rsidRDefault="008265C6" w:rsidP="008265C6">
            <w:pPr>
              <w:ind w:right="-18"/>
              <w:jc w:val="both"/>
              <w:rPr>
                <w:rFonts w:ascii="Sylfaen" w:hAnsi="Sylfaen"/>
                <w:b/>
                <w:lang w:val="ka-GE"/>
              </w:rPr>
            </w:pPr>
          </w:p>
          <w:p w14:paraId="666E2536" w14:textId="77777777" w:rsidR="008265C6" w:rsidRDefault="008265C6" w:rsidP="008265C6">
            <w:pPr>
              <w:ind w:right="-18"/>
              <w:jc w:val="both"/>
              <w:rPr>
                <w:rFonts w:ascii="Sylfaen" w:hAnsi="Sylfaen"/>
                <w:b/>
                <w:lang w:val="ka-GE"/>
              </w:rPr>
            </w:pPr>
          </w:p>
          <w:p w14:paraId="15FF5053" w14:textId="77777777" w:rsidR="008265C6" w:rsidRDefault="008265C6" w:rsidP="008265C6">
            <w:pPr>
              <w:ind w:right="-18"/>
              <w:jc w:val="both"/>
              <w:rPr>
                <w:rFonts w:ascii="Sylfaen" w:hAnsi="Sylfaen"/>
                <w:b/>
                <w:lang w:val="ka-GE"/>
              </w:rPr>
            </w:pPr>
          </w:p>
          <w:p w14:paraId="0CA82D72" w14:textId="77777777" w:rsidR="008265C6" w:rsidRDefault="008265C6" w:rsidP="008265C6">
            <w:pPr>
              <w:ind w:right="-18"/>
              <w:jc w:val="both"/>
              <w:rPr>
                <w:rFonts w:ascii="Sylfaen" w:hAnsi="Sylfaen"/>
                <w:b/>
                <w:lang w:val="ka-GE"/>
              </w:rPr>
            </w:pPr>
          </w:p>
          <w:p w14:paraId="6C1C75A8" w14:textId="77777777" w:rsidR="008265C6" w:rsidRDefault="008265C6" w:rsidP="008265C6">
            <w:pPr>
              <w:ind w:right="-18"/>
              <w:jc w:val="both"/>
              <w:rPr>
                <w:rFonts w:ascii="Sylfaen" w:hAnsi="Sylfaen"/>
                <w:b/>
                <w:lang w:val="ka-GE"/>
              </w:rPr>
            </w:pPr>
          </w:p>
          <w:p w14:paraId="792CC167" w14:textId="77777777" w:rsidR="008265C6" w:rsidRDefault="008265C6" w:rsidP="008265C6">
            <w:pPr>
              <w:ind w:right="-18"/>
              <w:jc w:val="both"/>
              <w:rPr>
                <w:rFonts w:ascii="Sylfaen" w:hAnsi="Sylfaen"/>
                <w:b/>
                <w:lang w:val="ka-GE"/>
              </w:rPr>
            </w:pPr>
          </w:p>
          <w:p w14:paraId="7A0BAB73" w14:textId="2A0A743C" w:rsidR="008265C6" w:rsidRDefault="008265C6" w:rsidP="008265C6">
            <w:pPr>
              <w:ind w:right="-18"/>
              <w:jc w:val="both"/>
              <w:rPr>
                <w:rFonts w:ascii="Sylfaen" w:hAnsi="Sylfaen"/>
                <w:b/>
                <w:lang w:val="ka-GE"/>
              </w:rPr>
            </w:pPr>
          </w:p>
          <w:p w14:paraId="72BEB189" w14:textId="77777777" w:rsidR="008265C6" w:rsidRDefault="008265C6" w:rsidP="008265C6">
            <w:pPr>
              <w:ind w:right="-18"/>
              <w:jc w:val="both"/>
              <w:rPr>
                <w:rFonts w:ascii="Sylfaen" w:hAnsi="Sylfaen"/>
                <w:b/>
                <w:lang w:val="ka-GE"/>
              </w:rPr>
            </w:pPr>
          </w:p>
          <w:p w14:paraId="72753631" w14:textId="1581B2DC" w:rsidR="008265C6" w:rsidRDefault="008265C6" w:rsidP="008265C6">
            <w:pPr>
              <w:ind w:right="-18"/>
              <w:jc w:val="both"/>
              <w:rPr>
                <w:rFonts w:ascii="Sylfaen" w:hAnsi="Sylfaen"/>
                <w:b/>
                <w:lang w:val="ka-GE"/>
              </w:rPr>
            </w:pPr>
          </w:p>
          <w:p w14:paraId="3880BD21" w14:textId="3755D265" w:rsidR="008265C6" w:rsidRPr="008265C6" w:rsidRDefault="008265C6" w:rsidP="008265C6">
            <w:pPr>
              <w:ind w:right="-18"/>
              <w:jc w:val="both"/>
              <w:rPr>
                <w:rFonts w:ascii="Sylfaen" w:hAnsi="Sylfaen"/>
                <w:b/>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FootnoteReference"/>
          <w:rFonts w:ascii="Sylfaen" w:hAnsi="Sylfaen"/>
          <w:color w:val="000000" w:themeColor="text1"/>
          <w:sz w:val="18"/>
          <w:lang w:val="ka-GE"/>
        </w:rPr>
        <w:footnoteReference w:id="21"/>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TableGrid"/>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64B7A49" w:rsidR="008D5E38" w:rsidRDefault="00C372A2"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TableGrid"/>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0707723" w:rsidR="008D5E38" w:rsidRDefault="00C372A2"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TableGrid"/>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504C2A7" w:rsidR="00525704" w:rsidRDefault="00C372A2"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TableGrid"/>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B186167" w:rsidR="00525704" w:rsidRDefault="00C372A2"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TableGrid"/>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5325F48" w:rsidR="00384803" w:rsidRPr="00B93430" w:rsidRDefault="00E03A2F"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TableGrid"/>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B469399" w:rsidR="00A91957" w:rsidRPr="00B93430" w:rsidRDefault="00C372A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82439C4" w:rsidR="00A91957" w:rsidRPr="00B93430" w:rsidRDefault="00F35F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5AC138F" w:rsidR="00DB15E7" w:rsidRDefault="00C372A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66E6C47" w:rsidR="00DB15E7" w:rsidRDefault="00C372A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9653AD7" w:rsidR="00A91957" w:rsidRPr="00B93430" w:rsidRDefault="00C372A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FootnoteReference"/>
          <w:rFonts w:ascii="Sylfaen" w:hAnsi="Sylfaen"/>
          <w:color w:val="5B9BD5" w:themeColor="accent1"/>
          <w:sz w:val="18"/>
          <w:lang w:val="ka-GE"/>
        </w:rPr>
        <w:footnoteReference w:id="22"/>
      </w:r>
    </w:p>
    <w:tbl>
      <w:tblPr>
        <w:tblStyle w:val="TableGrid"/>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C57247E" w14:textId="77777777" w:rsidR="001C7E3E" w:rsidRDefault="00C13B5C" w:rsidP="007D34F4">
            <w:pPr>
              <w:pStyle w:val="ListParagraph"/>
              <w:numPr>
                <w:ilvl w:val="0"/>
                <w:numId w:val="30"/>
              </w:numPr>
              <w:ind w:left="337"/>
              <w:rPr>
                <w:rFonts w:ascii="Sylfaen" w:hAnsi="Sylfaen" w:cs="Sylfaen"/>
                <w:lang w:val="ka-GE"/>
              </w:rPr>
            </w:pPr>
            <w:permStart w:id="1946123131" w:edGrp="everyone"/>
            <w:r>
              <w:rPr>
                <w:rFonts w:ascii="Sylfaen" w:hAnsi="Sylfaen" w:cs="Sylfaen"/>
                <w:lang w:val="ka-GE"/>
              </w:rPr>
              <w:t xml:space="preserve">დანართი 1: </w:t>
            </w:r>
            <w:r w:rsidR="008C4967">
              <w:rPr>
                <w:rFonts w:ascii="Sylfaen" w:hAnsi="Sylfaen" w:cs="Sylfaen"/>
                <w:lang w:val="ka-GE"/>
              </w:rPr>
              <w:t>თბილისის საქალაქო სასამართლოს ადმინისტრაციულ საქმეთა კოლეგიის 2018 წლის 17 დეკემბრის N3/7839-18 განჩინება</w:t>
            </w:r>
            <w:r w:rsidR="00DD3BA9">
              <w:rPr>
                <w:rFonts w:ascii="Sylfaen" w:hAnsi="Sylfaen" w:cs="Sylfaen"/>
                <w:lang w:val="ka-GE"/>
              </w:rPr>
              <w:t>;</w:t>
            </w:r>
          </w:p>
          <w:p w14:paraId="067F2FF5" w14:textId="4620F61C" w:rsidR="001C7E3E" w:rsidRPr="007D34F4" w:rsidRDefault="00DD3BA9" w:rsidP="007D34F4">
            <w:pPr>
              <w:pStyle w:val="ListParagraph"/>
              <w:numPr>
                <w:ilvl w:val="0"/>
                <w:numId w:val="30"/>
              </w:numPr>
              <w:ind w:left="337"/>
              <w:rPr>
                <w:rFonts w:ascii="Sylfaen" w:hAnsi="Sylfaen" w:cs="Sylfaen"/>
                <w:lang w:val="ka-GE"/>
              </w:rPr>
            </w:pPr>
            <w:r>
              <w:rPr>
                <w:rFonts w:ascii="Sylfaen" w:hAnsi="Sylfaen" w:cs="Sylfaen"/>
                <w:lang w:val="ka-GE"/>
              </w:rPr>
              <w:t>დანართი 2: თბილისის სააპელაციო სასამართლოს ადმინისტრაციულ საქმეთა პალატის 2018 წლის 20 დეკემბრის N3ბ/3423-18 განჩინება.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TableGrid"/>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8D438A9" w:rsidR="00960B6D" w:rsidRPr="007D34F4" w:rsidRDefault="00BD3439" w:rsidP="007D34F4">
            <w:pPr>
              <w:pStyle w:val="ListParagraph"/>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სულხან სალაძე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174F403" w:rsidR="00960B6D" w:rsidRPr="007D34F4" w:rsidRDefault="00690EFE" w:rsidP="007D34F4">
            <w:pPr>
              <w:pStyle w:val="ListParagraph"/>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28.04.2020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072934B1" w:rsidR="00960B6D" w:rsidRPr="007D34F4" w:rsidRDefault="00960B6D" w:rsidP="005C5EB3">
            <w:pPr>
              <w:pStyle w:val="ListParagraph"/>
              <w:numPr>
                <w:ilvl w:val="0"/>
                <w:numId w:val="29"/>
              </w:numPr>
              <w:tabs>
                <w:tab w:val="left" w:pos="4860"/>
              </w:tabs>
              <w:ind w:right="-18"/>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6ADCB" w14:textId="77777777" w:rsidR="00D16E3A" w:rsidRDefault="00D16E3A" w:rsidP="008E78F7">
      <w:pPr>
        <w:spacing w:after="0" w:line="240" w:lineRule="auto"/>
      </w:pPr>
      <w:r>
        <w:separator/>
      </w:r>
    </w:p>
  </w:endnote>
  <w:endnote w:type="continuationSeparator" w:id="0">
    <w:p w14:paraId="05609DFE" w14:textId="77777777" w:rsidR="00D16E3A" w:rsidRDefault="00D16E3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688528"/>
      <w:docPartObj>
        <w:docPartGallery w:val="Page Numbers (Bottom of Page)"/>
        <w:docPartUnique/>
      </w:docPartObj>
    </w:sdtPr>
    <w:sdtEndPr>
      <w:rPr>
        <w:noProof/>
      </w:rPr>
    </w:sdtEndPr>
    <w:sdtContent>
      <w:p w14:paraId="37E57B28" w14:textId="4547285B" w:rsidR="00FF6A31" w:rsidRDefault="00FF6A31">
        <w:pPr>
          <w:pStyle w:val="Footer"/>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15458">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FF6A31" w:rsidRDefault="00FF6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F812C" w14:textId="77777777" w:rsidR="00D16E3A" w:rsidRDefault="00D16E3A" w:rsidP="008E78F7">
      <w:pPr>
        <w:spacing w:after="0" w:line="240" w:lineRule="auto"/>
      </w:pPr>
      <w:r>
        <w:separator/>
      </w:r>
    </w:p>
  </w:footnote>
  <w:footnote w:type="continuationSeparator" w:id="0">
    <w:p w14:paraId="60690DB6" w14:textId="77777777" w:rsidR="00D16E3A" w:rsidRDefault="00D16E3A" w:rsidP="008E78F7">
      <w:pPr>
        <w:spacing w:after="0" w:line="240" w:lineRule="auto"/>
      </w:pPr>
      <w:r>
        <w:continuationSeparator/>
      </w:r>
    </w:p>
  </w:footnote>
  <w:footnote w:id="1">
    <w:p w14:paraId="2921EEE9" w14:textId="00E20DE7" w:rsidR="00FF6A31" w:rsidRPr="00F87B48" w:rsidRDefault="00FF6A31"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FF6A31" w:rsidRPr="00F87B48" w:rsidRDefault="00FF6A31"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FF6A31" w:rsidRPr="00F87B48" w:rsidRDefault="00FF6A31"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FF6A31" w:rsidRPr="00F87B48" w:rsidRDefault="00FF6A31"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FF6A31" w:rsidRPr="00F87B48" w:rsidRDefault="00FF6A31"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FF6A31" w:rsidRPr="00F87B48" w:rsidRDefault="00FF6A31"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7CA6A11B" w14:textId="2D49F7F1" w:rsidR="00FF6A31" w:rsidRPr="00A10D9E" w:rsidRDefault="00FF6A31" w:rsidP="009347D8">
      <w:pPr>
        <w:pStyle w:val="FootnoteText"/>
        <w:jc w:val="both"/>
        <w:rPr>
          <w:lang w:val="ka-GE"/>
        </w:rPr>
      </w:pPr>
      <w:r>
        <w:rPr>
          <w:rStyle w:val="FootnoteReference"/>
        </w:rPr>
        <w:footnoteRef/>
      </w:r>
      <w:r w:rsidRPr="00A10D9E">
        <w:rPr>
          <w:lang w:val="ka-GE"/>
        </w:rPr>
        <w:t xml:space="preserve"> </w:t>
      </w:r>
      <w:r w:rsidRPr="009347D8">
        <w:rPr>
          <w:lang w:val="ka-GE"/>
        </w:rPr>
        <w:t>საქართველოს საკონსტიტუციო სასამართლოს 2015 წლის 3 აპრილის №2/2/630 საოქმო ჩანაწერი საქმეზე „საქართველოს მოქალაქე თინა ბეჟიტაშვილი საქართველოს პარლამენტის წინააღმდეგ“, II-4</w:t>
      </w:r>
      <w:r w:rsidRPr="00A10D9E">
        <w:rPr>
          <w:lang w:val="ka-GE"/>
        </w:rPr>
        <w:t>.</w:t>
      </w:r>
    </w:p>
  </w:footnote>
  <w:footnote w:id="8">
    <w:p w14:paraId="0988A4BD" w14:textId="26FBDF97" w:rsidR="00FF6A31" w:rsidRPr="00A10D9E" w:rsidRDefault="00FF6A31" w:rsidP="00C84915">
      <w:pPr>
        <w:pStyle w:val="FootnoteText"/>
        <w:jc w:val="both"/>
        <w:rPr>
          <w:lang w:val="ka-GE"/>
        </w:rPr>
      </w:pPr>
      <w:r>
        <w:rPr>
          <w:rStyle w:val="FootnoteReference"/>
        </w:rPr>
        <w:footnoteRef/>
      </w:r>
      <w:r w:rsidRPr="00A10D9E">
        <w:rPr>
          <w:lang w:val="ka-GE"/>
        </w:rPr>
        <w:t xml:space="preserve"> </w:t>
      </w:r>
      <w:r w:rsidRPr="00C84915">
        <w:rPr>
          <w:lang w:val="ka-GE"/>
        </w:rPr>
        <w:t>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წინააღმდეგ“, II-16</w:t>
      </w:r>
      <w:r w:rsidRPr="00A10D9E">
        <w:rPr>
          <w:lang w:val="ka-GE"/>
        </w:rPr>
        <w:t>.</w:t>
      </w:r>
    </w:p>
  </w:footnote>
  <w:footnote w:id="9">
    <w:p w14:paraId="25E99960" w14:textId="579BBCDF" w:rsidR="00FF6A31" w:rsidRPr="003F3673" w:rsidRDefault="00FF6A31" w:rsidP="003F3673">
      <w:pPr>
        <w:pStyle w:val="FootnoteText"/>
        <w:jc w:val="both"/>
        <w:rPr>
          <w:lang w:val="ka-GE"/>
        </w:rPr>
      </w:pPr>
      <w:r>
        <w:rPr>
          <w:rStyle w:val="FootnoteReference"/>
        </w:rPr>
        <w:footnoteRef/>
      </w:r>
      <w:r w:rsidRPr="00A10D9E">
        <w:rPr>
          <w:lang w:val="ka-GE"/>
        </w:rPr>
        <w:t xml:space="preserve"> </w:t>
      </w:r>
      <w:r w:rsidRPr="003F3673">
        <w:rPr>
          <w:lang w:val="ka-GE"/>
        </w:rPr>
        <w:t>საქართველოს საკონსტიტუციო სასამართლოს 2017 წლის 28 დეკემბრის №2/8/734 გადაწყვეტილება საქმეზე „ააიპ „ფრემა“ საქართველოს პარლამენტის წინააღმდეგ“, II-20</w:t>
      </w:r>
    </w:p>
  </w:footnote>
  <w:footnote w:id="10">
    <w:p w14:paraId="17EBB046" w14:textId="11E04DE6" w:rsidR="00FF6A31" w:rsidRPr="00A10D9E" w:rsidRDefault="00FF6A31" w:rsidP="001F1EEC">
      <w:pPr>
        <w:pStyle w:val="FootnoteText"/>
        <w:jc w:val="both"/>
        <w:rPr>
          <w:lang w:val="ka-GE"/>
        </w:rPr>
      </w:pPr>
      <w:r>
        <w:rPr>
          <w:rStyle w:val="FootnoteReference"/>
        </w:rPr>
        <w:footnoteRef/>
      </w:r>
      <w:r w:rsidRPr="00A10D9E">
        <w:rPr>
          <w:lang w:val="ka-GE"/>
        </w:rPr>
        <w:t xml:space="preserve"> </w:t>
      </w:r>
      <w:r w:rsidRPr="001F1EEC">
        <w:rPr>
          <w:lang w:val="ka-GE"/>
        </w:rPr>
        <w:t>საქართველოს საკონსტიტუციო სასამართლოს 2014 წლის 23 მაისის №3/1/574 გადაწყვეტილება საქმეზე „საქართველოს მოქალაქე გიორგი უგულავა საქართველოს პარლამენტის წინააღმდეგ“, II-69</w:t>
      </w:r>
    </w:p>
  </w:footnote>
  <w:footnote w:id="11">
    <w:p w14:paraId="3D244F42" w14:textId="3C93B9DB" w:rsidR="00FF6A31" w:rsidRPr="002E1C93" w:rsidRDefault="00FF6A31" w:rsidP="00921D1C">
      <w:pPr>
        <w:pStyle w:val="FootnoteText"/>
        <w:jc w:val="both"/>
        <w:rPr>
          <w:rFonts w:ascii="Sylfaen" w:hAnsi="Sylfaen"/>
          <w:lang w:val="ka-GE"/>
        </w:rPr>
      </w:pPr>
      <w:r w:rsidRPr="00921D1C">
        <w:rPr>
          <w:rStyle w:val="FootnoteReference"/>
          <w:lang w:val="ka-GE"/>
        </w:rPr>
        <w:footnoteRef/>
      </w:r>
      <w:r w:rsidRPr="00921D1C">
        <w:rPr>
          <w:lang w:val="ka-GE"/>
        </w:rPr>
        <w:t xml:space="preserve"> </w:t>
      </w:r>
      <w:r w:rsidRPr="002E1C93">
        <w:rPr>
          <w:rFonts w:ascii="Sylfaen" w:hAnsi="Sylfaen"/>
          <w:lang w:val="ka-GE"/>
        </w:rPr>
        <w:t>საქართველოს საკონსტიტუციო სასამართლოს 2017 წლის 17 მაისის N3/3/600 გადაწყვეტილება საქმეზე „საქართველოს მოქალაქე კახა კუკავა საქართველოს პარლამენტის წინააღმდეგ“, II-48.</w:t>
      </w:r>
    </w:p>
  </w:footnote>
  <w:footnote w:id="12">
    <w:p w14:paraId="25A1CEF7" w14:textId="4CEEA107" w:rsidR="00FF6A31" w:rsidRPr="002E1C93" w:rsidRDefault="00FF6A31" w:rsidP="002E1C93">
      <w:pPr>
        <w:pStyle w:val="FootnoteText"/>
        <w:jc w:val="both"/>
        <w:rPr>
          <w:rFonts w:ascii="Sylfaen" w:hAnsi="Sylfaen"/>
          <w:lang w:val="ka-GE"/>
        </w:rPr>
      </w:pPr>
      <w:r w:rsidRPr="002E1C93">
        <w:rPr>
          <w:rStyle w:val="FootnoteReference"/>
          <w:rFonts w:ascii="Sylfaen" w:hAnsi="Sylfaen"/>
        </w:rPr>
        <w:footnoteRef/>
      </w:r>
      <w:r w:rsidRPr="000A43A6">
        <w:rPr>
          <w:rFonts w:ascii="Sylfaen" w:hAnsi="Sylfaen"/>
          <w:lang w:val="ka-GE"/>
        </w:rPr>
        <w:t xml:space="preserve"> </w:t>
      </w:r>
      <w:r w:rsidRPr="002E1C93">
        <w:rPr>
          <w:rFonts w:ascii="Sylfaen" w:hAnsi="Sylfaen"/>
          <w:lang w:val="ka-GE"/>
        </w:rPr>
        <w:t>საქართველოს საკონსტიტუციო სასამართლოს 2008 წლის 19 დეკემბრის N1/2/411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II-30.</w:t>
      </w:r>
    </w:p>
  </w:footnote>
  <w:footnote w:id="13">
    <w:p w14:paraId="187F1BE4" w14:textId="35736D99" w:rsidR="00FF6A31" w:rsidRPr="007E06B9" w:rsidRDefault="00FF6A31">
      <w:pPr>
        <w:pStyle w:val="FootnoteText"/>
        <w:rPr>
          <w:rFonts w:ascii="Sylfaen" w:hAnsi="Sylfaen"/>
          <w:lang w:val="ka-GE"/>
        </w:rPr>
      </w:pPr>
      <w:r w:rsidRPr="002E1C93">
        <w:rPr>
          <w:rStyle w:val="FootnoteReference"/>
          <w:rFonts w:ascii="Sylfaen" w:hAnsi="Sylfaen"/>
        </w:rPr>
        <w:footnoteRef/>
      </w:r>
      <w:r w:rsidRPr="000A43A6">
        <w:rPr>
          <w:rFonts w:ascii="Sylfaen" w:hAnsi="Sylfaen"/>
          <w:lang w:val="ka-GE"/>
        </w:rPr>
        <w:t xml:space="preserve"> </w:t>
      </w:r>
      <w:r w:rsidRPr="002E1C93">
        <w:rPr>
          <w:rFonts w:ascii="Sylfaen" w:hAnsi="Sylfaen"/>
          <w:lang w:val="ka-GE"/>
        </w:rPr>
        <w:t>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p>
  </w:footnote>
  <w:footnote w:id="14">
    <w:p w14:paraId="6944E53C" w14:textId="0A931C8B" w:rsidR="00FF6A31" w:rsidRPr="0084580D" w:rsidRDefault="00FF6A31">
      <w:pPr>
        <w:pStyle w:val="FootnoteText"/>
        <w:rPr>
          <w:lang w:val="ka-GE"/>
        </w:rPr>
      </w:pPr>
      <w:r>
        <w:rPr>
          <w:rStyle w:val="FootnoteReference"/>
        </w:rPr>
        <w:footnoteRef/>
      </w:r>
      <w:r w:rsidRPr="0084580D">
        <w:rPr>
          <w:lang w:val="ka-GE"/>
        </w:rPr>
        <w:t xml:space="preserve"> Richard H. Pildes, Elections, The oxford handbook of comparative constitutional law, 2012, 473.</w:t>
      </w:r>
    </w:p>
  </w:footnote>
  <w:footnote w:id="15">
    <w:p w14:paraId="52592E44" w14:textId="0E752CD1" w:rsidR="00FF6A31" w:rsidRPr="00C35C52" w:rsidRDefault="00FF6A31" w:rsidP="009836E2">
      <w:pPr>
        <w:pStyle w:val="FootnoteText"/>
        <w:jc w:val="both"/>
        <w:rPr>
          <w:lang w:val="ka-GE"/>
        </w:rPr>
      </w:pPr>
      <w:r>
        <w:rPr>
          <w:rStyle w:val="FootnoteReference"/>
        </w:rPr>
        <w:footnoteRef/>
      </w:r>
      <w:r w:rsidRPr="000A43A6">
        <w:rPr>
          <w:lang w:val="ka-GE"/>
        </w:rPr>
        <w:t xml:space="preserve"> Code of good</w:t>
      </w:r>
      <w:r>
        <w:rPr>
          <w:lang w:val="ka-GE"/>
        </w:rPr>
        <w:t xml:space="preserve"> practice in electoral matters, </w:t>
      </w:r>
      <w:r w:rsidRPr="00C35C52">
        <w:rPr>
          <w:lang w:val="ka-GE"/>
        </w:rPr>
        <w:t>European commission for democracy through law, adopted by the venice commission at its 52</w:t>
      </w:r>
      <w:r w:rsidRPr="00C35C52">
        <w:rPr>
          <w:vertAlign w:val="superscript"/>
          <w:lang w:val="ka-GE"/>
        </w:rPr>
        <w:t>nd</w:t>
      </w:r>
      <w:r w:rsidRPr="00C35C52">
        <w:rPr>
          <w:lang w:val="ka-GE"/>
        </w:rPr>
        <w:t xml:space="preserve"> session(venice, 18-19 October 2002), 5. </w:t>
      </w:r>
    </w:p>
  </w:footnote>
  <w:footnote w:id="16">
    <w:p w14:paraId="5F42B635" w14:textId="679660FE" w:rsidR="00FF6A31" w:rsidRPr="001F1FCE" w:rsidRDefault="00FF6A31" w:rsidP="00FC6360">
      <w:pPr>
        <w:pStyle w:val="FootnoteText"/>
        <w:jc w:val="both"/>
        <w:rPr>
          <w:rFonts w:ascii="Sylfaen" w:hAnsi="Sylfaen"/>
          <w:lang w:val="ka-GE"/>
        </w:rPr>
      </w:pPr>
      <w:r w:rsidRPr="00FC6360">
        <w:rPr>
          <w:rStyle w:val="FootnoteReference"/>
          <w:rFonts w:ascii="Sylfaen" w:hAnsi="Sylfaen"/>
        </w:rPr>
        <w:footnoteRef/>
      </w:r>
      <w:r w:rsidRPr="001F1FCE">
        <w:rPr>
          <w:rFonts w:ascii="Sylfaen" w:hAnsi="Sylfaen"/>
          <w:lang w:val="ka-GE"/>
        </w:rPr>
        <w:t xml:space="preserve"> საქართველოს საკონსტიტუციო სასამართლოს 2010 წლის 28 ივნისის №1/466 გადაწყვეტილება საქმეზე „საქართველოს სახალხო დამცველი საქართველოს პარლამენტის წინააღმდეგ“, II-14.</w:t>
      </w:r>
    </w:p>
  </w:footnote>
  <w:footnote w:id="17">
    <w:p w14:paraId="28625B09" w14:textId="6D3C0CF0" w:rsidR="00FB226C" w:rsidRPr="00FB226C" w:rsidRDefault="00FB226C">
      <w:pPr>
        <w:pStyle w:val="FootnoteText"/>
      </w:pPr>
      <w:r>
        <w:rPr>
          <w:rStyle w:val="FootnoteReference"/>
        </w:rPr>
        <w:footnoteRef/>
      </w:r>
      <w:r>
        <w:t xml:space="preserve"> </w:t>
      </w:r>
      <w:r w:rsidRPr="00FB226C">
        <w:rPr>
          <w:lang w:val="ka-GE"/>
        </w:rPr>
        <w:t>Code of good practice in electoral matters, European commission for democracy through law, adopted by the venice commission at its 52</w:t>
      </w:r>
      <w:r w:rsidRPr="00FB226C">
        <w:rPr>
          <w:vertAlign w:val="superscript"/>
          <w:lang w:val="ka-GE"/>
        </w:rPr>
        <w:t>nd</w:t>
      </w:r>
      <w:r w:rsidRPr="00FB226C">
        <w:rPr>
          <w:lang w:val="ka-GE"/>
        </w:rPr>
        <w:t xml:space="preserve"> session(venice, 18-19 October 2002),</w:t>
      </w:r>
      <w:r>
        <w:rPr>
          <w:lang w:val="ka-GE"/>
        </w:rPr>
        <w:t xml:space="preserve"> </w:t>
      </w:r>
      <w:r>
        <w:t xml:space="preserve">subparagraph a of paragraph 3.3. page 11 </w:t>
      </w:r>
      <w:hyperlink r:id="rId1" w:history="1">
        <w:r w:rsidRPr="002555DD">
          <w:rPr>
            <w:rStyle w:val="Hyperlink"/>
          </w:rPr>
          <w:t>https://www.venice.coe.int/webforms/documents/default.aspx?pdffile=CDL-AD(2002)023rev2-cor-e</w:t>
        </w:r>
      </w:hyperlink>
      <w:r>
        <w:t xml:space="preserve"> </w:t>
      </w:r>
    </w:p>
  </w:footnote>
  <w:footnote w:id="18">
    <w:p w14:paraId="575833A4" w14:textId="66A117FD" w:rsidR="00FF6A31" w:rsidRPr="00DF3AEC" w:rsidRDefault="00FF6A31" w:rsidP="00101433">
      <w:pPr>
        <w:autoSpaceDE w:val="0"/>
        <w:autoSpaceDN w:val="0"/>
        <w:adjustRightInd w:val="0"/>
        <w:spacing w:after="0" w:line="240" w:lineRule="auto"/>
        <w:rPr>
          <w:rFonts w:ascii="Times New Roman" w:hAnsi="Times New Roman" w:cs="Times New Roman"/>
          <w:sz w:val="20"/>
          <w:szCs w:val="20"/>
          <w:lang w:val="ka-GE"/>
        </w:rPr>
      </w:pPr>
      <w:r w:rsidRPr="0042039F">
        <w:rPr>
          <w:rStyle w:val="FootnoteReference"/>
          <w:sz w:val="20"/>
          <w:szCs w:val="20"/>
        </w:rPr>
        <w:footnoteRef/>
      </w:r>
      <w:r w:rsidRPr="0042039F">
        <w:rPr>
          <w:sz w:val="20"/>
          <w:szCs w:val="20"/>
          <w:lang w:val="ka-GE"/>
        </w:rPr>
        <w:t xml:space="preserve"> OSCE, Guidelines for Reviewing a Legal Framework for Elections, </w:t>
      </w:r>
      <w:r w:rsidRPr="00DF3AEC">
        <w:rPr>
          <w:sz w:val="20"/>
          <w:szCs w:val="20"/>
          <w:lang w:val="ka-GE"/>
        </w:rPr>
        <w:t xml:space="preserve">Warsaw, January 2001, available at: </w:t>
      </w:r>
      <w:hyperlink r:id="rId2" w:history="1">
        <w:r w:rsidRPr="00DF3AEC">
          <w:rPr>
            <w:rStyle w:val="Hyperlink"/>
            <w:rFonts w:ascii="Calibri" w:hAnsi="Calibri" w:cs="Calibri"/>
            <w:sz w:val="20"/>
            <w:szCs w:val="20"/>
            <w:lang w:val="ka-GE"/>
          </w:rPr>
          <w:t>https://www.osce.org/odihr/elections/17579?download=true</w:t>
        </w:r>
      </w:hyperlink>
      <w:r w:rsidRPr="00DF3AEC">
        <w:rPr>
          <w:rFonts w:ascii="Calibri" w:hAnsi="Calibri" w:cs="Calibri"/>
          <w:color w:val="0563C1"/>
          <w:sz w:val="20"/>
          <w:szCs w:val="20"/>
          <w:lang w:val="ka-GE"/>
        </w:rPr>
        <w:t xml:space="preserve"> [2/29/20]</w:t>
      </w:r>
    </w:p>
  </w:footnote>
  <w:footnote w:id="19">
    <w:p w14:paraId="28AD13DD" w14:textId="03FB3609" w:rsidR="00C04958" w:rsidRPr="00C04958" w:rsidRDefault="00C04958">
      <w:pPr>
        <w:pStyle w:val="FootnoteText"/>
        <w:rPr>
          <w:lang w:val="ka-GE"/>
        </w:rPr>
      </w:pPr>
      <w:r>
        <w:rPr>
          <w:rStyle w:val="FootnoteReference"/>
        </w:rPr>
        <w:footnoteRef/>
      </w:r>
      <w:hyperlink r:id="rId3" w:history="1">
        <w:r w:rsidRPr="002555DD">
          <w:rPr>
            <w:rStyle w:val="Hyperlink"/>
            <w:lang w:val="ka-GE"/>
          </w:rPr>
          <w:t>https://www.venice.coe.int/webforms/documents/default.aspx?pdffile=CDL-AD(2002)023rev2-cor-e</w:t>
        </w:r>
      </w:hyperlink>
      <w:r>
        <w:rPr>
          <w:lang w:val="ka-GE"/>
        </w:rPr>
        <w:t xml:space="preserve"> </w:t>
      </w:r>
      <w:r w:rsidRPr="00C04958">
        <w:rPr>
          <w:lang w:val="ka-GE"/>
        </w:rPr>
        <w:t xml:space="preserve"> </w:t>
      </w:r>
      <w:r>
        <w:rPr>
          <w:lang w:val="ka-GE"/>
        </w:rPr>
        <w:t xml:space="preserve">გვერდი 11 </w:t>
      </w:r>
    </w:p>
  </w:footnote>
  <w:footnote w:id="20">
    <w:p w14:paraId="6CE465F0" w14:textId="0575DAEF" w:rsidR="00FF6A31" w:rsidRPr="00C04958" w:rsidRDefault="00FF6A31" w:rsidP="00135101">
      <w:pPr>
        <w:pStyle w:val="FootnoteText"/>
        <w:jc w:val="both"/>
        <w:rPr>
          <w:lang w:val="ka-GE"/>
        </w:rPr>
      </w:pPr>
      <w:r w:rsidRPr="0042039F">
        <w:rPr>
          <w:rStyle w:val="FootnoteReference"/>
        </w:rPr>
        <w:footnoteRef/>
      </w:r>
      <w:r w:rsidRPr="00C04958">
        <w:rPr>
          <w:lang w:val="ka-GE"/>
        </w:rPr>
        <w:t xml:space="preserve"> Georgia Presidential Election, 28 October and 28 November 2018</w:t>
      </w:r>
      <w:r w:rsidRPr="0042039F">
        <w:rPr>
          <w:lang w:val="ka-GE"/>
        </w:rPr>
        <w:t xml:space="preserve"> </w:t>
      </w:r>
      <w:r w:rsidRPr="00C04958">
        <w:rPr>
          <w:lang w:val="ka-GE"/>
        </w:rPr>
        <w:t>ODIHR Election Observation Mission Final Report</w:t>
      </w:r>
      <w:r w:rsidRPr="0042039F">
        <w:rPr>
          <w:lang w:val="ka-GE"/>
        </w:rPr>
        <w:t xml:space="preserve">., 22. </w:t>
      </w:r>
      <w:r w:rsidRPr="00C04958">
        <w:rPr>
          <w:lang w:val="ka-GE"/>
        </w:rPr>
        <w:t xml:space="preserve">Available at: </w:t>
      </w:r>
      <w:hyperlink r:id="rId4" w:history="1">
        <w:r w:rsidRPr="00C04958">
          <w:rPr>
            <w:rStyle w:val="Hyperlink"/>
            <w:lang w:val="ka-GE"/>
          </w:rPr>
          <w:t>https://www.osce.org/odihr/elections/georgia/412724</w:t>
        </w:r>
      </w:hyperlink>
      <w:r w:rsidRPr="00C04958">
        <w:rPr>
          <w:lang w:val="ka-GE"/>
        </w:rPr>
        <w:t xml:space="preserve"> [2/29/20].</w:t>
      </w:r>
    </w:p>
  </w:footnote>
  <w:footnote w:id="21">
    <w:p w14:paraId="4E8F0F0B" w14:textId="41772535" w:rsidR="00FF6A31" w:rsidRPr="00F87B48" w:rsidRDefault="00FF6A31"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22">
    <w:p w14:paraId="61410A49" w14:textId="77777777" w:rsidR="00FF6A31" w:rsidRPr="00F87B48" w:rsidRDefault="00FF6A31" w:rsidP="00F87B48">
      <w:pPr>
        <w:pStyle w:val="FootnoteText"/>
        <w:ind w:left="-720" w:right="-720"/>
        <w:jc w:val="both"/>
        <w:rPr>
          <w:rFonts w:ascii="Sylfaen" w:hAnsi="Sylfaen"/>
          <w:sz w:val="18"/>
          <w:szCs w:val="18"/>
          <w:lang w:val="ka-GE"/>
        </w:rPr>
      </w:pPr>
      <w:r w:rsidRPr="00F87B48">
        <w:rPr>
          <w:rStyle w:val="FootnoteReference"/>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23DCA"/>
    <w:multiLevelType w:val="multilevel"/>
    <w:tmpl w:val="AEC2C9F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3"/>
  </w:num>
  <w:num w:numId="23">
    <w:abstractNumId w:val="0"/>
  </w:num>
  <w:num w:numId="24">
    <w:abstractNumId w:val="27"/>
  </w:num>
  <w:num w:numId="25">
    <w:abstractNumId w:val="17"/>
  </w:num>
  <w:num w:numId="26">
    <w:abstractNumId w:val="22"/>
  </w:num>
  <w:num w:numId="27">
    <w:abstractNumId w:val="24"/>
  </w:num>
  <w:num w:numId="28">
    <w:abstractNumId w:val="12"/>
  </w:num>
  <w:num w:numId="29">
    <w:abstractNumId w:val="5"/>
  </w:num>
  <w:num w:numId="30">
    <w:abstractNumId w:val="7"/>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BF"/>
    <w:rsid w:val="00003B34"/>
    <w:rsid w:val="00007079"/>
    <w:rsid w:val="00024217"/>
    <w:rsid w:val="00046DDA"/>
    <w:rsid w:val="00047385"/>
    <w:rsid w:val="00050862"/>
    <w:rsid w:val="00054F9D"/>
    <w:rsid w:val="00056A42"/>
    <w:rsid w:val="0006620A"/>
    <w:rsid w:val="00067D86"/>
    <w:rsid w:val="000810E7"/>
    <w:rsid w:val="00090C14"/>
    <w:rsid w:val="0009109C"/>
    <w:rsid w:val="00097D4D"/>
    <w:rsid w:val="000A43A6"/>
    <w:rsid w:val="000A4686"/>
    <w:rsid w:val="000A47F8"/>
    <w:rsid w:val="000B0491"/>
    <w:rsid w:val="000C4E42"/>
    <w:rsid w:val="000D40EC"/>
    <w:rsid w:val="000D73CD"/>
    <w:rsid w:val="000E040F"/>
    <w:rsid w:val="000E2D2B"/>
    <w:rsid w:val="000E49D2"/>
    <w:rsid w:val="000F157C"/>
    <w:rsid w:val="00101433"/>
    <w:rsid w:val="00101A9F"/>
    <w:rsid w:val="0012673F"/>
    <w:rsid w:val="0012747D"/>
    <w:rsid w:val="00131AD3"/>
    <w:rsid w:val="00133ECC"/>
    <w:rsid w:val="00135101"/>
    <w:rsid w:val="00140D1A"/>
    <w:rsid w:val="001423C9"/>
    <w:rsid w:val="00144FCF"/>
    <w:rsid w:val="00151B9B"/>
    <w:rsid w:val="00157ED7"/>
    <w:rsid w:val="001663D7"/>
    <w:rsid w:val="00167B66"/>
    <w:rsid w:val="001858D6"/>
    <w:rsid w:val="00190980"/>
    <w:rsid w:val="00192ACB"/>
    <w:rsid w:val="001935C7"/>
    <w:rsid w:val="001971E0"/>
    <w:rsid w:val="001A2BE2"/>
    <w:rsid w:val="001A621D"/>
    <w:rsid w:val="001A7A9A"/>
    <w:rsid w:val="001B3DAB"/>
    <w:rsid w:val="001B66E0"/>
    <w:rsid w:val="001C49A6"/>
    <w:rsid w:val="001C4F60"/>
    <w:rsid w:val="001C7E3E"/>
    <w:rsid w:val="001E3F19"/>
    <w:rsid w:val="001E5828"/>
    <w:rsid w:val="001E6039"/>
    <w:rsid w:val="001F0428"/>
    <w:rsid w:val="001F1EEC"/>
    <w:rsid w:val="001F1FCE"/>
    <w:rsid w:val="001F5375"/>
    <w:rsid w:val="001F609E"/>
    <w:rsid w:val="0022123A"/>
    <w:rsid w:val="00230F8F"/>
    <w:rsid w:val="00232C1C"/>
    <w:rsid w:val="0024723D"/>
    <w:rsid w:val="00250B85"/>
    <w:rsid w:val="0026217F"/>
    <w:rsid w:val="00285E59"/>
    <w:rsid w:val="00286A29"/>
    <w:rsid w:val="002A0BF4"/>
    <w:rsid w:val="002A2CD9"/>
    <w:rsid w:val="002B044B"/>
    <w:rsid w:val="002B58D8"/>
    <w:rsid w:val="002B59CC"/>
    <w:rsid w:val="002C7903"/>
    <w:rsid w:val="002D2B78"/>
    <w:rsid w:val="002D2CCE"/>
    <w:rsid w:val="002D7CE0"/>
    <w:rsid w:val="002E1934"/>
    <w:rsid w:val="002E1C93"/>
    <w:rsid w:val="002F127B"/>
    <w:rsid w:val="002F329C"/>
    <w:rsid w:val="00302226"/>
    <w:rsid w:val="0030536C"/>
    <w:rsid w:val="00314677"/>
    <w:rsid w:val="00322A6E"/>
    <w:rsid w:val="00332D59"/>
    <w:rsid w:val="00336A11"/>
    <w:rsid w:val="0034265A"/>
    <w:rsid w:val="003612C6"/>
    <w:rsid w:val="00362C7A"/>
    <w:rsid w:val="00367FE1"/>
    <w:rsid w:val="00370D6F"/>
    <w:rsid w:val="00375E76"/>
    <w:rsid w:val="00384803"/>
    <w:rsid w:val="00394401"/>
    <w:rsid w:val="003A7E27"/>
    <w:rsid w:val="003B70A2"/>
    <w:rsid w:val="003C1E15"/>
    <w:rsid w:val="003C2B62"/>
    <w:rsid w:val="003D7B85"/>
    <w:rsid w:val="003E44A8"/>
    <w:rsid w:val="003E53A4"/>
    <w:rsid w:val="003F3673"/>
    <w:rsid w:val="00412528"/>
    <w:rsid w:val="0042039F"/>
    <w:rsid w:val="004304A3"/>
    <w:rsid w:val="00433931"/>
    <w:rsid w:val="00433B73"/>
    <w:rsid w:val="00435FCC"/>
    <w:rsid w:val="00442530"/>
    <w:rsid w:val="004513F9"/>
    <w:rsid w:val="00451F38"/>
    <w:rsid w:val="0045492F"/>
    <w:rsid w:val="00454EB6"/>
    <w:rsid w:val="00455945"/>
    <w:rsid w:val="00472EAC"/>
    <w:rsid w:val="00474A54"/>
    <w:rsid w:val="00480241"/>
    <w:rsid w:val="00492D82"/>
    <w:rsid w:val="00496B05"/>
    <w:rsid w:val="004B1E1F"/>
    <w:rsid w:val="004B599A"/>
    <w:rsid w:val="004C04CF"/>
    <w:rsid w:val="004C236A"/>
    <w:rsid w:val="004D5366"/>
    <w:rsid w:val="004D5D19"/>
    <w:rsid w:val="004E3C60"/>
    <w:rsid w:val="004E419E"/>
    <w:rsid w:val="004F118B"/>
    <w:rsid w:val="004F1BD3"/>
    <w:rsid w:val="004F21BA"/>
    <w:rsid w:val="004F5EFD"/>
    <w:rsid w:val="004F7EDA"/>
    <w:rsid w:val="00511FEA"/>
    <w:rsid w:val="00513152"/>
    <w:rsid w:val="0051700A"/>
    <w:rsid w:val="005175C6"/>
    <w:rsid w:val="0052060E"/>
    <w:rsid w:val="00525704"/>
    <w:rsid w:val="00530010"/>
    <w:rsid w:val="005330B3"/>
    <w:rsid w:val="0054167F"/>
    <w:rsid w:val="00544C42"/>
    <w:rsid w:val="00547FE4"/>
    <w:rsid w:val="00550B75"/>
    <w:rsid w:val="0056409D"/>
    <w:rsid w:val="00565CFD"/>
    <w:rsid w:val="00566800"/>
    <w:rsid w:val="005670A2"/>
    <w:rsid w:val="005828ED"/>
    <w:rsid w:val="005918F2"/>
    <w:rsid w:val="005A0F8B"/>
    <w:rsid w:val="005C0765"/>
    <w:rsid w:val="005C3F16"/>
    <w:rsid w:val="005C5EB3"/>
    <w:rsid w:val="005C7A3B"/>
    <w:rsid w:val="005D01DE"/>
    <w:rsid w:val="005D11C7"/>
    <w:rsid w:val="005D77D9"/>
    <w:rsid w:val="005E6511"/>
    <w:rsid w:val="005F1BE6"/>
    <w:rsid w:val="005F2099"/>
    <w:rsid w:val="005F7FBF"/>
    <w:rsid w:val="00605BDB"/>
    <w:rsid w:val="00610B49"/>
    <w:rsid w:val="006215B3"/>
    <w:rsid w:val="00625F6F"/>
    <w:rsid w:val="00633541"/>
    <w:rsid w:val="00635558"/>
    <w:rsid w:val="006421B3"/>
    <w:rsid w:val="00643DE3"/>
    <w:rsid w:val="00650F92"/>
    <w:rsid w:val="006820C9"/>
    <w:rsid w:val="0068635A"/>
    <w:rsid w:val="00690EFE"/>
    <w:rsid w:val="00693938"/>
    <w:rsid w:val="00693A30"/>
    <w:rsid w:val="006940BF"/>
    <w:rsid w:val="006A5B37"/>
    <w:rsid w:val="006B279E"/>
    <w:rsid w:val="006B4D7B"/>
    <w:rsid w:val="006B70C0"/>
    <w:rsid w:val="006C0CEA"/>
    <w:rsid w:val="006C29EF"/>
    <w:rsid w:val="006C2A95"/>
    <w:rsid w:val="006C2E72"/>
    <w:rsid w:val="006D14E6"/>
    <w:rsid w:val="006F0208"/>
    <w:rsid w:val="00705A8B"/>
    <w:rsid w:val="007117B5"/>
    <w:rsid w:val="00731D16"/>
    <w:rsid w:val="007370C2"/>
    <w:rsid w:val="00756A0A"/>
    <w:rsid w:val="00761537"/>
    <w:rsid w:val="00777730"/>
    <w:rsid w:val="007806D5"/>
    <w:rsid w:val="00786E1E"/>
    <w:rsid w:val="00787111"/>
    <w:rsid w:val="00787902"/>
    <w:rsid w:val="00792535"/>
    <w:rsid w:val="0079678B"/>
    <w:rsid w:val="007A0648"/>
    <w:rsid w:val="007A44ED"/>
    <w:rsid w:val="007C3803"/>
    <w:rsid w:val="007C4972"/>
    <w:rsid w:val="007D34F4"/>
    <w:rsid w:val="007E06B9"/>
    <w:rsid w:val="007E4281"/>
    <w:rsid w:val="007E779F"/>
    <w:rsid w:val="007F103D"/>
    <w:rsid w:val="007F449B"/>
    <w:rsid w:val="0080020C"/>
    <w:rsid w:val="00805488"/>
    <w:rsid w:val="00821B17"/>
    <w:rsid w:val="008265C6"/>
    <w:rsid w:val="0082782D"/>
    <w:rsid w:val="00830BE5"/>
    <w:rsid w:val="0084580D"/>
    <w:rsid w:val="0085277F"/>
    <w:rsid w:val="0085640A"/>
    <w:rsid w:val="00856D43"/>
    <w:rsid w:val="00866E8F"/>
    <w:rsid w:val="00871DC9"/>
    <w:rsid w:val="008801A4"/>
    <w:rsid w:val="008914D1"/>
    <w:rsid w:val="008938DF"/>
    <w:rsid w:val="008A68C1"/>
    <w:rsid w:val="008B5F1A"/>
    <w:rsid w:val="008C1D50"/>
    <w:rsid w:val="008C1F38"/>
    <w:rsid w:val="008C4967"/>
    <w:rsid w:val="008C5EDA"/>
    <w:rsid w:val="008D5E38"/>
    <w:rsid w:val="008D7F5D"/>
    <w:rsid w:val="008E4141"/>
    <w:rsid w:val="008E78F7"/>
    <w:rsid w:val="00903F3B"/>
    <w:rsid w:val="009129DE"/>
    <w:rsid w:val="00921D1C"/>
    <w:rsid w:val="009317FC"/>
    <w:rsid w:val="00933ECD"/>
    <w:rsid w:val="009347D8"/>
    <w:rsid w:val="00937649"/>
    <w:rsid w:val="00940604"/>
    <w:rsid w:val="0095002B"/>
    <w:rsid w:val="00950BEF"/>
    <w:rsid w:val="009560E3"/>
    <w:rsid w:val="00960B6D"/>
    <w:rsid w:val="00962BBF"/>
    <w:rsid w:val="009660FF"/>
    <w:rsid w:val="009662D7"/>
    <w:rsid w:val="00970A69"/>
    <w:rsid w:val="0098063A"/>
    <w:rsid w:val="009827F2"/>
    <w:rsid w:val="00982EBF"/>
    <w:rsid w:val="009836E2"/>
    <w:rsid w:val="00983F1B"/>
    <w:rsid w:val="00987508"/>
    <w:rsid w:val="009A2849"/>
    <w:rsid w:val="009B1585"/>
    <w:rsid w:val="009B6EA0"/>
    <w:rsid w:val="009C34C4"/>
    <w:rsid w:val="009D2047"/>
    <w:rsid w:val="009D2D3A"/>
    <w:rsid w:val="009E0712"/>
    <w:rsid w:val="009E4D1E"/>
    <w:rsid w:val="009E7FE7"/>
    <w:rsid w:val="00A0736E"/>
    <w:rsid w:val="00A07D0D"/>
    <w:rsid w:val="00A10D9E"/>
    <w:rsid w:val="00A17E5A"/>
    <w:rsid w:val="00A20A20"/>
    <w:rsid w:val="00A2210B"/>
    <w:rsid w:val="00A22D2E"/>
    <w:rsid w:val="00A24B86"/>
    <w:rsid w:val="00A33783"/>
    <w:rsid w:val="00A52DEE"/>
    <w:rsid w:val="00A5617B"/>
    <w:rsid w:val="00A575A2"/>
    <w:rsid w:val="00A70101"/>
    <w:rsid w:val="00A80873"/>
    <w:rsid w:val="00A83662"/>
    <w:rsid w:val="00A8482A"/>
    <w:rsid w:val="00A91957"/>
    <w:rsid w:val="00A95E65"/>
    <w:rsid w:val="00AA01A8"/>
    <w:rsid w:val="00AB290D"/>
    <w:rsid w:val="00AB44B3"/>
    <w:rsid w:val="00AB7FB5"/>
    <w:rsid w:val="00AD416E"/>
    <w:rsid w:val="00AD4F4A"/>
    <w:rsid w:val="00AD51EE"/>
    <w:rsid w:val="00AE16E2"/>
    <w:rsid w:val="00AF0F6E"/>
    <w:rsid w:val="00AF2489"/>
    <w:rsid w:val="00AF72B9"/>
    <w:rsid w:val="00AF7A92"/>
    <w:rsid w:val="00B06246"/>
    <w:rsid w:val="00B12AFC"/>
    <w:rsid w:val="00B20910"/>
    <w:rsid w:val="00B239BC"/>
    <w:rsid w:val="00B32C5F"/>
    <w:rsid w:val="00B33CA8"/>
    <w:rsid w:val="00B353C2"/>
    <w:rsid w:val="00B3548B"/>
    <w:rsid w:val="00B425BA"/>
    <w:rsid w:val="00B43CB7"/>
    <w:rsid w:val="00B464F2"/>
    <w:rsid w:val="00B51BCB"/>
    <w:rsid w:val="00B53D17"/>
    <w:rsid w:val="00B57A83"/>
    <w:rsid w:val="00B613DF"/>
    <w:rsid w:val="00B64F28"/>
    <w:rsid w:val="00B742CB"/>
    <w:rsid w:val="00B77D7C"/>
    <w:rsid w:val="00B81F2B"/>
    <w:rsid w:val="00B93186"/>
    <w:rsid w:val="00B93430"/>
    <w:rsid w:val="00B93BB1"/>
    <w:rsid w:val="00B96442"/>
    <w:rsid w:val="00B97A61"/>
    <w:rsid w:val="00BA4137"/>
    <w:rsid w:val="00BA46E0"/>
    <w:rsid w:val="00BA7D93"/>
    <w:rsid w:val="00BB2C73"/>
    <w:rsid w:val="00BC267F"/>
    <w:rsid w:val="00BC523A"/>
    <w:rsid w:val="00BD3439"/>
    <w:rsid w:val="00BE1E8E"/>
    <w:rsid w:val="00C03EFC"/>
    <w:rsid w:val="00C04958"/>
    <w:rsid w:val="00C06DE2"/>
    <w:rsid w:val="00C10755"/>
    <w:rsid w:val="00C13B5C"/>
    <w:rsid w:val="00C15458"/>
    <w:rsid w:val="00C20F0F"/>
    <w:rsid w:val="00C304C0"/>
    <w:rsid w:val="00C30902"/>
    <w:rsid w:val="00C35C52"/>
    <w:rsid w:val="00C372A2"/>
    <w:rsid w:val="00C45843"/>
    <w:rsid w:val="00C57BE2"/>
    <w:rsid w:val="00C61B42"/>
    <w:rsid w:val="00C621A0"/>
    <w:rsid w:val="00C66199"/>
    <w:rsid w:val="00C752ED"/>
    <w:rsid w:val="00C809BC"/>
    <w:rsid w:val="00C81C55"/>
    <w:rsid w:val="00C83467"/>
    <w:rsid w:val="00C84915"/>
    <w:rsid w:val="00C901F9"/>
    <w:rsid w:val="00C91CEE"/>
    <w:rsid w:val="00C92AF3"/>
    <w:rsid w:val="00CA404F"/>
    <w:rsid w:val="00CB432E"/>
    <w:rsid w:val="00CB5648"/>
    <w:rsid w:val="00CB6775"/>
    <w:rsid w:val="00CE296C"/>
    <w:rsid w:val="00CE43F7"/>
    <w:rsid w:val="00CF510F"/>
    <w:rsid w:val="00D063B0"/>
    <w:rsid w:val="00D10870"/>
    <w:rsid w:val="00D16E3A"/>
    <w:rsid w:val="00D16F30"/>
    <w:rsid w:val="00D31688"/>
    <w:rsid w:val="00D322AD"/>
    <w:rsid w:val="00D3233D"/>
    <w:rsid w:val="00D36E35"/>
    <w:rsid w:val="00D3702E"/>
    <w:rsid w:val="00D46E4D"/>
    <w:rsid w:val="00D527CD"/>
    <w:rsid w:val="00D60125"/>
    <w:rsid w:val="00D650B6"/>
    <w:rsid w:val="00D669A4"/>
    <w:rsid w:val="00D76AE6"/>
    <w:rsid w:val="00D91113"/>
    <w:rsid w:val="00D93F21"/>
    <w:rsid w:val="00DA004D"/>
    <w:rsid w:val="00DA0FFF"/>
    <w:rsid w:val="00DA60AD"/>
    <w:rsid w:val="00DA6791"/>
    <w:rsid w:val="00DA68B3"/>
    <w:rsid w:val="00DA7519"/>
    <w:rsid w:val="00DA75A8"/>
    <w:rsid w:val="00DB15E7"/>
    <w:rsid w:val="00DC36AD"/>
    <w:rsid w:val="00DC6A83"/>
    <w:rsid w:val="00DD0E98"/>
    <w:rsid w:val="00DD3BA9"/>
    <w:rsid w:val="00DE33F9"/>
    <w:rsid w:val="00DE662D"/>
    <w:rsid w:val="00DF1326"/>
    <w:rsid w:val="00DF2162"/>
    <w:rsid w:val="00DF3AEC"/>
    <w:rsid w:val="00DF4A74"/>
    <w:rsid w:val="00E02D7B"/>
    <w:rsid w:val="00E03A2F"/>
    <w:rsid w:val="00E1021B"/>
    <w:rsid w:val="00E178D4"/>
    <w:rsid w:val="00E24347"/>
    <w:rsid w:val="00E31D88"/>
    <w:rsid w:val="00E31D9D"/>
    <w:rsid w:val="00E35FE8"/>
    <w:rsid w:val="00E36F33"/>
    <w:rsid w:val="00E371FD"/>
    <w:rsid w:val="00E42442"/>
    <w:rsid w:val="00E457B3"/>
    <w:rsid w:val="00E51596"/>
    <w:rsid w:val="00E5573D"/>
    <w:rsid w:val="00E63E5F"/>
    <w:rsid w:val="00E63F42"/>
    <w:rsid w:val="00E67B2E"/>
    <w:rsid w:val="00E72488"/>
    <w:rsid w:val="00E91930"/>
    <w:rsid w:val="00E964DF"/>
    <w:rsid w:val="00EB755E"/>
    <w:rsid w:val="00EC00E6"/>
    <w:rsid w:val="00EC2A2D"/>
    <w:rsid w:val="00EE15DA"/>
    <w:rsid w:val="00EE19E7"/>
    <w:rsid w:val="00EE2784"/>
    <w:rsid w:val="00EE609C"/>
    <w:rsid w:val="00EF1E63"/>
    <w:rsid w:val="00EF6290"/>
    <w:rsid w:val="00F01540"/>
    <w:rsid w:val="00F2524A"/>
    <w:rsid w:val="00F35FE3"/>
    <w:rsid w:val="00F463A7"/>
    <w:rsid w:val="00F47878"/>
    <w:rsid w:val="00F53C78"/>
    <w:rsid w:val="00F6114C"/>
    <w:rsid w:val="00F715DD"/>
    <w:rsid w:val="00F81068"/>
    <w:rsid w:val="00F84292"/>
    <w:rsid w:val="00F87B48"/>
    <w:rsid w:val="00F93D32"/>
    <w:rsid w:val="00F95B5D"/>
    <w:rsid w:val="00F9796D"/>
    <w:rsid w:val="00FA12B5"/>
    <w:rsid w:val="00FA5486"/>
    <w:rsid w:val="00FB226C"/>
    <w:rsid w:val="00FC1ADC"/>
    <w:rsid w:val="00FC358F"/>
    <w:rsid w:val="00FC6360"/>
    <w:rsid w:val="00FE0479"/>
    <w:rsid w:val="00FE5131"/>
    <w:rsid w:val="00FE5E4A"/>
    <w:rsid w:val="00FF4FC6"/>
    <w:rsid w:val="00FF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E52F138B-2B79-4217-AD40-C3FED065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ForAppForm"/>
    <w:next w:val="BodyTextIndent3"/>
    <w:uiPriority w:val="1"/>
    <w:qFormat/>
    <w:rsid w:val="009662D7"/>
    <w:pPr>
      <w:spacing w:after="0" w:line="240" w:lineRule="auto"/>
      <w:jc w:val="both"/>
    </w:pPr>
    <w:rPr>
      <w:rFonts w:ascii="Sylfaen" w:hAnsi="Sylfaen"/>
      <w:color w:val="000000" w:themeColor="text1"/>
    </w:rPr>
  </w:style>
  <w:style w:type="paragraph" w:styleId="BodyTextIndent3">
    <w:name w:val="Body Text Indent 3"/>
    <w:basedOn w:val="Normal"/>
    <w:link w:val="BodyTextIndent3Char"/>
    <w:uiPriority w:val="99"/>
    <w:semiHidden/>
    <w:unhideWhenUsed/>
    <w:rsid w:val="009662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662D7"/>
    <w:rPr>
      <w:sz w:val="16"/>
      <w:szCs w:val="16"/>
    </w:rPr>
  </w:style>
  <w:style w:type="table" w:styleId="TableGrid">
    <w:name w:val="Table Grid"/>
    <w:basedOn w:val="TableNormal"/>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4FCF"/>
    <w:pPr>
      <w:ind w:left="720"/>
      <w:contextualSpacing/>
    </w:pPr>
  </w:style>
  <w:style w:type="paragraph" w:styleId="FootnoteText">
    <w:name w:val="footnote text"/>
    <w:basedOn w:val="Normal"/>
    <w:link w:val="FootnoteTextChar"/>
    <w:uiPriority w:val="99"/>
    <w:semiHidden/>
    <w:unhideWhenUsed/>
    <w:rsid w:val="008E78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8F7"/>
    <w:rPr>
      <w:sz w:val="20"/>
      <w:szCs w:val="20"/>
    </w:rPr>
  </w:style>
  <w:style w:type="character" w:styleId="FootnoteReference">
    <w:name w:val="footnote reference"/>
    <w:basedOn w:val="DefaultParagraphFont"/>
    <w:uiPriority w:val="99"/>
    <w:semiHidden/>
    <w:unhideWhenUsed/>
    <w:rsid w:val="008E78F7"/>
    <w:rPr>
      <w:vertAlign w:val="superscript"/>
    </w:rPr>
  </w:style>
  <w:style w:type="character" w:styleId="Hyperlink">
    <w:name w:val="Hyperlink"/>
    <w:basedOn w:val="DefaultParagraphFont"/>
    <w:uiPriority w:val="99"/>
    <w:unhideWhenUsed/>
    <w:rsid w:val="004F21BA"/>
    <w:rPr>
      <w:color w:val="0563C1" w:themeColor="hyperlink"/>
      <w:u w:val="single"/>
    </w:rPr>
  </w:style>
  <w:style w:type="paragraph" w:styleId="Header">
    <w:name w:val="header"/>
    <w:basedOn w:val="Normal"/>
    <w:link w:val="HeaderChar"/>
    <w:uiPriority w:val="99"/>
    <w:unhideWhenUsed/>
    <w:rsid w:val="00D60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25"/>
  </w:style>
  <w:style w:type="paragraph" w:styleId="Footer">
    <w:name w:val="footer"/>
    <w:basedOn w:val="Normal"/>
    <w:link w:val="FooterChar"/>
    <w:uiPriority w:val="99"/>
    <w:unhideWhenUsed/>
    <w:rsid w:val="00D60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25"/>
  </w:style>
  <w:style w:type="character" w:styleId="CommentReference">
    <w:name w:val="annotation reference"/>
    <w:basedOn w:val="DefaultParagraphFont"/>
    <w:uiPriority w:val="99"/>
    <w:semiHidden/>
    <w:unhideWhenUsed/>
    <w:rsid w:val="00B613DF"/>
    <w:rPr>
      <w:sz w:val="16"/>
      <w:szCs w:val="16"/>
    </w:rPr>
  </w:style>
  <w:style w:type="paragraph" w:styleId="CommentText">
    <w:name w:val="annotation text"/>
    <w:basedOn w:val="Normal"/>
    <w:link w:val="CommentTextChar"/>
    <w:uiPriority w:val="99"/>
    <w:semiHidden/>
    <w:unhideWhenUsed/>
    <w:rsid w:val="00B613DF"/>
    <w:pPr>
      <w:spacing w:line="240" w:lineRule="auto"/>
    </w:pPr>
    <w:rPr>
      <w:sz w:val="20"/>
      <w:szCs w:val="20"/>
    </w:rPr>
  </w:style>
  <w:style w:type="character" w:customStyle="1" w:styleId="CommentTextChar">
    <w:name w:val="Comment Text Char"/>
    <w:basedOn w:val="DefaultParagraphFont"/>
    <w:link w:val="CommentText"/>
    <w:uiPriority w:val="99"/>
    <w:semiHidden/>
    <w:rsid w:val="00B613DF"/>
    <w:rPr>
      <w:sz w:val="20"/>
      <w:szCs w:val="20"/>
    </w:rPr>
  </w:style>
  <w:style w:type="paragraph" w:styleId="CommentSubject">
    <w:name w:val="annotation subject"/>
    <w:basedOn w:val="CommentText"/>
    <w:next w:val="CommentText"/>
    <w:link w:val="CommentSubjectChar"/>
    <w:uiPriority w:val="99"/>
    <w:semiHidden/>
    <w:unhideWhenUsed/>
    <w:rsid w:val="00B613DF"/>
    <w:rPr>
      <w:b/>
      <w:bCs/>
    </w:rPr>
  </w:style>
  <w:style w:type="character" w:customStyle="1" w:styleId="CommentSubjectChar">
    <w:name w:val="Comment Subject Char"/>
    <w:basedOn w:val="CommentTextChar"/>
    <w:link w:val="CommentSubject"/>
    <w:uiPriority w:val="99"/>
    <w:semiHidden/>
    <w:rsid w:val="00B613DF"/>
    <w:rPr>
      <w:b/>
      <w:bCs/>
      <w:sz w:val="20"/>
      <w:szCs w:val="20"/>
    </w:rPr>
  </w:style>
  <w:style w:type="paragraph" w:styleId="BalloonText">
    <w:name w:val="Balloon Text"/>
    <w:basedOn w:val="Normal"/>
    <w:link w:val="BalloonTextChar"/>
    <w:uiPriority w:val="99"/>
    <w:semiHidden/>
    <w:unhideWhenUsed/>
    <w:rsid w:val="00B61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3DF"/>
    <w:rPr>
      <w:rFonts w:ascii="Segoe UI" w:hAnsi="Segoe UI" w:cs="Segoe UI"/>
      <w:sz w:val="18"/>
      <w:szCs w:val="18"/>
    </w:rPr>
  </w:style>
  <w:style w:type="paragraph" w:styleId="EndnoteText">
    <w:name w:val="endnote text"/>
    <w:basedOn w:val="Normal"/>
    <w:link w:val="EndnoteTextChar"/>
    <w:uiPriority w:val="99"/>
    <w:semiHidden/>
    <w:unhideWhenUsed/>
    <w:rsid w:val="007C380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3803"/>
    <w:rPr>
      <w:sz w:val="20"/>
      <w:szCs w:val="20"/>
    </w:rPr>
  </w:style>
  <w:style w:type="character" w:styleId="EndnoteReference">
    <w:name w:val="endnote reference"/>
    <w:basedOn w:val="DefaultParagraphFont"/>
    <w:uiPriority w:val="99"/>
    <w:semiHidden/>
    <w:unhideWhenUsed/>
    <w:rsid w:val="007C38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enice.coe.int/webforms/documents/default.aspx?pdffile=CDL-AD(2002)023rev2-cor-e" TargetMode="External"/><Relationship Id="rId2" Type="http://schemas.openxmlformats.org/officeDocument/2006/relationships/hyperlink" Target="https://www.osce.org/odihr/elections/17579?download=true" TargetMode="External"/><Relationship Id="rId1" Type="http://schemas.openxmlformats.org/officeDocument/2006/relationships/hyperlink" Target="https://www.venice.coe.int/webforms/documents/default.aspx?pdffile=CDL-AD(2002)023rev2-cor-e" TargetMode="External"/><Relationship Id="rId4" Type="http://schemas.openxmlformats.org/officeDocument/2006/relationships/hyperlink" Target="https://www.osce.org/odihr/elections/georgia/412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B54B9-5EA2-46E7-9112-C14EF1DB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6149</Words>
  <Characters>35053</Characters>
  <Application>Microsoft Office Word</Application>
  <DocSecurity>8</DocSecurity>
  <Lines>292</Lines>
  <Paragraphs>82</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false</cp:keywords>
  <dc:description>false</dc:description>
  <cp:lastModifiedBy>User</cp:lastModifiedBy>
  <cp:revision>3</cp:revision>
  <dcterms:created xsi:type="dcterms:W3CDTF">2020-06-02T08:49:00Z</dcterms:created>
  <dcterms:modified xsi:type="dcterms:W3CDTF">2020-06-02T08:49:00Z</dcterms:modified>
</cp:coreProperties>
</file>