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BCC2921" w:rsidR="003E44A8" w:rsidRPr="007D34F4" w:rsidRDefault="00EE0279" w:rsidP="007D34F4">
            <w:pPr>
              <w:pStyle w:val="a5"/>
              <w:numPr>
                <w:ilvl w:val="0"/>
                <w:numId w:val="10"/>
              </w:numPr>
              <w:ind w:left="337" w:right="-18"/>
              <w:rPr>
                <w:rFonts w:ascii="Sylfaen" w:hAnsi="Sylfaen"/>
                <w:lang w:val="ka-GE"/>
              </w:rPr>
            </w:pPr>
            <w:permStart w:id="1281835721" w:edGrp="everyone"/>
            <w:r w:rsidRPr="00B756A7">
              <w:rPr>
                <w:rFonts w:ascii="Sylfaen" w:hAnsi="Sylfaen"/>
                <w:color w:val="000000"/>
                <w:lang w:val="ka-GE"/>
              </w:rPr>
              <w:t xml:space="preserve">შპს </w:t>
            </w:r>
            <w:r>
              <w:rPr>
                <w:rFonts w:ascii="Sylfaen" w:hAnsi="Sylfaen"/>
                <w:color w:val="000000"/>
                <w:lang w:val="ka-GE"/>
              </w:rPr>
              <w:t>„</w:t>
            </w:r>
            <w:r w:rsidRPr="00B756A7">
              <w:rPr>
                <w:rFonts w:ascii="Sylfaen" w:hAnsi="Sylfaen"/>
                <w:color w:val="000000"/>
                <w:lang w:val="ka-GE"/>
              </w:rPr>
              <w:t>იურიდიული ოფისი ლეგალ რაითს ჯორჯია</w:t>
            </w:r>
            <w:r>
              <w:rPr>
                <w:rFonts w:ascii="Sylfaen" w:hAnsi="Sylfaen"/>
                <w:color w:val="000000"/>
                <w:lang w:val="ka-GE"/>
              </w:rPr>
              <w:t>“</w:t>
            </w:r>
            <w:r>
              <w:t>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D44DE42"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60F6431" w:rsidR="003E44A8" w:rsidRPr="007D34F4" w:rsidRDefault="003E44A8" w:rsidP="007D34F4">
            <w:pPr>
              <w:pStyle w:val="a5"/>
              <w:numPr>
                <w:ilvl w:val="0"/>
                <w:numId w:val="12"/>
              </w:numPr>
              <w:ind w:right="-18"/>
              <w:rPr>
                <w:rFonts w:ascii="Sylfaen" w:hAnsi="Sylfaen"/>
                <w:lang w:val="ka-GE"/>
              </w:rPr>
            </w:pPr>
            <w:bookmarkStart w:id="1" w:name="_GoBack"/>
            <w:bookmarkEnd w:id="1"/>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E96D39D"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E9D74B" w14:textId="68B96819" w:rsidR="00387AD0" w:rsidRDefault="00387AD0" w:rsidP="006F6871">
            <w:pPr>
              <w:pStyle w:val="a5"/>
              <w:ind w:left="342" w:right="-18"/>
              <w:rPr>
                <w:rFonts w:ascii="Sylfaen" w:hAnsi="Sylfaen"/>
                <w:lang w:val="ka-GE"/>
              </w:rPr>
            </w:pPr>
            <w:permStart w:id="823657526" w:edGrp="everyone"/>
          </w:p>
          <w:permEnd w:id="823657526"/>
          <w:p w14:paraId="3EDC7976" w14:textId="38F51C0F" w:rsidR="001C7E3E" w:rsidRPr="007D34F4" w:rsidRDefault="001C7E3E" w:rsidP="007D34F4">
            <w:pPr>
              <w:pStyle w:val="a5"/>
              <w:numPr>
                <w:ilvl w:val="0"/>
                <w:numId w:val="14"/>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BCF665C"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A8977C7" w14:textId="0F1087CA" w:rsidR="00EE0279" w:rsidRDefault="00EE0279" w:rsidP="00EE0279">
            <w:pPr>
              <w:pStyle w:val="a5"/>
              <w:numPr>
                <w:ilvl w:val="0"/>
                <w:numId w:val="16"/>
              </w:numPr>
              <w:ind w:right="-18"/>
              <w:rPr>
                <w:rFonts w:ascii="Sylfaen" w:hAnsi="Sylfaen"/>
                <w:lang w:val="ka-GE"/>
              </w:rPr>
            </w:pPr>
            <w:permStart w:id="1073546871" w:edGrp="everyone"/>
            <w:r w:rsidRPr="00EE0279">
              <w:rPr>
                <w:rFonts w:ascii="Sylfaen" w:hAnsi="Sylfaen"/>
                <w:lang w:val="ka-GE"/>
              </w:rPr>
              <w:t>. გიორგი ხეცურიანი;</w:t>
            </w:r>
          </w:p>
          <w:p w14:paraId="08361B8A" w14:textId="41D0E50B" w:rsidR="006F6871" w:rsidRPr="00EE0279" w:rsidRDefault="006F6871" w:rsidP="00EE0279">
            <w:pPr>
              <w:pStyle w:val="a5"/>
              <w:numPr>
                <w:ilvl w:val="0"/>
                <w:numId w:val="16"/>
              </w:numPr>
              <w:ind w:right="-18"/>
              <w:rPr>
                <w:rFonts w:ascii="Sylfaen" w:hAnsi="Sylfaen"/>
                <w:lang w:val="ka-GE"/>
              </w:rPr>
            </w:pPr>
            <w:r>
              <w:rPr>
                <w:rFonts w:ascii="Sylfaen" w:hAnsi="Sylfaen"/>
                <w:lang w:val="ka-GE"/>
              </w:rPr>
              <w:t>გიორგი თომაძე</w:t>
            </w:r>
          </w:p>
          <w:permEnd w:id="1073546871"/>
          <w:p w14:paraId="7F9256EF" w14:textId="44EEFE3C" w:rsidR="00A2210B" w:rsidRPr="007D34F4" w:rsidRDefault="00A2210B" w:rsidP="00EE0279">
            <w:pPr>
              <w:pStyle w:val="a5"/>
              <w:numPr>
                <w:ilvl w:val="0"/>
                <w:numId w:val="16"/>
              </w:numPr>
              <w:ind w:right="-18"/>
              <w:rPr>
                <w:rFonts w:ascii="Sylfaen" w:hAnsi="Sylfaen"/>
                <w:lang w:val="ka-GE"/>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240F25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B411DC0"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5DB849C"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724E3D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6BE7C0E" w14:textId="3E998EDB" w:rsidR="00EE0279" w:rsidRPr="00EE0279" w:rsidRDefault="00EE0279" w:rsidP="00EE0279">
            <w:pPr>
              <w:pStyle w:val="a5"/>
              <w:numPr>
                <w:ilvl w:val="0"/>
                <w:numId w:val="21"/>
              </w:numPr>
              <w:ind w:right="-113"/>
              <w:rPr>
                <w:rFonts w:ascii="Sylfaen" w:hAnsi="Sylfaen"/>
                <w:lang w:val="ka-GE"/>
              </w:rPr>
            </w:pPr>
            <w:permStart w:id="676215825" w:edGrp="everyone"/>
            <w:r w:rsidRPr="00EE0279">
              <w:rPr>
                <w:rFonts w:ascii="Sylfaen" w:hAnsi="Sylfaen"/>
                <w:lang w:val="ka-GE"/>
              </w:rPr>
              <w:t xml:space="preserve"> საქართველოს სამოქალაქო საპროცესი კოდექსი;</w:t>
            </w:r>
          </w:p>
          <w:permEnd w:id="676215825"/>
          <w:p w14:paraId="0206A26F" w14:textId="04CB8B24" w:rsidR="00144FCF" w:rsidRPr="007D34F4" w:rsidRDefault="00144FCF" w:rsidP="00EE0279">
            <w:pPr>
              <w:pStyle w:val="a5"/>
              <w:numPr>
                <w:ilvl w:val="0"/>
                <w:numId w:val="21"/>
              </w:numPr>
              <w:ind w:right="-113"/>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F5BF3EA" w14:textId="43DF4366" w:rsidR="00EE0279" w:rsidRPr="00EE0279" w:rsidRDefault="00EE0279" w:rsidP="00EE0279">
            <w:pPr>
              <w:pStyle w:val="a5"/>
              <w:numPr>
                <w:ilvl w:val="0"/>
                <w:numId w:val="22"/>
              </w:numPr>
              <w:ind w:right="-113"/>
              <w:rPr>
                <w:rFonts w:ascii="Sylfaen" w:hAnsi="Sylfaen"/>
                <w:lang w:val="ka-GE"/>
              </w:rPr>
            </w:pPr>
            <w:permStart w:id="667764277" w:edGrp="everyone"/>
            <w:r w:rsidRPr="00EE0279">
              <w:rPr>
                <w:rFonts w:ascii="Sylfaen" w:hAnsi="Sylfaen"/>
                <w:lang w:val="ka-GE"/>
              </w:rPr>
              <w:t xml:space="preserve"> 14/11/1997;</w:t>
            </w:r>
          </w:p>
          <w:p w14:paraId="13B34F4E" w14:textId="37F6E8CA" w:rsidR="00144FCF" w:rsidRPr="007D34F4" w:rsidRDefault="00EE0279" w:rsidP="00EE0279">
            <w:pPr>
              <w:pStyle w:val="a5"/>
              <w:numPr>
                <w:ilvl w:val="0"/>
                <w:numId w:val="22"/>
              </w:numPr>
              <w:ind w:right="-113"/>
              <w:rPr>
                <w:rFonts w:ascii="Sylfaen" w:hAnsi="Sylfaen"/>
                <w:lang w:val="ka-GE"/>
              </w:rPr>
            </w:pPr>
            <w:r w:rsidRPr="00EE0279">
              <w:rPr>
                <w:rFonts w:ascii="Sylfaen" w:hAnsi="Sylfaen"/>
                <w:lang w:val="ka-GE"/>
              </w:rPr>
              <w:t>;</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B702E19" w:rsidR="00496B05" w:rsidRPr="007D34F4" w:rsidRDefault="00EE027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993FFC7" w:rsidR="00496B05" w:rsidRPr="007D34F4" w:rsidRDefault="004C0CAB" w:rsidP="007D34F4">
            <w:pPr>
              <w:pStyle w:val="a5"/>
              <w:numPr>
                <w:ilvl w:val="0"/>
                <w:numId w:val="24"/>
              </w:numPr>
              <w:ind w:left="257" w:right="-113" w:hanging="270"/>
              <w:rPr>
                <w:rFonts w:ascii="Sylfaen" w:hAnsi="Sylfaen"/>
                <w:lang w:val="ka-GE"/>
              </w:rPr>
            </w:pPr>
            <w:permStart w:id="1177557738" w:edGrp="everyone"/>
            <w:r w:rsidRPr="004C0CAB">
              <w:rPr>
                <w:rFonts w:ascii="Sylfaen" w:hAnsi="Sylfaen"/>
                <w:lang w:val="ka-GE"/>
              </w:rPr>
              <w:t xml:space="preserve">თბილისი, რუსთაველის გამზირი </w:t>
            </w:r>
            <w:r w:rsidR="00387AD0">
              <w:rPr>
                <w:rFonts w:ascii="Sylfaen" w:hAnsi="Sylfaen"/>
                <w:lang w:val="ka-GE"/>
              </w:rPr>
              <w:t>#</w:t>
            </w:r>
            <w:r w:rsidRPr="004C0CAB">
              <w:rPr>
                <w:rFonts w:ascii="Sylfaen" w:hAnsi="Sylfaen"/>
                <w:lang w:val="ka-GE"/>
              </w:rPr>
              <w:t>8</w:t>
            </w:r>
            <w:r w:rsidR="00387AD0">
              <w:rPr>
                <w:rFonts w:ascii="Sylfaen" w:hAnsi="Sylfaen"/>
                <w:lang w:val="ka-GE"/>
              </w:rPr>
              <w:t>.</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BE41D5C" w:rsidR="002F127B" w:rsidRPr="00B93430" w:rsidRDefault="00EE0279" w:rsidP="006F6871">
            <w:pPr>
              <w:pStyle w:val="abzacixml"/>
              <w:shd w:val="clear" w:color="auto" w:fill="EAEAEA"/>
              <w:spacing w:before="0" w:beforeAutospacing="0" w:after="0" w:afterAutospacing="0"/>
              <w:jc w:val="both"/>
              <w:rPr>
                <w:rFonts w:ascii="Sylfaen" w:hAnsi="Sylfaen"/>
                <w:color w:val="000000"/>
                <w:sz w:val="18"/>
                <w:szCs w:val="18"/>
                <w:lang w:val="ka-GE"/>
              </w:rPr>
            </w:pPr>
            <w:permStart w:id="903088963" w:edGrp="everyone"/>
            <w:r w:rsidRPr="008C4925">
              <w:rPr>
                <w:rFonts w:ascii="Sylfaen" w:hAnsi="Sylfaen"/>
                <w:color w:val="333333"/>
                <w:lang w:val="ka-GE"/>
              </w:rPr>
              <w:t>1. საქართველოს სამოქალაქო</w:t>
            </w:r>
            <w:r w:rsidR="001517D2">
              <w:rPr>
                <w:rFonts w:ascii="Sylfaen" w:hAnsi="Sylfaen"/>
                <w:color w:val="333333"/>
                <w:lang w:val="ka-GE"/>
              </w:rPr>
              <w:t xml:space="preserve"> საპროცესო</w:t>
            </w:r>
            <w:r w:rsidRPr="008C4925">
              <w:rPr>
                <w:rFonts w:ascii="Sylfaen" w:hAnsi="Sylfaen"/>
                <w:color w:val="333333"/>
                <w:lang w:val="ka-GE"/>
              </w:rPr>
              <w:t xml:space="preserve"> კოდექსის </w:t>
            </w:r>
            <w:r w:rsidR="006F6871">
              <w:rPr>
                <w:rFonts w:ascii="Sylfaen" w:hAnsi="Sylfaen"/>
                <w:color w:val="333333"/>
                <w:lang w:val="ka-GE"/>
              </w:rPr>
              <w:t>365</w:t>
            </w:r>
            <w:r w:rsidR="002E18FF">
              <w:rPr>
                <w:rFonts w:ascii="Sylfaen" w:hAnsi="Sylfaen"/>
                <w:color w:val="333333"/>
                <w:lang w:val="ka-GE"/>
              </w:rPr>
              <w:t xml:space="preserve">-ე მუხლი: </w:t>
            </w:r>
            <w:r w:rsidR="002E18FF" w:rsidRPr="002E32B1">
              <w:rPr>
                <w:rFonts w:ascii="Sylfaen" w:hAnsi="Sylfaen"/>
                <w:b/>
                <w:color w:val="333333"/>
                <w:sz w:val="22"/>
                <w:szCs w:val="22"/>
                <w:lang w:val="ka-GE"/>
              </w:rPr>
              <w:t>სააპელაციო საჩივარი ქონებრივ-სამართლებრივ დავაში დასაშვებია იმ შემთხვევაში, თუ დავის საგნის ღირებულება აღემატება 2 000 ლარს. ეს ღირებულება განისაზღვრება იმის მიხედვით, თუ გასაჩივრებული გადაწყვეტილების რა ზომით შეცვლაზე შეაქვს საჩივარი მხარეს.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269EB5D5" w:rsidR="002F127B" w:rsidRPr="00B93430" w:rsidRDefault="006F6871" w:rsidP="006751AF">
            <w:pPr>
              <w:spacing w:after="0" w:line="240" w:lineRule="auto"/>
              <w:jc w:val="both"/>
              <w:rPr>
                <w:rFonts w:ascii="Sylfaen" w:hAnsi="Sylfaen"/>
                <w:color w:val="000000"/>
                <w:sz w:val="18"/>
                <w:szCs w:val="18"/>
                <w:lang w:val="ka-GE"/>
              </w:rPr>
            </w:pPr>
            <w:r>
              <w:rPr>
                <w:rFonts w:ascii="Sylfaen" w:hAnsi="Sylfaen" w:cs="Sylfaen"/>
                <w:color w:val="000000"/>
                <w:sz w:val="24"/>
                <w:szCs w:val="24"/>
                <w:lang w:val="ka-GE"/>
              </w:rPr>
              <w:t xml:space="preserve">საქართველოს კონსტიტუციის </w:t>
            </w:r>
            <w:r>
              <w:rPr>
                <w:rFonts w:ascii="Sylfaen" w:hAnsi="Sylfaen" w:cs="Cambria Math"/>
                <w:color w:val="000000"/>
                <w:sz w:val="24"/>
                <w:szCs w:val="24"/>
                <w:lang w:val="ka-GE"/>
              </w:rPr>
              <w:t>31</w:t>
            </w:r>
            <w:r w:rsidRPr="00F00899">
              <w:rPr>
                <w:rFonts w:ascii="Cambria Math" w:hAnsi="Cambria Math" w:cs="Cambria Math"/>
                <w:color w:val="000000"/>
                <w:sz w:val="24"/>
                <w:szCs w:val="24"/>
                <w:lang w:val="ka-GE"/>
              </w:rPr>
              <w:t>-</w:t>
            </w:r>
            <w:r w:rsidRPr="00F00899">
              <w:rPr>
                <w:rFonts w:ascii="Sylfaen" w:hAnsi="Sylfaen" w:cs="Sylfaen"/>
                <w:color w:val="000000"/>
                <w:sz w:val="24"/>
                <w:szCs w:val="24"/>
                <w:lang w:val="ka-GE"/>
              </w:rPr>
              <w:t>ე</w:t>
            </w:r>
            <w:r w:rsidRPr="00F00899">
              <w:rPr>
                <w:rFonts w:ascii="Cambria Math" w:hAnsi="Cambria Math" w:cs="Cambria Math"/>
                <w:color w:val="000000"/>
                <w:sz w:val="24"/>
                <w:szCs w:val="24"/>
                <w:lang w:val="ka-GE"/>
              </w:rPr>
              <w:t xml:space="preserve"> </w:t>
            </w:r>
            <w:r w:rsidRPr="00F00899">
              <w:rPr>
                <w:rFonts w:ascii="Sylfaen" w:hAnsi="Sylfaen" w:cs="Sylfaen"/>
                <w:color w:val="000000"/>
                <w:sz w:val="24"/>
                <w:szCs w:val="24"/>
                <w:lang w:val="ka-GE"/>
              </w:rPr>
              <w:t>მუხლის</w:t>
            </w:r>
            <w:r w:rsidRPr="00F00899">
              <w:rPr>
                <w:rFonts w:ascii="Cambria Math" w:hAnsi="Cambria Math" w:cs="Cambria Math"/>
                <w:color w:val="000000"/>
                <w:sz w:val="24"/>
                <w:szCs w:val="24"/>
                <w:lang w:val="ka-GE"/>
              </w:rPr>
              <w:t xml:space="preserve"> </w:t>
            </w:r>
            <w:r w:rsidRPr="00663433">
              <w:rPr>
                <w:rFonts w:ascii="Sylfaen" w:hAnsi="Sylfaen" w:cs="Cambria Math"/>
                <w:color w:val="000000"/>
                <w:sz w:val="24"/>
                <w:szCs w:val="24"/>
                <w:lang w:val="ka-GE"/>
              </w:rPr>
              <w:t>პირველი პუნქტ</w:t>
            </w:r>
            <w:r>
              <w:rPr>
                <w:rFonts w:ascii="Sylfaen" w:hAnsi="Sylfaen" w:cs="Cambria Math"/>
                <w:color w:val="000000"/>
                <w:sz w:val="24"/>
                <w:szCs w:val="24"/>
                <w:lang w:val="ka-GE"/>
              </w:rPr>
              <w:t xml:space="preserve">ი: </w:t>
            </w:r>
            <w:r w:rsidRPr="00387AD0">
              <w:rPr>
                <w:rFonts w:ascii="Sylfaen" w:hAnsi="Sylfaen" w:cs="Cambria Math"/>
                <w:b/>
                <w:color w:val="000000"/>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1C922475"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0413CDD" w14:textId="77777777" w:rsidR="00EE0279" w:rsidRDefault="00EE0279" w:rsidP="00EE0279">
            <w:pPr>
              <w:jc w:val="both"/>
              <w:rPr>
                <w:rFonts w:ascii="Sylfaen" w:hAnsi="Sylfaen"/>
                <w:color w:val="000000"/>
                <w:sz w:val="24"/>
                <w:szCs w:val="24"/>
                <w:lang w:val="ka-GE"/>
              </w:rPr>
            </w:pPr>
            <w:permStart w:id="2105233546" w:edGrp="everyone" w:colFirst="0" w:colLast="0"/>
            <w:r>
              <w:rPr>
                <w:rFonts w:ascii="Sylfaen" w:hAnsi="Sylfaen"/>
                <w:color w:val="000000"/>
                <w:sz w:val="24"/>
                <w:szCs w:val="24"/>
                <w:lang w:val="ka-GE"/>
              </w:rPr>
              <w:t xml:space="preserve">        საქართველოს კონსტიტუციის 31-ე მუხლის პირველი პუნქტი, 34-ე მუხლის პირველი პუნქტი, </w:t>
            </w:r>
            <w:r w:rsidRPr="0029601B">
              <w:rPr>
                <w:rFonts w:ascii="Sylfaen" w:hAnsi="Sylfaen"/>
                <w:color w:val="000000"/>
                <w:sz w:val="24"/>
                <w:szCs w:val="24"/>
                <w:lang w:val="ka-GE"/>
              </w:rPr>
              <w:t>მე-60 მუხლის მეოთხე პუნქტის ,,ა” ქვეპუნქტი</w:t>
            </w:r>
            <w:r>
              <w:rPr>
                <w:rFonts w:ascii="Sylfaen" w:hAnsi="Sylfaen"/>
                <w:color w:val="000000"/>
                <w:sz w:val="24"/>
                <w:szCs w:val="24"/>
                <w:lang w:val="ka-GE"/>
              </w:rPr>
              <w:t>;</w:t>
            </w:r>
          </w:p>
          <w:p w14:paraId="5305ED5E" w14:textId="6A721C0C" w:rsidR="00474A54" w:rsidRPr="00627CF2" w:rsidRDefault="00EE0279" w:rsidP="00627CF2">
            <w:pPr>
              <w:jc w:val="both"/>
              <w:rPr>
                <w:rFonts w:ascii="Sylfaen" w:hAnsi="Sylfaen"/>
                <w:color w:val="000000"/>
                <w:sz w:val="24"/>
                <w:szCs w:val="24"/>
                <w:lang w:val="ka-GE"/>
              </w:rPr>
            </w:pPr>
            <w:r>
              <w:rPr>
                <w:rFonts w:ascii="Sylfaen" w:hAnsi="Sylfaen"/>
                <w:color w:val="000000"/>
                <w:sz w:val="24"/>
                <w:szCs w:val="24"/>
                <w:lang w:val="ka-GE"/>
              </w:rPr>
              <w:t xml:space="preserve">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B420C7A" w14:textId="5B2DD572" w:rsidR="00905DDF" w:rsidRPr="005046C3" w:rsidRDefault="00316930" w:rsidP="00FD7F9B">
            <w:pPr>
              <w:spacing w:line="276" w:lineRule="auto"/>
              <w:jc w:val="both"/>
              <w:rPr>
                <w:rFonts w:ascii="Sylfaen" w:hAnsi="Sylfaen"/>
                <w:color w:val="000000"/>
                <w:sz w:val="24"/>
                <w:szCs w:val="24"/>
                <w:lang w:val="ka-GE"/>
              </w:rPr>
            </w:pPr>
            <w:permStart w:id="1105795011" w:edGrp="everyone" w:colFirst="0" w:colLast="0"/>
            <w:r>
              <w:rPr>
                <w:rFonts w:ascii="Sylfaen" w:hAnsi="Sylfaen"/>
                <w:color w:val="000000"/>
                <w:sz w:val="24"/>
                <w:szCs w:val="24"/>
                <w:lang w:val="ka-GE"/>
              </w:rPr>
              <w:t xml:space="preserve">   </w:t>
            </w:r>
            <w:r w:rsidR="00C26F98">
              <w:rPr>
                <w:rFonts w:ascii="Sylfaen" w:hAnsi="Sylfaen"/>
                <w:color w:val="000000"/>
                <w:sz w:val="24"/>
                <w:szCs w:val="24"/>
                <w:lang w:val="ka-GE"/>
              </w:rPr>
              <w:t xml:space="preserve">  </w:t>
            </w:r>
            <w:r>
              <w:rPr>
                <w:rFonts w:ascii="Sylfaen" w:hAnsi="Sylfaen"/>
                <w:color w:val="000000"/>
                <w:sz w:val="24"/>
                <w:szCs w:val="24"/>
                <w:lang w:val="ka-GE"/>
              </w:rPr>
              <w:t xml:space="preserve"> </w:t>
            </w:r>
            <w:r w:rsidRPr="00943687">
              <w:rPr>
                <w:rFonts w:ascii="Sylfaen" w:hAnsi="Sylfaen"/>
                <w:color w:val="000000"/>
                <w:sz w:val="24"/>
                <w:szCs w:val="24"/>
                <w:lang w:val="ka-GE"/>
              </w:rPr>
              <w:t xml:space="preserve">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w:t>
            </w:r>
            <w:r w:rsidR="00905DDF">
              <w:rPr>
                <w:rFonts w:ascii="Sylfaen" w:hAnsi="Sylfaen"/>
                <w:color w:val="000000"/>
                <w:sz w:val="24"/>
                <w:szCs w:val="24"/>
                <w:lang w:val="ka-GE"/>
              </w:rPr>
              <w:t xml:space="preserve"> დაცულია საქართველოს საკონსტიტუციო სასამართლოების შესახებ კანონის 31</w:t>
            </w:r>
            <w:r w:rsidR="00905DDF">
              <w:rPr>
                <w:rFonts w:ascii="Sylfaen" w:hAnsi="Sylfaen"/>
                <w:color w:val="000000"/>
                <w:sz w:val="24"/>
                <w:szCs w:val="24"/>
                <w:vertAlign w:val="superscript"/>
                <w:lang w:val="ka-GE"/>
              </w:rPr>
              <w:t>3</w:t>
            </w:r>
            <w:r w:rsidR="00905DDF">
              <w:rPr>
                <w:rFonts w:ascii="Sylfaen" w:hAnsi="Sylfaen"/>
                <w:color w:val="000000"/>
                <w:sz w:val="24"/>
                <w:szCs w:val="24"/>
                <w:lang w:val="ka-GE"/>
              </w:rPr>
              <w:t xml:space="preserve"> მუხლისა და სხვა კანონით გათვალისწინებული მოთხოვნები. </w:t>
            </w:r>
          </w:p>
          <w:p w14:paraId="0B6488DF" w14:textId="1228D313" w:rsidR="00905DDF" w:rsidRPr="005046C3" w:rsidRDefault="00905DDF" w:rsidP="005046C3">
            <w:pPr>
              <w:pStyle w:val="abzacixml"/>
              <w:shd w:val="clear" w:color="auto" w:fill="EAEAEA"/>
              <w:spacing w:before="0" w:beforeAutospacing="0" w:after="0" w:afterAutospacing="0"/>
              <w:jc w:val="both"/>
              <w:rPr>
                <w:rFonts w:ascii="Sylfaen" w:hAnsi="Sylfaen"/>
                <w:color w:val="000000" w:themeColor="text1"/>
              </w:rPr>
            </w:pPr>
            <w:r w:rsidRPr="005046C3">
              <w:rPr>
                <w:rFonts w:ascii="Sylfaen" w:hAnsi="Sylfaen"/>
                <w:color w:val="000000" w:themeColor="text1"/>
              </w:rPr>
              <w:t xml:space="preserve">ა) </w:t>
            </w:r>
            <w:r w:rsidR="00AD0CBF">
              <w:rPr>
                <w:rFonts w:ascii="Sylfaen" w:hAnsi="Sylfaen"/>
                <w:color w:val="000000" w:themeColor="text1"/>
                <w:lang w:val="ka-GE"/>
              </w:rPr>
              <w:t>სარჩელი</w:t>
            </w:r>
            <w:r w:rsidRPr="005046C3">
              <w:rPr>
                <w:rFonts w:ascii="Sylfaen" w:hAnsi="Sylfaen"/>
                <w:color w:val="000000" w:themeColor="text1"/>
              </w:rPr>
              <w:t xml:space="preserve"> ფორმით ან შინაარსით შეესაბამება </w:t>
            </w:r>
            <w:r w:rsidR="00AD0CBF">
              <w:rPr>
                <w:rFonts w:ascii="Sylfaen" w:hAnsi="Sylfaen"/>
                <w:color w:val="000000" w:themeColor="text1"/>
                <w:lang w:val="ka-GE"/>
              </w:rPr>
              <w:t>ხსენებული კანონის</w:t>
            </w:r>
            <w:r w:rsidRPr="005046C3">
              <w:rPr>
                <w:rFonts w:ascii="Sylfaen" w:hAnsi="Sylfaen"/>
                <w:color w:val="000000" w:themeColor="text1"/>
              </w:rPr>
              <w:t xml:space="preserve"> 31</w:t>
            </w:r>
            <w:r w:rsidRPr="005046C3">
              <w:rPr>
                <w:color w:val="000000" w:themeColor="text1"/>
                <w:vertAlign w:val="superscript"/>
              </w:rPr>
              <w:t>​</w:t>
            </w:r>
            <w:r w:rsidRPr="005046C3">
              <w:rPr>
                <w:rFonts w:ascii="Sylfaen" w:hAnsi="Sylfaen"/>
                <w:color w:val="000000" w:themeColor="text1"/>
                <w:vertAlign w:val="superscript"/>
              </w:rPr>
              <w:t>1</w:t>
            </w:r>
            <w:r w:rsidRPr="005046C3">
              <w:rPr>
                <w:rFonts w:ascii="Sylfaen" w:hAnsi="Sylfaen"/>
                <w:color w:val="000000" w:themeColor="text1"/>
              </w:rPr>
              <w:t> მუხლით დადგენილ მოთხოვნებს;</w:t>
            </w:r>
          </w:p>
          <w:p w14:paraId="2AE38C8F" w14:textId="058B60C0" w:rsidR="00905DDF" w:rsidRPr="005046C3" w:rsidRDefault="00905DDF" w:rsidP="005046C3">
            <w:pPr>
              <w:pStyle w:val="abzacixml"/>
              <w:shd w:val="clear" w:color="auto" w:fill="EAEAEA"/>
              <w:spacing w:before="0" w:beforeAutospacing="0" w:after="0" w:afterAutospacing="0"/>
              <w:jc w:val="both"/>
              <w:rPr>
                <w:rFonts w:ascii="Sylfaen" w:hAnsi="Sylfaen"/>
                <w:color w:val="000000" w:themeColor="text1"/>
              </w:rPr>
            </w:pPr>
            <w:r w:rsidRPr="005046C3">
              <w:rPr>
                <w:rFonts w:ascii="Sylfaen" w:hAnsi="Sylfaen"/>
                <w:color w:val="000000" w:themeColor="text1"/>
              </w:rPr>
              <w:t xml:space="preserve">ბ) </w:t>
            </w:r>
            <w:r w:rsidR="00AD0CBF">
              <w:rPr>
                <w:rFonts w:ascii="Sylfaen" w:hAnsi="Sylfaen"/>
                <w:color w:val="000000" w:themeColor="text1"/>
                <w:lang w:val="ka-GE"/>
              </w:rPr>
              <w:t>სარჩელი</w:t>
            </w:r>
            <w:r w:rsidRPr="005046C3">
              <w:rPr>
                <w:rFonts w:ascii="Sylfaen" w:hAnsi="Sylfaen"/>
                <w:color w:val="000000" w:themeColor="text1"/>
              </w:rPr>
              <w:t xml:space="preserve"> შე</w:t>
            </w:r>
            <w:r w:rsidR="00AD0CBF">
              <w:rPr>
                <w:rFonts w:ascii="Sylfaen" w:hAnsi="Sylfaen"/>
                <w:color w:val="000000" w:themeColor="text1"/>
                <w:lang w:val="ka-GE"/>
              </w:rPr>
              <w:t>მო</w:t>
            </w:r>
            <w:r w:rsidRPr="005046C3">
              <w:rPr>
                <w:rFonts w:ascii="Sylfaen" w:hAnsi="Sylfaen"/>
                <w:color w:val="000000" w:themeColor="text1"/>
              </w:rPr>
              <w:t>ტანილი</w:t>
            </w:r>
            <w:r w:rsidR="00AD0CBF">
              <w:rPr>
                <w:rFonts w:ascii="Sylfaen" w:hAnsi="Sylfaen"/>
                <w:color w:val="000000" w:themeColor="text1"/>
                <w:lang w:val="ka-GE"/>
              </w:rPr>
              <w:t>ა</w:t>
            </w:r>
            <w:r w:rsidRPr="005046C3">
              <w:rPr>
                <w:rFonts w:ascii="Sylfaen" w:hAnsi="Sylfaen"/>
                <w:color w:val="000000" w:themeColor="text1"/>
              </w:rPr>
              <w:t xml:space="preserve"> უფლებამოსილი პირის ან ორგანოს (სუბიექტის) მიერ;</w:t>
            </w:r>
          </w:p>
          <w:p w14:paraId="7694109B" w14:textId="068FB4C0" w:rsidR="00905DDF" w:rsidRPr="005046C3" w:rsidRDefault="00905DDF" w:rsidP="005046C3">
            <w:pPr>
              <w:pStyle w:val="abzacixml"/>
              <w:shd w:val="clear" w:color="auto" w:fill="EAEAEA"/>
              <w:spacing w:before="0" w:beforeAutospacing="0" w:after="0" w:afterAutospacing="0"/>
              <w:jc w:val="both"/>
              <w:rPr>
                <w:rFonts w:ascii="Sylfaen" w:hAnsi="Sylfaen"/>
                <w:color w:val="000000" w:themeColor="text1"/>
              </w:rPr>
            </w:pPr>
            <w:r w:rsidRPr="005046C3">
              <w:rPr>
                <w:rFonts w:ascii="Sylfaen" w:hAnsi="Sylfaen"/>
                <w:color w:val="000000" w:themeColor="text1"/>
              </w:rPr>
              <w:t xml:space="preserve">გ) </w:t>
            </w:r>
            <w:r w:rsidR="00AD0CBF">
              <w:rPr>
                <w:rFonts w:ascii="Sylfaen" w:hAnsi="Sylfaen"/>
                <w:color w:val="000000" w:themeColor="text1"/>
                <w:lang w:val="ka-GE"/>
              </w:rPr>
              <w:t>სარჩელში</w:t>
            </w:r>
            <w:r w:rsidRPr="005046C3">
              <w:rPr>
                <w:rFonts w:ascii="Sylfaen" w:hAnsi="Sylfaen"/>
                <w:color w:val="000000" w:themeColor="text1"/>
              </w:rPr>
              <w:t xml:space="preserve"> მითითებული  სადავო საკითხი საკონსტიტუციო სასამართლოს განსჯადი</w:t>
            </w:r>
            <w:r w:rsidR="00AD0CBF">
              <w:rPr>
                <w:rFonts w:ascii="Sylfaen" w:hAnsi="Sylfaen"/>
                <w:color w:val="000000" w:themeColor="text1"/>
                <w:lang w:val="ka-GE"/>
              </w:rPr>
              <w:t>ა</w:t>
            </w:r>
            <w:r w:rsidRPr="005046C3">
              <w:rPr>
                <w:rFonts w:ascii="Sylfaen" w:hAnsi="Sylfaen"/>
                <w:color w:val="000000" w:themeColor="text1"/>
              </w:rPr>
              <w:t>;</w:t>
            </w:r>
          </w:p>
          <w:p w14:paraId="294DEF2A" w14:textId="2029316A" w:rsidR="00905DDF" w:rsidRPr="00060448" w:rsidRDefault="00905DDF" w:rsidP="005046C3">
            <w:pPr>
              <w:pStyle w:val="abzacixml"/>
              <w:shd w:val="clear" w:color="auto" w:fill="EAEAEA"/>
              <w:spacing w:before="0" w:beforeAutospacing="0" w:after="0" w:afterAutospacing="0"/>
              <w:jc w:val="both"/>
              <w:rPr>
                <w:rFonts w:ascii="Sylfaen" w:hAnsi="Sylfaen"/>
                <w:color w:val="000000" w:themeColor="text1"/>
                <w:lang w:val="ka-GE"/>
              </w:rPr>
            </w:pPr>
            <w:r w:rsidRPr="005046C3">
              <w:rPr>
                <w:rFonts w:ascii="Sylfaen" w:hAnsi="Sylfaen"/>
                <w:color w:val="000000" w:themeColor="text1"/>
              </w:rPr>
              <w:t xml:space="preserve">დ) </w:t>
            </w:r>
            <w:proofErr w:type="gramStart"/>
            <w:r w:rsidR="00060448">
              <w:rPr>
                <w:rFonts w:ascii="Sylfaen" w:hAnsi="Sylfaen"/>
                <w:color w:val="000000" w:themeColor="text1"/>
                <w:lang w:val="ka-GE"/>
              </w:rPr>
              <w:t>სარჩელში</w:t>
            </w:r>
            <w:proofErr w:type="gramEnd"/>
            <w:r w:rsidRPr="005046C3">
              <w:rPr>
                <w:rFonts w:ascii="Sylfaen" w:hAnsi="Sylfaen"/>
                <w:color w:val="000000" w:themeColor="text1"/>
              </w:rPr>
              <w:t xml:space="preserve"> მითითებული სადავო საკითხი </w:t>
            </w:r>
            <w:r w:rsidR="00060448">
              <w:rPr>
                <w:rFonts w:ascii="Sylfaen" w:hAnsi="Sylfaen"/>
                <w:color w:val="000000" w:themeColor="text1"/>
                <w:lang w:val="ka-GE"/>
              </w:rPr>
              <w:t>არ არის</w:t>
            </w:r>
            <w:r w:rsidRPr="005046C3">
              <w:rPr>
                <w:rFonts w:ascii="Sylfaen" w:hAnsi="Sylfaen"/>
                <w:color w:val="000000" w:themeColor="text1"/>
              </w:rPr>
              <w:t xml:space="preserve"> გადაწყვეტილი საკონსტიტუციო სასამართლოს მიერ</w:t>
            </w:r>
            <w:r w:rsidR="00060448">
              <w:rPr>
                <w:rFonts w:ascii="Sylfaen" w:hAnsi="Sylfaen"/>
                <w:color w:val="000000" w:themeColor="text1"/>
                <w:lang w:val="ka-GE"/>
              </w:rPr>
              <w:t>.</w:t>
            </w:r>
          </w:p>
          <w:p w14:paraId="2DDCE49E" w14:textId="13E26863" w:rsidR="00905DDF" w:rsidRPr="005046C3" w:rsidRDefault="00905DDF" w:rsidP="005046C3">
            <w:pPr>
              <w:pStyle w:val="abzacixml"/>
              <w:shd w:val="clear" w:color="auto" w:fill="EAEAEA"/>
              <w:spacing w:before="0" w:beforeAutospacing="0" w:after="0" w:afterAutospacing="0"/>
              <w:jc w:val="both"/>
              <w:rPr>
                <w:rFonts w:ascii="Sylfaen" w:hAnsi="Sylfaen"/>
                <w:color w:val="000000" w:themeColor="text1"/>
              </w:rPr>
            </w:pPr>
            <w:r w:rsidRPr="005046C3">
              <w:rPr>
                <w:rFonts w:ascii="Sylfaen" w:hAnsi="Sylfaen"/>
                <w:color w:val="000000" w:themeColor="text1"/>
              </w:rPr>
              <w:t>ე) მასში მითითებული არცერთი სადავო საკითხი გადაწყვეტილი</w:t>
            </w:r>
            <w:r w:rsidR="007A7E55">
              <w:rPr>
                <w:rFonts w:ascii="Sylfaen" w:hAnsi="Sylfaen"/>
                <w:color w:val="000000" w:themeColor="text1"/>
                <w:lang w:val="ka-GE"/>
              </w:rPr>
              <w:t>ა</w:t>
            </w:r>
            <w:r w:rsidRPr="005046C3">
              <w:rPr>
                <w:rFonts w:ascii="Sylfaen" w:hAnsi="Sylfaen"/>
                <w:color w:val="000000" w:themeColor="text1"/>
              </w:rPr>
              <w:t xml:space="preserve"> საქართველოს კონსტიტუციით;</w:t>
            </w:r>
          </w:p>
          <w:p w14:paraId="2B4F521D" w14:textId="68A62D3B" w:rsidR="00905DDF" w:rsidRDefault="007A7E55" w:rsidP="00FD7F9B">
            <w:pPr>
              <w:spacing w:line="276" w:lineRule="auto"/>
              <w:jc w:val="both"/>
              <w:rPr>
                <w:rFonts w:ascii="Sylfaen" w:hAnsi="Sylfaen"/>
                <w:color w:val="000000" w:themeColor="text1"/>
                <w:sz w:val="24"/>
                <w:szCs w:val="24"/>
                <w:lang w:val="ka-GE"/>
              </w:rPr>
            </w:pPr>
            <w:r>
              <w:rPr>
                <w:rFonts w:ascii="Sylfaen" w:hAnsi="Sylfaen"/>
                <w:color w:val="000000" w:themeColor="text1"/>
                <w:sz w:val="24"/>
                <w:szCs w:val="24"/>
                <w:lang w:val="ka-GE"/>
              </w:rPr>
              <w:t>ვ) არ არის დარღვეული სარჩელის შეტანის ვადა;</w:t>
            </w:r>
          </w:p>
          <w:p w14:paraId="0861493A" w14:textId="2163BED3" w:rsidR="007A7E55" w:rsidRDefault="007A7E55" w:rsidP="00FD7F9B">
            <w:pPr>
              <w:spacing w:line="276" w:lineRule="auto"/>
              <w:jc w:val="both"/>
              <w:rPr>
                <w:rFonts w:ascii="Sylfaen" w:hAnsi="Sylfaen"/>
                <w:color w:val="000000" w:themeColor="text1"/>
                <w:sz w:val="24"/>
                <w:szCs w:val="24"/>
                <w:lang w:val="ka-GE"/>
              </w:rPr>
            </w:pPr>
            <w:r>
              <w:rPr>
                <w:rFonts w:ascii="Sylfaen" w:hAnsi="Sylfaen"/>
                <w:color w:val="000000" w:themeColor="text1"/>
                <w:sz w:val="24"/>
                <w:szCs w:val="24"/>
                <w:lang w:val="ka-GE"/>
              </w:rPr>
              <w:t xml:space="preserve">ზ) </w:t>
            </w:r>
            <w:r w:rsidR="000A5BF2" w:rsidRPr="000A5BF2">
              <w:rPr>
                <w:rFonts w:ascii="Sylfaen" w:hAnsi="Sylfaen"/>
                <w:color w:val="000000" w:themeColor="text1"/>
                <w:sz w:val="24"/>
                <w:szCs w:val="24"/>
                <w:lang w:val="ka-GE"/>
              </w:rPr>
              <w:t>სადავო კანონქვემდებარე ნორმატიული აქტის კონსტიტუციურობაზე სრულფასოვანი მსჯელობა შე</w:t>
            </w:r>
            <w:r w:rsidR="000A5BF2">
              <w:rPr>
                <w:rFonts w:ascii="Sylfaen" w:hAnsi="Sylfaen"/>
                <w:color w:val="000000" w:themeColor="text1"/>
                <w:sz w:val="24"/>
                <w:szCs w:val="24"/>
                <w:lang w:val="ka-GE"/>
              </w:rPr>
              <w:t>საძლებელია</w:t>
            </w:r>
            <w:r w:rsidR="000A5BF2" w:rsidRPr="000A5BF2">
              <w:rPr>
                <w:rFonts w:ascii="Sylfaen" w:hAnsi="Sylfaen"/>
                <w:color w:val="000000" w:themeColor="text1"/>
                <w:sz w:val="24"/>
                <w:szCs w:val="24"/>
                <w:lang w:val="ka-GE"/>
              </w:rPr>
              <w:t xml:space="preserve">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sidR="000A5BF2">
              <w:rPr>
                <w:rFonts w:ascii="Sylfaen" w:hAnsi="Sylfaen"/>
                <w:color w:val="000000" w:themeColor="text1"/>
                <w:sz w:val="24"/>
                <w:szCs w:val="24"/>
                <w:lang w:val="ka-GE"/>
              </w:rPr>
              <w:t xml:space="preserve"> (ამგვარი იერარქიულად მაღლა მდგომი აქტი ნორმატიურლი აქტი ჩვენს შემთზვევაში არც არსებობს)</w:t>
            </w:r>
            <w:r w:rsidR="000A5BF2" w:rsidRPr="000A5BF2">
              <w:rPr>
                <w:rFonts w:ascii="Sylfaen" w:hAnsi="Sylfaen"/>
                <w:color w:val="000000" w:themeColor="text1"/>
                <w:sz w:val="24"/>
                <w:szCs w:val="24"/>
                <w:lang w:val="ka-GE"/>
              </w:rPr>
              <w:t>.</w:t>
            </w:r>
            <w:r w:rsidR="000A5BF2">
              <w:rPr>
                <w:rFonts w:ascii="Sylfaen" w:hAnsi="Sylfaen"/>
                <w:color w:val="000000" w:themeColor="text1"/>
                <w:sz w:val="24"/>
                <w:szCs w:val="24"/>
                <w:lang w:val="ka-GE"/>
              </w:rPr>
              <w:t xml:space="preserve"> </w:t>
            </w:r>
          </w:p>
          <w:p w14:paraId="2C7F5D44" w14:textId="0A9C57E8" w:rsidR="00B079C5" w:rsidRDefault="001C1D11" w:rsidP="00FD7F9B">
            <w:pPr>
              <w:spacing w:line="276" w:lineRule="auto"/>
              <w:jc w:val="both"/>
              <w:rPr>
                <w:rFonts w:ascii="Sylfaen" w:hAnsi="Sylfaen" w:cs="Sylfaen"/>
                <w:color w:val="000000"/>
                <w:sz w:val="24"/>
                <w:lang w:val="ka-GE"/>
              </w:rPr>
            </w:pPr>
            <w:r>
              <w:rPr>
                <w:rFonts w:ascii="Sylfaen" w:hAnsi="Sylfaen" w:cs="Sylfaen"/>
                <w:color w:val="000000"/>
                <w:sz w:val="24"/>
                <w:lang w:val="ka-GE"/>
              </w:rPr>
              <w:t xml:space="preserve">  </w:t>
            </w:r>
            <w:r w:rsidR="00C26F98">
              <w:rPr>
                <w:rFonts w:ascii="Sylfaen" w:hAnsi="Sylfaen" w:cs="Sylfaen"/>
                <w:color w:val="000000"/>
                <w:sz w:val="24"/>
                <w:lang w:val="ka-GE"/>
              </w:rPr>
              <w:t xml:space="preserve">  </w:t>
            </w:r>
            <w:r>
              <w:rPr>
                <w:rFonts w:ascii="Sylfaen" w:hAnsi="Sylfaen" w:cs="Sylfaen"/>
                <w:color w:val="000000"/>
                <w:sz w:val="24"/>
                <w:lang w:val="ka-GE"/>
              </w:rPr>
              <w:t xml:space="preserve"> </w:t>
            </w:r>
            <w:r w:rsidR="000A5BF2">
              <w:rPr>
                <w:rFonts w:ascii="Sylfaen" w:hAnsi="Sylfaen" w:cs="Sylfaen"/>
                <w:color w:val="000000"/>
                <w:sz w:val="24"/>
                <w:lang w:val="ka-GE"/>
              </w:rPr>
              <w:t>მოცემულ</w:t>
            </w:r>
            <w:r w:rsidR="00B079C5">
              <w:rPr>
                <w:rFonts w:ascii="Sylfaen" w:hAnsi="Sylfaen" w:cs="Sylfaen"/>
                <w:color w:val="000000"/>
                <w:sz w:val="24"/>
                <w:lang w:val="ka-GE"/>
              </w:rPr>
              <w:t xml:space="preserve"> შემთხვევაში, სადავო ნორმები/ჩანაწერი მართლსაწინააღმდეგოდ, </w:t>
            </w:r>
            <w:r w:rsidR="00B079C5" w:rsidRPr="00B079C5">
              <w:rPr>
                <w:rFonts w:ascii="Sylfaen" w:hAnsi="Sylfaen" w:cs="Sylfaen"/>
                <w:b/>
                <w:color w:val="000000"/>
                <w:sz w:val="24"/>
                <w:lang w:val="ka-GE"/>
              </w:rPr>
              <w:t>პოტენციურად</w:t>
            </w:r>
            <w:r w:rsidR="00B079C5">
              <w:rPr>
                <w:rFonts w:ascii="Sylfaen" w:hAnsi="Sylfaen" w:cs="Sylfaen"/>
                <w:color w:val="000000"/>
                <w:sz w:val="24"/>
                <w:lang w:val="ka-GE"/>
              </w:rPr>
              <w:t xml:space="preserve"> გვირღვევს კონსტიტუციის მეორე თავით გათვალისწინებულ უფლებებს. </w:t>
            </w:r>
            <w:r>
              <w:rPr>
                <w:rFonts w:ascii="Sylfaen" w:hAnsi="Sylfaen" w:cs="Sylfaen"/>
                <w:color w:val="000000"/>
                <w:sz w:val="24"/>
                <w:lang w:val="ka-GE"/>
              </w:rPr>
              <w:t xml:space="preserve"> </w:t>
            </w:r>
            <w:r w:rsidR="00B079C5">
              <w:rPr>
                <w:rFonts w:ascii="Sylfaen" w:hAnsi="Sylfaen" w:cs="Sylfaen"/>
                <w:color w:val="000000"/>
                <w:sz w:val="24"/>
                <w:lang w:val="ka-GE"/>
              </w:rPr>
              <w:t xml:space="preserve">კერძოდ, პოტენციურად გვეზღუდება </w:t>
            </w:r>
            <w:r w:rsidR="00316930" w:rsidRPr="00943687">
              <w:rPr>
                <w:rFonts w:ascii="Sylfaen" w:hAnsi="Sylfaen" w:cs="Sylfaen"/>
                <w:color w:val="000000"/>
                <w:sz w:val="24"/>
                <w:lang w:val="ka-GE"/>
              </w:rPr>
              <w:t>კონსტიტუციის</w:t>
            </w:r>
            <w:r w:rsidR="00316930" w:rsidRPr="00943687">
              <w:rPr>
                <w:rFonts w:ascii="Sylfaen" w:hAnsi="Sylfaen"/>
                <w:color w:val="000000"/>
                <w:sz w:val="24"/>
                <w:lang w:val="ka-GE"/>
              </w:rPr>
              <w:t xml:space="preserve"> 31-ე </w:t>
            </w:r>
            <w:r w:rsidR="00316930" w:rsidRPr="00943687">
              <w:rPr>
                <w:rFonts w:ascii="Sylfaen" w:hAnsi="Sylfaen" w:cs="Sylfaen"/>
                <w:color w:val="000000"/>
                <w:sz w:val="24"/>
                <w:lang w:val="ka-GE"/>
              </w:rPr>
              <w:t>მუხ</w:t>
            </w:r>
            <w:r w:rsidR="00B079C5">
              <w:rPr>
                <w:rFonts w:ascii="Sylfaen" w:hAnsi="Sylfaen" w:cs="Sylfaen"/>
                <w:color w:val="000000"/>
                <w:sz w:val="24"/>
                <w:lang w:val="ka-GE"/>
              </w:rPr>
              <w:t xml:space="preserve">ლის პირველი </w:t>
            </w:r>
            <w:r w:rsidR="00656CDF">
              <w:rPr>
                <w:rFonts w:ascii="Sylfaen" w:hAnsi="Sylfaen" w:cs="Sylfaen"/>
                <w:color w:val="000000"/>
                <w:sz w:val="24"/>
                <w:lang w:val="ka-GE"/>
              </w:rPr>
              <w:t>პუნქტი</w:t>
            </w:r>
            <w:r w:rsidR="00B079C5">
              <w:rPr>
                <w:rFonts w:ascii="Sylfaen" w:hAnsi="Sylfaen" w:cs="Sylfaen"/>
                <w:color w:val="000000"/>
                <w:sz w:val="24"/>
                <w:lang w:val="ka-GE"/>
              </w:rPr>
              <w:t xml:space="preserve"> სრულყოფილი სარგებლობა. </w:t>
            </w:r>
          </w:p>
          <w:p w14:paraId="74B4A790" w14:textId="669506DC" w:rsidR="002F2D22" w:rsidRDefault="00C26F98" w:rsidP="002F2D22">
            <w:pPr>
              <w:spacing w:line="276" w:lineRule="auto"/>
              <w:jc w:val="both"/>
              <w:rPr>
                <w:rFonts w:ascii="Sylfaen" w:hAnsi="Sylfaen"/>
                <w:noProof/>
                <w:color w:val="000000"/>
                <w:sz w:val="24"/>
                <w:lang w:val="ka-GE"/>
              </w:rPr>
            </w:pPr>
            <w:r>
              <w:rPr>
                <w:rFonts w:ascii="Sylfaen" w:hAnsi="Sylfaen"/>
                <w:noProof/>
                <w:color w:val="000000"/>
                <w:sz w:val="24"/>
                <w:lang w:val="ka-GE"/>
              </w:rPr>
              <w:t xml:space="preserve">       </w:t>
            </w:r>
            <w:r w:rsidR="00B079C5">
              <w:rPr>
                <w:rFonts w:ascii="Sylfaen" w:hAnsi="Sylfaen"/>
                <w:noProof/>
                <w:color w:val="000000"/>
                <w:sz w:val="24"/>
                <w:lang w:val="ka-GE"/>
              </w:rPr>
              <w:t xml:space="preserve">სადავო ნორმების თანახმად,  </w:t>
            </w:r>
            <w:r w:rsidR="005F0A73" w:rsidRPr="005F0A73">
              <w:rPr>
                <w:rFonts w:ascii="Sylfaen" w:hAnsi="Sylfaen"/>
                <w:b/>
                <w:noProof/>
                <w:color w:val="000000"/>
                <w:sz w:val="24"/>
                <w:lang w:val="ka-GE"/>
              </w:rPr>
              <w:t>სააპელაციო საჩივარი ქონებრივ-სამართლებრივ დავაში დასაშვებია იმ შემთხვევაში, თუ დავის საგნის ღირებულება აღემატება 2 000 ლარს. ეს ღირებულება განისაზღვრება იმის მიხედვით, თუ გასაჩივრებული გადაწყვეტილების რა ზომით შეცვლაზე შეაქვს საჩივარი მხარეს.</w:t>
            </w:r>
            <w:r w:rsidR="002E7CB3">
              <w:rPr>
                <w:rFonts w:ascii="Sylfaen" w:hAnsi="Sylfaen"/>
                <w:b/>
                <w:i/>
                <w:noProof/>
                <w:color w:val="000000"/>
                <w:lang w:val="ka-GE"/>
              </w:rPr>
              <w:t xml:space="preserve"> </w:t>
            </w:r>
            <w:r w:rsidR="002E7CB3">
              <w:rPr>
                <w:rFonts w:ascii="Sylfaen" w:hAnsi="Sylfaen"/>
                <w:noProof/>
                <w:color w:val="000000"/>
                <w:sz w:val="24"/>
                <w:szCs w:val="24"/>
                <w:lang w:val="ka-GE"/>
              </w:rPr>
              <w:t>აღნიშული ჩანაწერი</w:t>
            </w:r>
            <w:r w:rsidR="00316930" w:rsidRPr="00943687">
              <w:rPr>
                <w:rFonts w:ascii="Sylfaen" w:hAnsi="Sylfaen"/>
                <w:noProof/>
                <w:color w:val="000000"/>
                <w:sz w:val="24"/>
                <w:lang w:val="ka-GE"/>
              </w:rPr>
              <w:t xml:space="preserve"> პირდაპირ და უშუალო ზიანს აყენებს</w:t>
            </w:r>
            <w:r w:rsidR="00694E0C">
              <w:rPr>
                <w:rFonts w:ascii="Sylfaen" w:hAnsi="Sylfaen"/>
                <w:noProof/>
                <w:color w:val="000000"/>
                <w:sz w:val="24"/>
                <w:lang w:val="ka-GE"/>
              </w:rPr>
              <w:t xml:space="preserve">, იმ </w:t>
            </w:r>
            <w:r w:rsidR="00316930" w:rsidRPr="00943687">
              <w:rPr>
                <w:rFonts w:ascii="Sylfaen" w:hAnsi="Sylfaen"/>
                <w:noProof/>
                <w:color w:val="000000"/>
                <w:sz w:val="24"/>
                <w:lang w:val="ka-GE"/>
              </w:rPr>
              <w:t xml:space="preserve"> </w:t>
            </w:r>
            <w:r w:rsidR="00694E0C">
              <w:rPr>
                <w:rFonts w:ascii="Sylfaen" w:hAnsi="Sylfaen"/>
                <w:noProof/>
                <w:color w:val="000000"/>
                <w:sz w:val="24"/>
                <w:lang w:val="ka-GE"/>
              </w:rPr>
              <w:t xml:space="preserve">პირების ინტერესებს, </w:t>
            </w:r>
            <w:r w:rsidR="003D6E41">
              <w:rPr>
                <w:rFonts w:ascii="Sylfaen" w:hAnsi="Sylfaen"/>
                <w:noProof/>
                <w:color w:val="000000"/>
                <w:sz w:val="24"/>
                <w:lang w:val="ka-GE"/>
              </w:rPr>
              <w:t xml:space="preserve">რომლებიც სასამართლოში დავობენ/აპირებენ იდავონ 2000 ლარამდე თანხის ფარგლებში. </w:t>
            </w:r>
            <w:r w:rsidR="002F2D22">
              <w:rPr>
                <w:rFonts w:ascii="Sylfaen" w:hAnsi="Sylfaen"/>
                <w:noProof/>
                <w:color w:val="000000"/>
                <w:sz w:val="24"/>
                <w:lang w:val="ka-GE"/>
              </w:rPr>
              <w:t>მათ ერთმევათ სააპელაციო სასამართლოში მიმართვის უფლება</w:t>
            </w:r>
            <w:r w:rsidR="003D6E41">
              <w:rPr>
                <w:rFonts w:ascii="Sylfaen" w:hAnsi="Sylfaen"/>
                <w:noProof/>
                <w:color w:val="000000"/>
                <w:sz w:val="24"/>
                <w:lang w:val="ka-GE"/>
              </w:rPr>
              <w:t xml:space="preserve">, ვინაიდან: </w:t>
            </w:r>
            <w:r w:rsidR="00236329">
              <w:rPr>
                <w:rFonts w:ascii="Sylfaen" w:hAnsi="Sylfaen"/>
                <w:noProof/>
                <w:color w:val="000000"/>
                <w:sz w:val="24"/>
                <w:lang w:val="ka-GE"/>
              </w:rPr>
              <w:t xml:space="preserve">1) </w:t>
            </w:r>
            <w:r w:rsidR="003D6E41">
              <w:rPr>
                <w:rFonts w:ascii="Sylfaen" w:hAnsi="Sylfaen"/>
                <w:noProof/>
                <w:color w:val="000000"/>
                <w:sz w:val="24"/>
                <w:lang w:val="ka-GE"/>
              </w:rPr>
              <w:t xml:space="preserve">თუ  </w:t>
            </w:r>
            <w:r w:rsidR="00236329">
              <w:rPr>
                <w:rFonts w:ascii="Sylfaen" w:hAnsi="Sylfaen"/>
                <w:noProof/>
                <w:color w:val="000000"/>
                <w:sz w:val="24"/>
                <w:lang w:val="ka-GE"/>
              </w:rPr>
              <w:t xml:space="preserve">დავის საგნის ღირებულება არ აღემატება 2000 ლარს და </w:t>
            </w:r>
            <w:r w:rsidR="003D6E41">
              <w:rPr>
                <w:rFonts w:ascii="Sylfaen" w:hAnsi="Sylfaen"/>
                <w:noProof/>
                <w:color w:val="000000"/>
                <w:sz w:val="24"/>
                <w:lang w:val="ka-GE"/>
              </w:rPr>
              <w:t>სარჩელი არ დაკმაყოფილდა</w:t>
            </w:r>
            <w:r w:rsidR="00236329">
              <w:rPr>
                <w:rFonts w:ascii="Sylfaen" w:hAnsi="Sylfaen"/>
                <w:noProof/>
                <w:color w:val="000000"/>
                <w:sz w:val="24"/>
                <w:lang w:val="ka-GE"/>
              </w:rPr>
              <w:t xml:space="preserve"> მოსარჩელეს ერთმევა გადაწყვეტილების სააპელაციო სასამართლოში გასაჩივრების უფლება; 2) </w:t>
            </w:r>
            <w:r w:rsidR="00236329">
              <w:rPr>
                <w:rFonts w:ascii="Sylfaen" w:hAnsi="Sylfaen"/>
                <w:noProof/>
                <w:color w:val="000000"/>
                <w:sz w:val="24"/>
                <w:lang w:val="ka-GE"/>
              </w:rPr>
              <w:lastRenderedPageBreak/>
              <w:t xml:space="preserve">თუ  დავის საგნის ღირებულება არ აღემატება 2000 ლარს და სარჩელი დაკმაყოფილდა მოპასუხეს ერთმევა გადაწყვეტილების სააპელაციო სასამართლოში გასაჩივრების უფლება; 3) ანალოგიური წესი ვრცელდება სარჩელის ნაწილობრივ დაკმაყოფილების შემთხვევაში, თუ მხარის მიერ შეტანილი სააპელაციო საჩივარი ეხება 2000 ლარზე ნაკლებ </w:t>
            </w:r>
            <w:r w:rsidR="00F10049">
              <w:rPr>
                <w:rFonts w:ascii="Sylfaen" w:hAnsi="Sylfaen"/>
                <w:noProof/>
                <w:color w:val="000000"/>
                <w:sz w:val="24"/>
                <w:lang w:val="ka-GE"/>
              </w:rPr>
              <w:t>დავის საგნის ნაწილს,</w:t>
            </w:r>
            <w:r w:rsidR="00236329">
              <w:rPr>
                <w:rFonts w:ascii="Sylfaen" w:hAnsi="Sylfaen"/>
                <w:noProof/>
                <w:color w:val="000000"/>
                <w:sz w:val="24"/>
                <w:lang w:val="ka-GE"/>
              </w:rPr>
              <w:t xml:space="preserve"> სააპელაციო სასამართო მას არ განი</w:t>
            </w:r>
            <w:r w:rsidR="00F10049">
              <w:rPr>
                <w:rFonts w:ascii="Sylfaen" w:hAnsi="Sylfaen"/>
                <w:noProof/>
                <w:color w:val="000000"/>
                <w:sz w:val="24"/>
                <w:lang w:val="ka-GE"/>
              </w:rPr>
              <w:t>ხი</w:t>
            </w:r>
            <w:r w:rsidR="00236329">
              <w:rPr>
                <w:rFonts w:ascii="Sylfaen" w:hAnsi="Sylfaen"/>
                <w:noProof/>
                <w:color w:val="000000"/>
                <w:sz w:val="24"/>
                <w:lang w:val="ka-GE"/>
              </w:rPr>
              <w:t xml:space="preserve">ლავს.  შესაბამისად, მსგავის </w:t>
            </w:r>
            <w:r w:rsidR="002F2D22">
              <w:rPr>
                <w:rFonts w:ascii="Sylfaen" w:hAnsi="Sylfaen"/>
                <w:noProof/>
                <w:color w:val="000000"/>
                <w:sz w:val="24"/>
                <w:lang w:val="ka-GE"/>
              </w:rPr>
              <w:t>რეგულაციური მიდგომა</w:t>
            </w:r>
            <w:r w:rsidR="00236329">
              <w:rPr>
                <w:rFonts w:ascii="Sylfaen" w:hAnsi="Sylfaen"/>
                <w:noProof/>
                <w:color w:val="000000"/>
                <w:sz w:val="24"/>
                <w:lang w:val="ka-GE"/>
              </w:rPr>
              <w:t xml:space="preserve">, და არალეგიტიმურად დაწესებული </w:t>
            </w:r>
            <w:r w:rsidR="00F10049">
              <w:rPr>
                <w:rFonts w:ascii="Sylfaen" w:hAnsi="Sylfaen"/>
                <w:noProof/>
                <w:color w:val="000000"/>
                <w:sz w:val="24"/>
                <w:lang w:val="ka-GE"/>
              </w:rPr>
              <w:t xml:space="preserve">თანხობრივი </w:t>
            </w:r>
            <w:r w:rsidR="00236329">
              <w:rPr>
                <w:rFonts w:ascii="Sylfaen" w:hAnsi="Sylfaen"/>
                <w:noProof/>
                <w:color w:val="000000"/>
                <w:sz w:val="24"/>
                <w:lang w:val="ka-GE"/>
              </w:rPr>
              <w:t>ზღვარი</w:t>
            </w:r>
            <w:r w:rsidR="00F10049">
              <w:rPr>
                <w:rFonts w:ascii="Sylfaen" w:hAnsi="Sylfaen"/>
                <w:noProof/>
                <w:color w:val="000000"/>
                <w:sz w:val="24"/>
                <w:lang w:val="ka-GE"/>
              </w:rPr>
              <w:t xml:space="preserve"> მოსარჩელესაც და მოპასუხესაც უზღუდავს</w:t>
            </w:r>
            <w:r w:rsidR="00236329">
              <w:rPr>
                <w:rFonts w:ascii="Sylfaen" w:hAnsi="Sylfaen"/>
                <w:noProof/>
                <w:color w:val="000000"/>
                <w:sz w:val="24"/>
                <w:lang w:val="ka-GE"/>
              </w:rPr>
              <w:t xml:space="preserve"> გასაჩივრების უფლებას</w:t>
            </w:r>
            <w:r w:rsidR="00F10049">
              <w:rPr>
                <w:rFonts w:ascii="Sylfaen" w:hAnsi="Sylfaen"/>
                <w:noProof/>
                <w:color w:val="000000"/>
                <w:sz w:val="24"/>
                <w:lang w:val="ka-GE"/>
              </w:rPr>
              <w:t xml:space="preserve">. ეს კი </w:t>
            </w:r>
            <w:r w:rsidR="002F2D22">
              <w:rPr>
                <w:rFonts w:ascii="Sylfaen" w:hAnsi="Sylfaen"/>
                <w:noProof/>
                <w:color w:val="000000"/>
                <w:sz w:val="24"/>
                <w:lang w:val="ka-GE"/>
              </w:rPr>
              <w:t xml:space="preserve">ყოვლად დაუშვებელია </w:t>
            </w:r>
            <w:r w:rsidR="00236329">
              <w:rPr>
                <w:rFonts w:ascii="Sylfaen" w:hAnsi="Sylfaen"/>
                <w:noProof/>
                <w:color w:val="000000"/>
                <w:sz w:val="24"/>
                <w:lang w:val="ka-GE"/>
              </w:rPr>
              <w:t xml:space="preserve">კოსტიტუციით გარანტირებული </w:t>
            </w:r>
            <w:r w:rsidR="002F2D22">
              <w:rPr>
                <w:rFonts w:ascii="Sylfaen" w:hAnsi="Sylfaen"/>
                <w:noProof/>
                <w:color w:val="000000"/>
                <w:sz w:val="24"/>
                <w:lang w:val="ka-GE"/>
              </w:rPr>
              <w:t>სასამართლოში მიმართვის უფლების სრულყოფილი რეალიზაციისათვის.</w:t>
            </w:r>
          </w:p>
          <w:p w14:paraId="72A57E63" w14:textId="3CD9D0BC" w:rsidR="002E7CB3" w:rsidRPr="002E7CB3" w:rsidRDefault="00C26F98" w:rsidP="002F2D22">
            <w:pPr>
              <w:spacing w:line="276" w:lineRule="auto"/>
              <w:jc w:val="both"/>
              <w:rPr>
                <w:rFonts w:ascii="Sylfaen" w:hAnsi="Sylfaen"/>
                <w:noProof/>
                <w:color w:val="000000"/>
                <w:sz w:val="24"/>
                <w:lang w:val="ka-GE"/>
              </w:rPr>
            </w:pPr>
            <w:r>
              <w:rPr>
                <w:rFonts w:ascii="Sylfaen" w:hAnsi="Sylfaen"/>
                <w:noProof/>
                <w:color w:val="000000"/>
                <w:sz w:val="24"/>
                <w:lang w:val="ka-GE"/>
              </w:rPr>
              <w:t xml:space="preserve">       </w:t>
            </w:r>
            <w:r w:rsidR="002E7CB3">
              <w:rPr>
                <w:rFonts w:ascii="Sylfaen" w:hAnsi="Sylfaen"/>
                <w:noProof/>
                <w:color w:val="000000"/>
                <w:sz w:val="24"/>
                <w:lang w:val="ka-GE"/>
              </w:rPr>
              <w:t xml:space="preserve">ხსენებული ნორმების ჩანაწერი არსებით წინააღმდეგობაში მოდის საქართველოს კონსტიტუციასთან. ჩვენი კოპმპანიის ორგანიზაციულ-სამართლებრივი სტატუსიდან გამომდიანრე, მიგვაჩნია, რომ პოტენციურად ირღვევა ჩვენი უფლებები, ვინაიდან, სადავოობისას </w:t>
            </w:r>
            <w:r w:rsidR="002F2D22">
              <w:rPr>
                <w:rFonts w:ascii="Sylfaen" w:hAnsi="Sylfaen"/>
                <w:noProof/>
                <w:color w:val="000000"/>
                <w:sz w:val="24"/>
                <w:lang w:val="ka-GE"/>
              </w:rPr>
              <w:t xml:space="preserve">თუ </w:t>
            </w:r>
            <w:r w:rsidR="00236329">
              <w:rPr>
                <w:rFonts w:ascii="Sylfaen" w:hAnsi="Sylfaen"/>
                <w:noProof/>
                <w:color w:val="000000"/>
                <w:sz w:val="24"/>
                <w:lang w:val="ka-GE"/>
              </w:rPr>
              <w:t xml:space="preserve">დავის საგანი არ აღემატება 2000 ლარს, </w:t>
            </w:r>
            <w:r w:rsidR="002F2D22">
              <w:rPr>
                <w:rFonts w:ascii="Sylfaen" w:hAnsi="Sylfaen"/>
                <w:noProof/>
                <w:color w:val="000000"/>
                <w:sz w:val="24"/>
                <w:lang w:val="ka-GE"/>
              </w:rPr>
              <w:t>გვერთმება პირველი ინსტანციის სასამართლოს გადაწყვეტილებ</w:t>
            </w:r>
            <w:r w:rsidR="00236329">
              <w:rPr>
                <w:rFonts w:ascii="Sylfaen" w:hAnsi="Sylfaen"/>
                <w:noProof/>
                <w:color w:val="000000"/>
                <w:sz w:val="24"/>
                <w:lang w:val="ka-GE"/>
              </w:rPr>
              <w:t>ის</w:t>
            </w:r>
            <w:r w:rsidR="002F2D22">
              <w:rPr>
                <w:rFonts w:ascii="Sylfaen" w:hAnsi="Sylfaen"/>
                <w:noProof/>
                <w:color w:val="000000"/>
                <w:sz w:val="24"/>
                <w:lang w:val="ka-GE"/>
              </w:rPr>
              <w:t xml:space="preserve">  სააპელაციო სასამართლოში</w:t>
            </w:r>
            <w:r w:rsidR="00236329">
              <w:rPr>
                <w:rFonts w:ascii="Sylfaen" w:hAnsi="Sylfaen"/>
                <w:noProof/>
                <w:color w:val="000000"/>
                <w:sz w:val="24"/>
                <w:lang w:val="ka-GE"/>
              </w:rPr>
              <w:t xml:space="preserve"> გასაჩივრების შესაძლებლობა</w:t>
            </w:r>
            <w:r w:rsidR="002F2D22">
              <w:rPr>
                <w:rFonts w:ascii="Sylfaen" w:hAnsi="Sylfaen"/>
                <w:noProof/>
                <w:color w:val="000000"/>
                <w:sz w:val="24"/>
                <w:lang w:val="ka-GE"/>
              </w:rPr>
              <w:t>.</w:t>
            </w:r>
            <w:r w:rsidR="002E7CB3">
              <w:rPr>
                <w:rFonts w:ascii="Sylfaen" w:hAnsi="Sylfaen"/>
                <w:noProof/>
                <w:color w:val="000000"/>
                <w:sz w:val="24"/>
                <w:lang w:val="ka-GE"/>
              </w:rPr>
              <w:t xml:space="preserve">  ამგვარ</w:t>
            </w:r>
            <w:r w:rsidR="002F2D22">
              <w:rPr>
                <w:rFonts w:ascii="Sylfaen" w:hAnsi="Sylfaen"/>
                <w:noProof/>
                <w:color w:val="000000"/>
                <w:sz w:val="24"/>
                <w:lang w:val="ka-GE"/>
              </w:rPr>
              <w:t>ი პროცესულაური მოწესრიგება</w:t>
            </w:r>
            <w:r w:rsidR="002E7CB3">
              <w:rPr>
                <w:rFonts w:ascii="Sylfaen" w:hAnsi="Sylfaen"/>
                <w:noProof/>
                <w:color w:val="000000"/>
                <w:sz w:val="24"/>
                <w:lang w:val="ka-GE"/>
              </w:rPr>
              <w:t xml:space="preserve"> </w:t>
            </w:r>
            <w:r w:rsidR="002F2D22">
              <w:rPr>
                <w:rFonts w:ascii="Sylfaen" w:hAnsi="Sylfaen"/>
                <w:noProof/>
                <w:color w:val="000000"/>
                <w:sz w:val="24"/>
                <w:lang w:val="ka-GE"/>
              </w:rPr>
              <w:t>ცალსახად ქმნის</w:t>
            </w:r>
            <w:r w:rsidR="002E7CB3">
              <w:rPr>
                <w:rFonts w:ascii="Sylfaen" w:hAnsi="Sylfaen"/>
                <w:noProof/>
                <w:color w:val="000000"/>
                <w:sz w:val="24"/>
                <w:lang w:val="ka-GE"/>
              </w:rPr>
              <w:t xml:space="preserve"> სასამართლოში დარღვეული უფლების აღსადგენად მიმართვის </w:t>
            </w:r>
            <w:r w:rsidR="002F2D22">
              <w:rPr>
                <w:rFonts w:ascii="Sylfaen" w:hAnsi="Sylfaen"/>
                <w:noProof/>
                <w:color w:val="000000"/>
                <w:sz w:val="24"/>
                <w:lang w:val="ka-GE"/>
              </w:rPr>
              <w:t>ბარიერებს,</w:t>
            </w:r>
            <w:r w:rsidR="002E7CB3">
              <w:rPr>
                <w:rFonts w:ascii="Sylfaen" w:hAnsi="Sylfaen"/>
                <w:noProof/>
                <w:color w:val="000000"/>
                <w:sz w:val="24"/>
                <w:lang w:val="ka-GE"/>
              </w:rPr>
              <w:t xml:space="preserve"> რაც</w:t>
            </w:r>
            <w:r w:rsidR="002F2D22">
              <w:rPr>
                <w:rFonts w:ascii="Sylfaen" w:hAnsi="Sylfaen"/>
                <w:noProof/>
                <w:color w:val="000000"/>
                <w:sz w:val="24"/>
                <w:lang w:val="ka-GE"/>
              </w:rPr>
              <w:t>,</w:t>
            </w:r>
            <w:r w:rsidR="002E7CB3">
              <w:rPr>
                <w:rFonts w:ascii="Sylfaen" w:hAnsi="Sylfaen"/>
                <w:noProof/>
                <w:color w:val="000000"/>
                <w:sz w:val="24"/>
                <w:lang w:val="ka-GE"/>
              </w:rPr>
              <w:t xml:space="preserve"> ცხადია</w:t>
            </w:r>
            <w:r w:rsidR="002F2D22">
              <w:rPr>
                <w:rFonts w:ascii="Sylfaen" w:hAnsi="Sylfaen"/>
                <w:noProof/>
                <w:color w:val="000000"/>
                <w:sz w:val="24"/>
                <w:lang w:val="ka-GE"/>
              </w:rPr>
              <w:t>,</w:t>
            </w:r>
            <w:r w:rsidR="002E7CB3">
              <w:rPr>
                <w:rFonts w:ascii="Sylfaen" w:hAnsi="Sylfaen"/>
                <w:noProof/>
                <w:color w:val="000000"/>
                <w:sz w:val="24"/>
                <w:lang w:val="ka-GE"/>
              </w:rPr>
              <w:t xml:space="preserve"> ეწინააღმდეგება სამართლიანი სახელმწიფოსა და სასამართლოს ხელმისაწვდომობის პრინციპებს.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D54679" w:rsidRPr="00B93430" w14:paraId="78FCF6AE"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77031AB" w14:textId="77777777" w:rsidR="00CA64BF" w:rsidRDefault="00CA64BF" w:rsidP="00CA64BF">
            <w:pPr>
              <w:tabs>
                <w:tab w:val="left" w:pos="0"/>
              </w:tabs>
              <w:spacing w:after="120" w:line="276" w:lineRule="auto"/>
              <w:ind w:firstLine="851"/>
              <w:jc w:val="both"/>
              <w:rPr>
                <w:rFonts w:ascii="Sylfaen" w:hAnsi="Sylfaen" w:cs="Sylfaen"/>
                <w:sz w:val="24"/>
                <w:szCs w:val="24"/>
                <w:lang w:val="ka-GE"/>
              </w:rPr>
            </w:pPr>
            <w:permStart w:id="396763608" w:edGrp="everyone" w:colFirst="0" w:colLast="0"/>
          </w:p>
          <w:p w14:paraId="65AAB375" w14:textId="77777777" w:rsidR="00CA64BF" w:rsidRDefault="00CA64BF" w:rsidP="00CA64BF">
            <w:pPr>
              <w:tabs>
                <w:tab w:val="left" w:pos="0"/>
              </w:tabs>
              <w:spacing w:after="120" w:line="276" w:lineRule="auto"/>
              <w:ind w:firstLine="851"/>
              <w:jc w:val="both"/>
              <w:rPr>
                <w:rFonts w:ascii="Sylfaen" w:hAnsi="Sylfaen" w:cs="Sylfaen"/>
                <w:sz w:val="24"/>
                <w:szCs w:val="24"/>
                <w:lang w:val="ka-GE"/>
              </w:rPr>
            </w:pPr>
          </w:p>
          <w:p w14:paraId="6083881E" w14:textId="77777777" w:rsidR="00CA64BF" w:rsidRDefault="00CA64BF" w:rsidP="00CA64BF">
            <w:pPr>
              <w:tabs>
                <w:tab w:val="left" w:pos="0"/>
              </w:tabs>
              <w:spacing w:after="120" w:line="276" w:lineRule="auto"/>
              <w:ind w:firstLine="851"/>
              <w:jc w:val="both"/>
              <w:rPr>
                <w:rFonts w:ascii="Sylfaen" w:hAnsi="Sylfaen" w:cs="Sylfaen"/>
                <w:sz w:val="24"/>
                <w:szCs w:val="24"/>
                <w:lang w:val="ka-GE"/>
              </w:rPr>
            </w:pPr>
          </w:p>
          <w:p w14:paraId="6F2BF483" w14:textId="60B37B06" w:rsidR="00D54679" w:rsidRPr="00D4626F" w:rsidRDefault="00D54679" w:rsidP="00CA64BF">
            <w:pPr>
              <w:tabs>
                <w:tab w:val="left" w:pos="0"/>
              </w:tabs>
              <w:spacing w:after="120" w:line="276" w:lineRule="auto"/>
              <w:ind w:firstLine="851"/>
              <w:jc w:val="both"/>
              <w:rPr>
                <w:rFonts w:ascii="Sylfaen" w:hAnsi="Sylfaen" w:cs="Sylfaen"/>
                <w:sz w:val="24"/>
                <w:szCs w:val="24"/>
                <w:shd w:val="clear" w:color="auto" w:fill="FFFFFF"/>
                <w:lang w:val="ka-GE"/>
              </w:rPr>
            </w:pPr>
            <w:r w:rsidRPr="008B1276">
              <w:rPr>
                <w:rFonts w:ascii="Sylfaen" w:hAnsi="Sylfaen" w:cs="Sylfaen"/>
                <w:sz w:val="24"/>
                <w:szCs w:val="24"/>
                <w:lang w:val="ka-GE"/>
              </w:rPr>
              <w:t>საქართველო</w:t>
            </w:r>
            <w:r w:rsidRPr="00AD65A7">
              <w:rPr>
                <w:rFonts w:ascii="Sylfaen" w:hAnsi="Sylfaen" w:cs="Sylfaen"/>
                <w:sz w:val="24"/>
                <w:szCs w:val="24"/>
                <w:lang w:val="ka-GE"/>
              </w:rPr>
              <w:t xml:space="preserve"> </w:t>
            </w:r>
            <w:r w:rsidRPr="008B1276">
              <w:rPr>
                <w:rFonts w:ascii="Sylfaen" w:hAnsi="Sylfaen" w:cs="Sylfaen"/>
                <w:sz w:val="24"/>
                <w:szCs w:val="24"/>
                <w:lang w:val="ka-GE"/>
              </w:rPr>
              <w:t>კონსტიტუციის</w:t>
            </w:r>
            <w:r w:rsidRPr="008B1276">
              <w:rPr>
                <w:rFonts w:ascii="Sylfaen" w:hAnsi="Sylfaen" w:cs="Calibri"/>
                <w:sz w:val="24"/>
                <w:szCs w:val="24"/>
                <w:lang w:val="ka-GE"/>
              </w:rPr>
              <w:t xml:space="preserve"> </w:t>
            </w:r>
            <w:r w:rsidRPr="00D4626F">
              <w:rPr>
                <w:rFonts w:ascii="Sylfaen" w:hAnsi="Sylfaen" w:cs="Calibri"/>
                <w:sz w:val="24"/>
                <w:szCs w:val="24"/>
                <w:lang w:val="ka-GE"/>
              </w:rPr>
              <w:t>31</w:t>
            </w:r>
            <w:r w:rsidRPr="008B1276">
              <w:rPr>
                <w:rFonts w:ascii="Sylfaen" w:hAnsi="Sylfaen" w:cs="Calibri"/>
                <w:sz w:val="24"/>
                <w:szCs w:val="24"/>
                <w:lang w:val="ka-GE"/>
              </w:rPr>
              <w:t xml:space="preserve">–ე </w:t>
            </w:r>
            <w:r w:rsidRPr="008B1276">
              <w:rPr>
                <w:rFonts w:ascii="Sylfaen" w:hAnsi="Sylfaen" w:cs="Sylfaen"/>
                <w:sz w:val="24"/>
                <w:szCs w:val="24"/>
                <w:lang w:val="ka-GE"/>
              </w:rPr>
              <w:t>მუხლის პირველი პუნქტის</w:t>
            </w:r>
            <w:r w:rsidRPr="00AD65A7">
              <w:rPr>
                <w:rFonts w:ascii="Sylfaen" w:hAnsi="Sylfaen" w:cs="Sylfaen"/>
                <w:sz w:val="24"/>
                <w:szCs w:val="24"/>
                <w:lang w:val="ka-GE"/>
              </w:rPr>
              <w:t xml:space="preserve"> </w:t>
            </w:r>
            <w:r w:rsidRPr="008B1276">
              <w:rPr>
                <w:rFonts w:ascii="Sylfaen" w:hAnsi="Sylfaen" w:cs="Sylfaen"/>
                <w:sz w:val="24"/>
                <w:szCs w:val="24"/>
                <w:lang w:val="ka-GE"/>
              </w:rPr>
              <w:t>თანახმად:</w:t>
            </w:r>
            <w:r w:rsidRPr="00AD65A7">
              <w:rPr>
                <w:rFonts w:ascii="Sylfaen" w:hAnsi="Sylfaen" w:cs="Sylfaen"/>
                <w:sz w:val="24"/>
                <w:szCs w:val="24"/>
                <w:lang w:val="ka-GE"/>
              </w:rPr>
              <w:t xml:space="preserve"> </w:t>
            </w:r>
            <w:r w:rsidRPr="008B1276">
              <w:rPr>
                <w:rFonts w:ascii="Sylfaen" w:hAnsi="Sylfaen"/>
                <w:sz w:val="24"/>
                <w:szCs w:val="24"/>
                <w:lang w:val="ka-GE"/>
              </w:rPr>
              <w:t>„</w:t>
            </w:r>
            <w:r w:rsidRPr="00E74FF8">
              <w:rPr>
                <w:rFonts w:ascii="Sylfaen" w:hAnsi="Sylfaen" w:cs="Sylfaen"/>
                <w:sz w:val="24"/>
                <w:szCs w:val="24"/>
                <w:shd w:val="clear" w:color="auto" w:fill="FFFFFF"/>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Pr>
                <w:rFonts w:ascii="Sylfaen" w:hAnsi="Sylfaen" w:cs="Sylfaen"/>
                <w:sz w:val="24"/>
                <w:szCs w:val="24"/>
                <w:shd w:val="clear" w:color="auto" w:fill="FFFFFF"/>
                <w:lang w:val="ka-GE"/>
              </w:rPr>
              <w:t>“</w:t>
            </w:r>
            <w:r w:rsidRPr="00E74FF8">
              <w:rPr>
                <w:rFonts w:ascii="Sylfaen" w:hAnsi="Sylfaen" w:cs="Sylfaen"/>
                <w:sz w:val="24"/>
                <w:szCs w:val="24"/>
                <w:shd w:val="clear" w:color="auto" w:fill="FFFFFF"/>
                <w:lang w:val="ka-GE"/>
              </w:rPr>
              <w:t>.</w:t>
            </w:r>
            <w:r w:rsidRPr="00D4626F">
              <w:rPr>
                <w:rFonts w:ascii="Sylfaen" w:hAnsi="Sylfaen" w:cs="Sylfaen"/>
                <w:sz w:val="24"/>
                <w:szCs w:val="24"/>
                <w:shd w:val="clear" w:color="auto" w:fill="FFFFFF"/>
                <w:lang w:val="ka-GE"/>
              </w:rPr>
              <w:t xml:space="preserve"> </w:t>
            </w:r>
          </w:p>
          <w:p w14:paraId="04503131" w14:textId="77777777" w:rsidR="00D54679" w:rsidRDefault="00D54679" w:rsidP="00CA64BF">
            <w:pPr>
              <w:tabs>
                <w:tab w:val="left" w:pos="0"/>
              </w:tabs>
              <w:spacing w:after="120" w:line="276" w:lineRule="auto"/>
              <w:ind w:firstLine="851"/>
              <w:jc w:val="both"/>
              <w:rPr>
                <w:rFonts w:ascii="Sylfaen" w:hAnsi="Sylfaen"/>
                <w:sz w:val="24"/>
                <w:szCs w:val="24"/>
                <w:lang w:val="ka-GE"/>
              </w:rPr>
            </w:pPr>
            <w:r w:rsidRPr="008B1276">
              <w:rPr>
                <w:rFonts w:ascii="Sylfaen" w:hAnsi="Sylfaen"/>
                <w:sz w:val="24"/>
                <w:szCs w:val="24"/>
                <w:lang w:val="ka-GE"/>
              </w:rPr>
              <w:t xml:space="preserve">აღნიშნული კონსტიტუციური დებულებით განმტკიცებულია სამართლიანი სასამართლოს უფლება. სამართლიანი სასამართლოს უფლება ორგანულ კავშირშია კონსტიტუციით განსაზღვრული სამართლებრივი სახელმწიფოს პრინციპთან და ამ უფლების სრულყოფილ რეალიზაციას ფუძემდებლური მნიშვნელობა აქვს </w:t>
            </w:r>
            <w:r w:rsidRPr="008B1276">
              <w:rPr>
                <w:rFonts w:ascii="Sylfaen" w:hAnsi="Sylfaen" w:cs="Sylfaen"/>
                <w:sz w:val="24"/>
                <w:szCs w:val="24"/>
                <w:lang w:val="ka-GE"/>
              </w:rPr>
              <w:t>დემოკრატიული</w:t>
            </w:r>
            <w:r w:rsidRPr="00AD65A7">
              <w:rPr>
                <w:rFonts w:ascii="Sylfaen" w:hAnsi="Sylfaen" w:cs="Sylfaen"/>
                <w:sz w:val="24"/>
                <w:szCs w:val="24"/>
                <w:lang w:val="ka-GE"/>
              </w:rPr>
              <w:t xml:space="preserve"> </w:t>
            </w:r>
            <w:r w:rsidRPr="008B1276">
              <w:rPr>
                <w:rFonts w:ascii="Sylfaen" w:hAnsi="Sylfaen"/>
                <w:sz w:val="24"/>
                <w:szCs w:val="24"/>
                <w:lang w:val="ka-GE"/>
              </w:rPr>
              <w:t>სახელმწიფოს ფუნქციონირებისათვის.</w:t>
            </w:r>
            <w:r>
              <w:rPr>
                <w:rFonts w:ascii="Sylfaen" w:hAnsi="Sylfaen"/>
                <w:sz w:val="24"/>
                <w:szCs w:val="24"/>
                <w:lang w:val="ka-GE"/>
              </w:rPr>
              <w:t xml:space="preserve"> </w:t>
            </w:r>
          </w:p>
          <w:p w14:paraId="137BD1FC" w14:textId="77777777" w:rsidR="00D54679" w:rsidRDefault="00D54679" w:rsidP="00CA64BF">
            <w:pPr>
              <w:tabs>
                <w:tab w:val="left" w:pos="0"/>
              </w:tabs>
              <w:spacing w:after="120" w:line="276" w:lineRule="auto"/>
              <w:ind w:firstLine="851"/>
              <w:jc w:val="both"/>
              <w:rPr>
                <w:rFonts w:ascii="Sylfaen" w:hAnsi="Sylfaen"/>
                <w:sz w:val="24"/>
                <w:szCs w:val="24"/>
                <w:lang w:val="ka-GE"/>
              </w:rPr>
            </w:pPr>
            <w:r w:rsidRPr="006E303D">
              <w:rPr>
                <w:rFonts w:ascii="Sylfaen" w:hAnsi="Sylfaen"/>
                <w:sz w:val="24"/>
                <w:szCs w:val="24"/>
                <w:lang w:val="ka-GE"/>
              </w:rPr>
              <w:t xml:space="preserve">საქართველოს კონსტიტუციის </w:t>
            </w:r>
            <w:r>
              <w:rPr>
                <w:rFonts w:ascii="Sylfaen" w:hAnsi="Sylfaen"/>
                <w:sz w:val="24"/>
                <w:szCs w:val="24"/>
                <w:lang w:val="ka-GE"/>
              </w:rPr>
              <w:t>31</w:t>
            </w:r>
            <w:r w:rsidRPr="006E303D">
              <w:rPr>
                <w:rFonts w:ascii="Sylfaen" w:hAnsi="Sylfaen"/>
                <w:sz w:val="24"/>
                <w:szCs w:val="24"/>
                <w:lang w:val="ka-GE"/>
              </w:rPr>
              <w:t>-ე მუხლის პირველი</w:t>
            </w:r>
            <w:r>
              <w:rPr>
                <w:rFonts w:ascii="Sylfaen" w:hAnsi="Sylfaen"/>
                <w:sz w:val="24"/>
                <w:szCs w:val="24"/>
                <w:lang w:val="ka-GE"/>
              </w:rPr>
              <w:t xml:space="preserve"> პუნქტი</w:t>
            </w:r>
            <w:r w:rsidRPr="006E303D">
              <w:rPr>
                <w:rFonts w:ascii="Sylfaen" w:hAnsi="Sylfaen"/>
                <w:sz w:val="24"/>
                <w:szCs w:val="24"/>
                <w:lang w:val="ka-GE"/>
              </w:rPr>
              <w:t xml:space="preserve">, უპირველეს ყოვლისა, იძლევა სამოქალაქო და ადმინისტრაციული სამართალწარმოების გზით სასამართლოსათვის მიმართვის უფლებას. </w:t>
            </w:r>
            <w:r>
              <w:rPr>
                <w:rFonts w:ascii="Sylfaen" w:hAnsi="Sylfaen"/>
                <w:sz w:val="24"/>
                <w:szCs w:val="24"/>
                <w:lang w:val="ka-GE"/>
              </w:rPr>
              <w:t>ადამიანის უფლებათა ევროპული კონვენციის (შემდგომ</w:t>
            </w:r>
            <w:r w:rsidRPr="006E303D">
              <w:rPr>
                <w:rFonts w:ascii="Sylfaen" w:hAnsi="Sylfaen"/>
                <w:sz w:val="24"/>
                <w:szCs w:val="24"/>
                <w:lang w:val="ka-GE"/>
              </w:rPr>
              <w:t xml:space="preserve"> </w:t>
            </w:r>
            <w:r>
              <w:rPr>
                <w:rFonts w:ascii="Sylfaen" w:hAnsi="Sylfaen"/>
                <w:sz w:val="24"/>
                <w:szCs w:val="24"/>
                <w:lang w:val="ka-GE"/>
              </w:rPr>
              <w:t>კონვენცია)</w:t>
            </w:r>
            <w:r w:rsidRPr="006E303D">
              <w:rPr>
                <w:rFonts w:ascii="Sylfaen" w:hAnsi="Sylfaen"/>
                <w:sz w:val="24"/>
                <w:szCs w:val="24"/>
                <w:lang w:val="ka-GE"/>
              </w:rPr>
              <w:t xml:space="preserve"> მე-6 მუხლის პირველი აბზაცი.  ევროპის ადამიანის უფლებათა დაცვის კონვენციის მე-6 მუხლის შესაბამისად ყოველი ადამიანისათვის გათვალისწინებულია სამართლიანი და ხელმისაწვდომი სასამართლოს უფლება. ამ უფლების განმტკიცება სახელმწიფოს ვალდებულებაა.</w:t>
            </w:r>
            <w:r>
              <w:rPr>
                <w:rFonts w:ascii="Sylfaen" w:hAnsi="Sylfaen"/>
                <w:sz w:val="24"/>
                <w:szCs w:val="24"/>
                <w:lang w:val="ka-GE"/>
              </w:rPr>
              <w:t xml:space="preserve"> </w:t>
            </w:r>
            <w:r w:rsidRPr="006E303D">
              <w:rPr>
                <w:rFonts w:ascii="Sylfaen" w:hAnsi="Sylfaen"/>
                <w:sz w:val="24"/>
                <w:szCs w:val="24"/>
                <w:lang w:val="ka-GE"/>
              </w:rPr>
              <w:t>ევროსასამართლოს პრეცედენტული სამართლით ასევე დადგენილია, რომ სასამართლოსათვის მიმართვის უფლება უნდა იყოს პრაქტიკული და ეფექტური [იხ. Bellet v. France, § 38].</w:t>
            </w:r>
            <w:r>
              <w:rPr>
                <w:rFonts w:ascii="Sylfaen" w:hAnsi="Sylfaen"/>
                <w:sz w:val="24"/>
                <w:szCs w:val="24"/>
                <w:lang w:val="ka-GE"/>
              </w:rPr>
              <w:t xml:space="preserve"> </w:t>
            </w:r>
            <w:r w:rsidRPr="006E303D">
              <w:rPr>
                <w:rFonts w:ascii="Sylfaen" w:hAnsi="Sylfaen"/>
                <w:sz w:val="24"/>
                <w:szCs w:val="24"/>
                <w:lang w:val="ka-GE"/>
              </w:rPr>
              <w:t>იმისათვის, რათა სასამართლოსათვის წვდომა იყოს ეფექტური, აუცილებელია პირს მიეცეს საშუალება ნათელი და პრაქტიკული საშუალება სადავოდ გახადოს ის აქტი, რომელიც მის უფლებებს არღვევს [იხ.</w:t>
            </w:r>
            <w:r>
              <w:rPr>
                <w:rFonts w:ascii="Sylfaen" w:hAnsi="Sylfaen"/>
                <w:sz w:val="24"/>
                <w:szCs w:val="24"/>
                <w:lang w:val="ka-GE"/>
              </w:rPr>
              <w:t xml:space="preserve"> </w:t>
            </w:r>
            <w:r w:rsidRPr="006E303D">
              <w:rPr>
                <w:rFonts w:ascii="Sylfaen" w:hAnsi="Sylfaen"/>
                <w:sz w:val="24"/>
                <w:szCs w:val="24"/>
                <w:lang w:val="ka-GE"/>
              </w:rPr>
              <w:t>Nunes Dias v. Portugal].</w:t>
            </w:r>
            <w:r>
              <w:rPr>
                <w:rFonts w:ascii="Sylfaen" w:hAnsi="Sylfaen"/>
                <w:sz w:val="24"/>
                <w:szCs w:val="24"/>
                <w:lang w:val="ka-GE"/>
              </w:rPr>
              <w:t xml:space="preserve"> </w:t>
            </w:r>
            <w:r w:rsidRPr="00590404">
              <w:rPr>
                <w:rFonts w:ascii="Sylfaen" w:hAnsi="Sylfaen"/>
                <w:sz w:val="24"/>
                <w:szCs w:val="24"/>
                <w:lang w:val="ka-GE"/>
              </w:rPr>
              <w:t xml:space="preserve">ის შეზღუდვები, რომლებიც სასამართლოსათვის მიმართვის უფლებას შეიძლება დაუწესდეს საჭირო უნდა იყოს მხოლოდ მართლმსაჯულების სწორი და ეფექტური ადმინისტრირებისათვის და მიზნად არ უნდა ისახავდეს პირისათვის უფლების სრულად ხელყოფას [იხ. Cañete de Goñi v. Spain, § 36]. კანონმდებლობამ არ უნდა შეზღუდოს </w:t>
            </w:r>
            <w:r>
              <w:rPr>
                <w:rFonts w:ascii="Sylfaen" w:hAnsi="Sylfaen"/>
                <w:sz w:val="24"/>
                <w:szCs w:val="24"/>
                <w:lang w:val="ka-GE"/>
              </w:rPr>
              <w:t>მოდავე მხარეები,</w:t>
            </w:r>
            <w:r w:rsidRPr="00590404">
              <w:rPr>
                <w:rFonts w:ascii="Sylfaen" w:hAnsi="Sylfaen"/>
                <w:sz w:val="24"/>
                <w:szCs w:val="24"/>
                <w:lang w:val="ka-GE"/>
              </w:rPr>
              <w:t xml:space="preserve"> გამოიყენოს სამართლებრივი დაცვის ყველა საშუალება, რომელიც ზოგადად ამ მართლწესრიგისათვის თვისობრივად დამახასიათებელია [Miragall Escolano v. Spain; Zvolsky and Zvolska v. the Czech Republic, § 51].</w:t>
            </w:r>
          </w:p>
          <w:p w14:paraId="10337855" w14:textId="77777777" w:rsidR="00D54679" w:rsidRPr="00590404" w:rsidRDefault="00D54679" w:rsidP="00CA64BF">
            <w:pPr>
              <w:tabs>
                <w:tab w:val="left" w:pos="0"/>
              </w:tabs>
              <w:spacing w:after="120" w:line="276" w:lineRule="auto"/>
              <w:ind w:firstLine="851"/>
              <w:jc w:val="both"/>
              <w:rPr>
                <w:rFonts w:ascii="Sylfaen" w:hAnsi="Sylfaen"/>
                <w:sz w:val="24"/>
                <w:szCs w:val="24"/>
                <w:lang w:val="ka-GE"/>
              </w:rPr>
            </w:pPr>
            <w:r w:rsidRPr="00590404">
              <w:rPr>
                <w:rFonts w:ascii="Sylfaen" w:hAnsi="Sylfaen"/>
                <w:sz w:val="24"/>
                <w:szCs w:val="24"/>
                <w:lang w:val="ka-GE"/>
              </w:rPr>
              <w:lastRenderedPageBreak/>
              <w:t xml:space="preserve">არა მხოლოდ სასამართლოსათვის მიმართვის უფლების პირდაპირ წართმევა, არამედ სხვადასხვა ხერხებით ამ უფლების ფაქტობრივი ჩამორთმევა ევროსასამართლოს პრაქტიკაში კონვენციის მე-6 მუხლის დარღვევად მიიჩნევა. </w:t>
            </w:r>
            <w:r w:rsidRPr="00590404">
              <w:rPr>
                <w:rFonts w:ascii="Sylfaen" w:hAnsi="Sylfaen"/>
                <w:b/>
                <w:sz w:val="24"/>
                <w:szCs w:val="24"/>
                <w:lang w:val="ka-GE"/>
              </w:rPr>
              <w:t>მაგალითად,</w:t>
            </w:r>
            <w:r w:rsidRPr="00590404">
              <w:rPr>
                <w:rFonts w:ascii="Sylfaen" w:hAnsi="Sylfaen"/>
                <w:sz w:val="24"/>
                <w:szCs w:val="24"/>
                <w:lang w:val="ka-GE"/>
              </w:rPr>
              <w:t xml:space="preserve"> შიდა სასამართლოების მიერ პროცესუალური ნორმების შეზღუდული განმარტება და გადამეტებული </w:t>
            </w:r>
            <w:r w:rsidRPr="00590404">
              <w:rPr>
                <w:rFonts w:ascii="Sylfaen" w:hAnsi="Sylfaen"/>
                <w:b/>
                <w:i/>
                <w:sz w:val="24"/>
                <w:szCs w:val="24"/>
                <w:u w:val="single"/>
                <w:lang w:val="ka-GE"/>
              </w:rPr>
              <w:t>ფორმალურობით</w:t>
            </w:r>
            <w:r w:rsidRPr="00590404">
              <w:rPr>
                <w:rFonts w:ascii="Sylfaen" w:hAnsi="Sylfaen"/>
                <w:sz w:val="24"/>
                <w:szCs w:val="24"/>
                <w:lang w:val="ka-GE"/>
              </w:rPr>
              <w:t xml:space="preserve"> სასამართლოსათვის მიმართვის უფლების ჩამორთმევა კონვენციის დარღვევაა [იხ. Perez de Rada Cavanilles v. Spain, § 49; Miragall Escolano v. Spain, § 38; Société anonyme Sotiris and Nikos Koutras ATTEE v. Greece, § 20; Beles and others v. Czech Republic, § 50; RTBF v. Belgium, §§ 71, 72, 74].</w:t>
            </w:r>
          </w:p>
          <w:p w14:paraId="219C08CE" w14:textId="77777777" w:rsidR="00D54679" w:rsidRDefault="00D54679" w:rsidP="00CA64BF">
            <w:pPr>
              <w:tabs>
                <w:tab w:val="left" w:pos="0"/>
              </w:tabs>
              <w:spacing w:after="120" w:line="276" w:lineRule="auto"/>
              <w:ind w:firstLine="851"/>
              <w:jc w:val="both"/>
              <w:rPr>
                <w:rFonts w:ascii="Sylfaen" w:hAnsi="Sylfaen"/>
                <w:b/>
                <w:lang w:val="ka-GE"/>
              </w:rPr>
            </w:pPr>
            <w:r w:rsidRPr="008B1276">
              <w:rPr>
                <w:rFonts w:ascii="Sylfaen" w:hAnsi="Sylfaen"/>
                <w:sz w:val="24"/>
                <w:szCs w:val="24"/>
                <w:lang w:val="ka-GE"/>
              </w:rPr>
              <w:t>საკონსტიტუციო სასამართლოს არაერთხელ აღუნიშნავს სასამართლოსადმი მიმართვის კონსტიტუციური</w:t>
            </w:r>
            <w:r>
              <w:rPr>
                <w:rFonts w:ascii="Sylfaen" w:hAnsi="Sylfaen"/>
                <w:sz w:val="24"/>
                <w:szCs w:val="24"/>
                <w:lang w:val="ka-GE"/>
              </w:rPr>
              <w:t xml:space="preserve">, ფუნდამენტური და მართლმსაჯულების განხორციელების ერთ-ერთი უმნიშვნელოვანესი </w:t>
            </w:r>
            <w:r w:rsidRPr="008B1276">
              <w:rPr>
                <w:rFonts w:ascii="Sylfaen" w:hAnsi="Sylfaen"/>
                <w:sz w:val="24"/>
                <w:szCs w:val="24"/>
                <w:lang w:val="ka-GE"/>
              </w:rPr>
              <w:t xml:space="preserve">უფლების მნიშვნელობის შესახებ. </w:t>
            </w:r>
            <w:r w:rsidRPr="00030DF4">
              <w:rPr>
                <w:rFonts w:ascii="Sylfaen" w:hAnsi="Sylfaen"/>
                <w:i/>
                <w:sz w:val="24"/>
                <w:szCs w:val="24"/>
                <w:u w:val="single"/>
                <w:lang w:val="ka-GE"/>
              </w:rPr>
              <w:t>„სასამართლოს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w:t>
            </w:r>
            <w:r w:rsidRPr="00030DF4">
              <w:rPr>
                <w:rFonts w:ascii="Sylfaen" w:hAnsi="Sylfaen"/>
                <w:i/>
                <w:sz w:val="24"/>
                <w:szCs w:val="24"/>
                <w:lang w:val="ka-GE"/>
              </w:rPr>
              <w:t xml:space="preserve"> </w:t>
            </w:r>
            <w:r w:rsidRPr="00BA646A">
              <w:rPr>
                <w:rFonts w:ascii="Sylfaen" w:hAnsi="Sylfaen"/>
                <w:b/>
                <w:lang w:val="ka-GE"/>
              </w:rPr>
              <w:t>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p>
          <w:p w14:paraId="7A0A9BF4" w14:textId="77777777" w:rsidR="00D54679" w:rsidRDefault="00D54679" w:rsidP="00CA64BF">
            <w:pPr>
              <w:tabs>
                <w:tab w:val="left" w:pos="0"/>
              </w:tabs>
              <w:spacing w:after="120" w:line="276" w:lineRule="auto"/>
              <w:ind w:firstLine="851"/>
              <w:jc w:val="both"/>
              <w:rPr>
                <w:rFonts w:ascii="Sylfaen" w:hAnsi="Sylfaen"/>
                <w:b/>
                <w:sz w:val="24"/>
                <w:szCs w:val="24"/>
                <w:lang w:val="ka-GE"/>
              </w:rPr>
            </w:pPr>
            <w:r w:rsidRPr="00030DF4">
              <w:rPr>
                <w:rFonts w:ascii="Sylfaen" w:hAnsi="Sylfaen"/>
                <w:sz w:val="24"/>
                <w:szCs w:val="24"/>
                <w:lang w:val="ka-GE"/>
              </w:rPr>
              <w:t xml:space="preserve">საკონსტიტუციო სასამართლო </w:t>
            </w:r>
            <w:r>
              <w:rPr>
                <w:rFonts w:ascii="Sylfaen" w:hAnsi="Sylfaen"/>
                <w:sz w:val="24"/>
                <w:szCs w:val="24"/>
                <w:lang w:val="ka-GE"/>
              </w:rPr>
              <w:t>განმარტავს:</w:t>
            </w:r>
            <w:r w:rsidRPr="00030DF4">
              <w:rPr>
                <w:rFonts w:ascii="Sylfaen" w:hAnsi="Sylfaen"/>
                <w:sz w:val="24"/>
                <w:szCs w:val="24"/>
                <w:lang w:val="ka-GE"/>
              </w:rPr>
              <w:t xml:space="preserve"> </w:t>
            </w:r>
            <w:r w:rsidRPr="00030DF4">
              <w:rPr>
                <w:rFonts w:ascii="Sylfaen" w:hAnsi="Sylfaen"/>
                <w:i/>
                <w:sz w:val="24"/>
                <w:szCs w:val="24"/>
                <w:u w:val="single"/>
                <w:lang w:val="ka-GE"/>
              </w:rPr>
              <w:t>„სამართლიანი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w:t>
            </w:r>
            <w:r>
              <w:rPr>
                <w:rFonts w:ascii="Sylfaen" w:hAnsi="Sylfaen"/>
                <w:sz w:val="24"/>
                <w:szCs w:val="24"/>
                <w:lang w:val="ka-GE"/>
              </w:rPr>
              <w:t xml:space="preserve"> </w:t>
            </w:r>
            <w:r w:rsidRPr="00030DF4">
              <w:rPr>
                <w:rFonts w:ascii="Sylfaen" w:hAnsi="Sylfaen"/>
                <w:b/>
                <w:sz w:val="24"/>
                <w:szCs w:val="24"/>
                <w:lang w:val="ka-GE"/>
              </w:rPr>
              <w:t>/საქართველოს საკონსტიტუციო სასამართლოს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p>
          <w:p w14:paraId="040DC6AC" w14:textId="77777777" w:rsidR="00D54679" w:rsidRDefault="00D54679" w:rsidP="00CA64BF">
            <w:pPr>
              <w:spacing w:line="276" w:lineRule="auto"/>
              <w:ind w:firstLine="720"/>
              <w:jc w:val="both"/>
              <w:rPr>
                <w:rFonts w:ascii="Sylfaen" w:hAnsi="Sylfaen" w:cs="Arial"/>
                <w:sz w:val="24"/>
                <w:szCs w:val="24"/>
                <w:shd w:val="clear" w:color="auto" w:fill="FFFFFF"/>
                <w:lang w:val="ka-GE"/>
              </w:rPr>
            </w:pPr>
            <w:r w:rsidRPr="00FA3480">
              <w:rPr>
                <w:rFonts w:ascii="Sylfaen" w:hAnsi="Sylfaen" w:cs="Arial"/>
                <w:sz w:val="24"/>
                <w:szCs w:val="24"/>
                <w:shd w:val="clear" w:color="auto" w:fill="FFFFFF"/>
                <w:lang w:val="ka-GE"/>
              </w:rPr>
              <w:t xml:space="preserve">მიგვაჩნია, რომ </w:t>
            </w:r>
            <w:r>
              <w:rPr>
                <w:rFonts w:ascii="Sylfaen" w:hAnsi="Sylfaen" w:cs="Arial"/>
                <w:sz w:val="24"/>
                <w:szCs w:val="24"/>
                <w:shd w:val="clear" w:color="auto" w:fill="FFFFFF"/>
                <w:lang w:val="ka-GE"/>
              </w:rPr>
              <w:t>სასამართლოსთვის მიმართვის უფლება</w:t>
            </w:r>
            <w:r w:rsidRPr="00FA3480">
              <w:rPr>
                <w:rFonts w:ascii="Sylfaen" w:hAnsi="Sylfaen" w:cs="Arial"/>
                <w:sz w:val="24"/>
                <w:szCs w:val="24"/>
                <w:shd w:val="clear" w:color="auto" w:fill="FFFFFF"/>
                <w:lang w:val="ka-GE"/>
              </w:rPr>
              <w:t xml:space="preserve"> წარმოადგენს ისეთ ძირითად და ფუნდამენტ</w:t>
            </w:r>
            <w:r>
              <w:rPr>
                <w:rFonts w:ascii="Sylfaen" w:hAnsi="Sylfaen" w:cs="Arial"/>
                <w:sz w:val="24"/>
                <w:szCs w:val="24"/>
                <w:shd w:val="clear" w:color="auto" w:fill="FFFFFF"/>
                <w:lang w:val="ka-GE"/>
              </w:rPr>
              <w:t>ურ</w:t>
            </w:r>
            <w:r w:rsidRPr="00FA3480">
              <w:rPr>
                <w:rFonts w:ascii="Sylfaen" w:hAnsi="Sylfaen" w:cs="Arial"/>
                <w:sz w:val="24"/>
                <w:szCs w:val="24"/>
                <w:shd w:val="clear" w:color="auto" w:fill="FFFFFF"/>
                <w:lang w:val="ka-GE"/>
              </w:rPr>
              <w:t xml:space="preserve"> უფლებას, რომლის მეშვეობითაც პირი უზრუნველყოფს თავის</w:t>
            </w:r>
            <w:r>
              <w:rPr>
                <w:rFonts w:ascii="Sylfaen" w:hAnsi="Sylfaen" w:cs="Arial"/>
                <w:sz w:val="24"/>
                <w:szCs w:val="24"/>
                <w:shd w:val="clear" w:color="auto" w:fill="FFFFFF"/>
                <w:lang w:val="ka-GE"/>
              </w:rPr>
              <w:t>ი</w:t>
            </w:r>
            <w:r w:rsidRPr="00FA3480">
              <w:rPr>
                <w:rFonts w:ascii="Sylfaen" w:hAnsi="Sylfaen" w:cs="Arial"/>
                <w:sz w:val="24"/>
                <w:szCs w:val="24"/>
                <w:shd w:val="clear" w:color="auto" w:fill="FFFFFF"/>
                <w:lang w:val="ka-GE"/>
              </w:rPr>
              <w:t xml:space="preserve"> დარღვეული თუ სადაოდ ქცეული სხვა დანარჩენი უფლებების </w:t>
            </w:r>
            <w:r>
              <w:rPr>
                <w:rFonts w:ascii="Sylfaen" w:hAnsi="Sylfaen" w:cs="Arial"/>
                <w:sz w:val="24"/>
                <w:szCs w:val="24"/>
                <w:shd w:val="clear" w:color="auto" w:fill="FFFFFF"/>
                <w:lang w:val="ka-GE"/>
              </w:rPr>
              <w:t>მართლმსაჯულების გზით დაცვას</w:t>
            </w:r>
            <w:r w:rsidRPr="00FA3480">
              <w:rPr>
                <w:rFonts w:ascii="Sylfaen" w:hAnsi="Sylfaen" w:cs="Arial"/>
                <w:sz w:val="24"/>
                <w:szCs w:val="24"/>
                <w:shd w:val="clear" w:color="auto" w:fill="FFFFFF"/>
                <w:lang w:val="ka-GE"/>
              </w:rPr>
              <w:t xml:space="preserve">. </w:t>
            </w:r>
            <w:r>
              <w:rPr>
                <w:rFonts w:ascii="Sylfaen" w:hAnsi="Sylfaen" w:cs="Arial"/>
                <w:sz w:val="24"/>
                <w:szCs w:val="24"/>
                <w:shd w:val="clear" w:color="auto" w:fill="FFFFFF"/>
                <w:lang w:val="ka-GE"/>
              </w:rPr>
              <w:t>აუცილებლად უნდა აღინიშნოს,</w:t>
            </w:r>
            <w:r w:rsidRPr="00FA3480">
              <w:rPr>
                <w:rFonts w:ascii="Sylfaen" w:hAnsi="Sylfaen" w:cs="Arial"/>
                <w:sz w:val="24"/>
                <w:szCs w:val="24"/>
                <w:shd w:val="clear" w:color="auto" w:fill="FFFFFF"/>
                <w:lang w:val="ka-GE"/>
              </w:rPr>
              <w:t xml:space="preserve"> რომ სასამართლოსთვის მიმართვის უფლება</w:t>
            </w:r>
            <w:r>
              <w:rPr>
                <w:rFonts w:ascii="Sylfaen" w:hAnsi="Sylfaen" w:cs="Arial"/>
                <w:sz w:val="24"/>
                <w:szCs w:val="24"/>
                <w:shd w:val="clear" w:color="auto" w:fill="FFFFFF"/>
                <w:lang w:val="ka-GE"/>
              </w:rPr>
              <w:t xml:space="preserve"> ნებისმიერი</w:t>
            </w:r>
            <w:r w:rsidRPr="00FA3480">
              <w:rPr>
                <w:rFonts w:ascii="Sylfaen" w:hAnsi="Sylfaen" w:cs="Arial"/>
                <w:sz w:val="24"/>
                <w:szCs w:val="24"/>
                <w:shd w:val="clear" w:color="auto" w:fill="FFFFFF"/>
                <w:lang w:val="ka-GE"/>
              </w:rPr>
              <w:t xml:space="preserve"> მატერიალური უფლებების დაცვის შესაძლებლობის პროცესუალურ</w:t>
            </w:r>
            <w:r>
              <w:rPr>
                <w:rFonts w:ascii="Sylfaen" w:hAnsi="Sylfaen" w:cs="Arial"/>
                <w:sz w:val="24"/>
                <w:szCs w:val="24"/>
                <w:shd w:val="clear" w:color="auto" w:fill="FFFFFF"/>
                <w:lang w:val="ka-GE"/>
              </w:rPr>
              <w:t>-ფუნდამენტური გარანტიაა</w:t>
            </w:r>
            <w:r w:rsidRPr="00FA3480">
              <w:rPr>
                <w:rFonts w:ascii="Sylfaen" w:hAnsi="Sylfaen" w:cs="Arial"/>
                <w:sz w:val="24"/>
                <w:szCs w:val="24"/>
                <w:shd w:val="clear" w:color="auto" w:fill="FFFFFF"/>
                <w:lang w:val="ka-GE"/>
              </w:rPr>
              <w:t xml:space="preserve">. </w:t>
            </w:r>
            <w:r>
              <w:rPr>
                <w:rFonts w:ascii="Sylfaen" w:hAnsi="Sylfaen" w:cs="Arial"/>
                <w:sz w:val="24"/>
                <w:szCs w:val="24"/>
                <w:shd w:val="clear" w:color="auto" w:fill="FFFFFF"/>
                <w:lang w:val="ka-GE"/>
              </w:rPr>
              <w:t xml:space="preserve">აუცილებელია, რომ </w:t>
            </w:r>
            <w:r w:rsidRPr="00FA3480">
              <w:rPr>
                <w:rFonts w:ascii="Sylfaen" w:hAnsi="Sylfaen" w:cs="Arial"/>
                <w:sz w:val="24"/>
                <w:szCs w:val="24"/>
                <w:shd w:val="clear" w:color="auto" w:fill="FFFFFF"/>
                <w:lang w:val="ka-GE"/>
              </w:rPr>
              <w:t>ეს</w:t>
            </w:r>
            <w:r>
              <w:rPr>
                <w:rFonts w:ascii="Sylfaen" w:hAnsi="Sylfaen" w:cs="Arial"/>
                <w:sz w:val="24"/>
                <w:szCs w:val="24"/>
                <w:shd w:val="clear" w:color="auto" w:fill="FFFFFF"/>
                <w:lang w:val="ka-GE"/>
              </w:rPr>
              <w:t xml:space="preserve"> </w:t>
            </w:r>
            <w:r w:rsidRPr="00FA3480">
              <w:rPr>
                <w:rFonts w:ascii="Sylfaen" w:hAnsi="Sylfaen" w:cs="Arial"/>
                <w:sz w:val="24"/>
                <w:szCs w:val="24"/>
                <w:shd w:val="clear" w:color="auto" w:fill="FFFFFF"/>
                <w:lang w:val="ka-GE"/>
              </w:rPr>
              <w:t>უფლება განმარტებული</w:t>
            </w:r>
            <w:r>
              <w:rPr>
                <w:rFonts w:ascii="Sylfaen" w:hAnsi="Sylfaen" w:cs="Arial"/>
                <w:sz w:val="24"/>
                <w:szCs w:val="24"/>
                <w:shd w:val="clear" w:color="auto" w:fill="FFFFFF"/>
                <w:lang w:val="ka-GE"/>
              </w:rPr>
              <w:t xml:space="preserve"> და გაგებული იქნეს უფრო</w:t>
            </w:r>
            <w:r w:rsidRPr="00FA3480">
              <w:rPr>
                <w:rFonts w:ascii="Sylfaen" w:hAnsi="Sylfaen" w:cs="Arial"/>
                <w:sz w:val="24"/>
                <w:szCs w:val="24"/>
                <w:shd w:val="clear" w:color="auto" w:fill="FFFFFF"/>
                <w:lang w:val="ka-GE"/>
              </w:rPr>
              <w:t xml:space="preserve"> ფართო</w:t>
            </w:r>
            <w:r>
              <w:rPr>
                <w:rFonts w:ascii="Sylfaen" w:hAnsi="Sylfaen" w:cs="Arial"/>
                <w:sz w:val="24"/>
                <w:szCs w:val="24"/>
                <w:shd w:val="clear" w:color="auto" w:fill="FFFFFF"/>
                <w:lang w:val="ka-GE"/>
              </w:rPr>
              <w:t xml:space="preserve">დ, ვიდრე ის დამკვიდრებულია პრაქტიკაში. </w:t>
            </w:r>
            <w:r w:rsidRPr="00FA3480">
              <w:rPr>
                <w:rFonts w:ascii="Sylfaen" w:hAnsi="Sylfaen" w:cs="Arial"/>
                <w:sz w:val="24"/>
                <w:szCs w:val="24"/>
                <w:shd w:val="clear" w:color="auto" w:fill="FFFFFF"/>
                <w:lang w:val="ka-GE"/>
              </w:rPr>
              <w:t xml:space="preserve">წინააღმდეგ შემთხვევაში საფრთხის ქვეშ დადგება სხვა </w:t>
            </w:r>
            <w:r w:rsidRPr="00FA3480">
              <w:rPr>
                <w:rFonts w:ascii="Sylfaen" w:hAnsi="Sylfaen" w:cs="Arial"/>
                <w:sz w:val="24"/>
                <w:szCs w:val="24"/>
                <w:shd w:val="clear" w:color="auto" w:fill="FFFFFF"/>
                <w:lang w:val="ka-GE"/>
              </w:rPr>
              <w:lastRenderedPageBreak/>
              <w:t>ძირითადი უფლებით დაცული სფეროს გამოყენების საკითხი ფიზიკურ თუ იურიდიულ პირების მიერ</w:t>
            </w:r>
            <w:r>
              <w:rPr>
                <w:rFonts w:ascii="Sylfaen" w:hAnsi="Sylfaen" w:cs="Arial"/>
                <w:sz w:val="24"/>
                <w:szCs w:val="24"/>
                <w:shd w:val="clear" w:color="auto" w:fill="FFFFFF"/>
                <w:lang w:val="ka-GE"/>
              </w:rPr>
              <w:t>.</w:t>
            </w:r>
            <w:r w:rsidRPr="00FA3480">
              <w:rPr>
                <w:rFonts w:ascii="Sylfaen" w:hAnsi="Sylfaen" w:cs="Arial"/>
                <w:sz w:val="24"/>
                <w:szCs w:val="24"/>
                <w:shd w:val="clear" w:color="auto" w:fill="FFFFFF"/>
                <w:lang w:val="ka-GE"/>
              </w:rPr>
              <w:t xml:space="preserve"> </w:t>
            </w:r>
            <w:r>
              <w:rPr>
                <w:rFonts w:ascii="Sylfaen" w:hAnsi="Sylfaen" w:cs="Arial"/>
                <w:sz w:val="24"/>
                <w:szCs w:val="24"/>
                <w:shd w:val="clear" w:color="auto" w:fill="FFFFFF"/>
                <w:lang w:val="ka-GE"/>
              </w:rPr>
              <w:t>ადამიანის ფუნდამენტური უფლებების დროში, სივრცეში და პირთა წრის მიმართ ნებისმიერ დროს შესაძლოა</w:t>
            </w:r>
            <w:r w:rsidRPr="00FA3480">
              <w:rPr>
                <w:rFonts w:ascii="Sylfaen" w:hAnsi="Sylfaen" w:cs="Arial"/>
                <w:sz w:val="24"/>
                <w:szCs w:val="24"/>
                <w:shd w:val="clear" w:color="auto" w:fill="FFFFFF"/>
                <w:lang w:val="ka-GE"/>
              </w:rPr>
              <w:t xml:space="preserve"> დაირღვეს და პირს უნდა მიეცეს შესაძლებლობა დაიცვას მისი დარღვეული თუ სადავოდ ქცეული უფლებები. </w:t>
            </w:r>
          </w:p>
          <w:p w14:paraId="1F8B5EAC" w14:textId="77777777" w:rsidR="00D54679" w:rsidRDefault="00D54679" w:rsidP="00CA64BF">
            <w:pPr>
              <w:spacing w:line="276" w:lineRule="auto"/>
              <w:ind w:firstLine="720"/>
              <w:jc w:val="both"/>
              <w:rPr>
                <w:rFonts w:ascii="Sylfaen" w:hAnsi="Sylfaen" w:cs="Arial"/>
                <w:sz w:val="24"/>
                <w:szCs w:val="24"/>
                <w:shd w:val="clear" w:color="auto" w:fill="FFFFFF"/>
                <w:lang w:val="ka-GE"/>
              </w:rPr>
            </w:pPr>
            <w:r>
              <w:rPr>
                <w:rFonts w:ascii="Sylfaen" w:hAnsi="Sylfaen" w:cs="Arial"/>
                <w:sz w:val="24"/>
                <w:szCs w:val="24"/>
                <w:shd w:val="clear" w:color="auto" w:fill="FFFFFF"/>
                <w:lang w:val="ka-GE"/>
              </w:rPr>
              <w:t>როგორც მოგახსენეთ სასამართლოსთვის მიმართვის უფლება</w:t>
            </w:r>
            <w:r w:rsidRPr="00FA3480">
              <w:rPr>
                <w:rFonts w:ascii="Sylfaen" w:hAnsi="Sylfaen" w:cs="Arial"/>
                <w:sz w:val="24"/>
                <w:szCs w:val="24"/>
                <w:shd w:val="clear" w:color="auto" w:fill="FFFFFF"/>
                <w:lang w:val="ka-GE"/>
              </w:rPr>
              <w:t xml:space="preserve"> წარმოადგენს საქართველოს კონსტიტუციის </w:t>
            </w:r>
            <w:r>
              <w:rPr>
                <w:rFonts w:ascii="Sylfaen" w:hAnsi="Sylfaen" w:cs="Arial"/>
                <w:sz w:val="24"/>
                <w:szCs w:val="24"/>
                <w:shd w:val="clear" w:color="auto" w:fill="FFFFFF"/>
                <w:lang w:val="ka-GE"/>
              </w:rPr>
              <w:t>31</w:t>
            </w:r>
            <w:r w:rsidRPr="00FA3480">
              <w:rPr>
                <w:rFonts w:ascii="Sylfaen" w:hAnsi="Sylfaen" w:cs="Arial"/>
                <w:sz w:val="24"/>
                <w:szCs w:val="24"/>
                <w:shd w:val="clear" w:color="auto" w:fill="FFFFFF"/>
                <w:lang w:val="ka-GE"/>
              </w:rPr>
              <w:t xml:space="preserve">–ე მუხლით აღიარებული უფლების </w:t>
            </w:r>
            <w:r>
              <w:rPr>
                <w:rFonts w:ascii="Sylfaen" w:hAnsi="Sylfaen" w:cs="Arial"/>
                <w:sz w:val="24"/>
                <w:szCs w:val="24"/>
                <w:shd w:val="clear" w:color="auto" w:fill="FFFFFF"/>
                <w:lang w:val="ka-GE"/>
              </w:rPr>
              <w:t xml:space="preserve">ერთ-ერთ </w:t>
            </w:r>
            <w:r w:rsidRPr="00FA3480">
              <w:rPr>
                <w:rFonts w:ascii="Sylfaen" w:hAnsi="Sylfaen" w:cs="Arial"/>
                <w:sz w:val="24"/>
                <w:szCs w:val="24"/>
                <w:shd w:val="clear" w:color="auto" w:fill="FFFFFF"/>
                <w:lang w:val="ka-GE"/>
              </w:rPr>
              <w:t>დაცულ სფეროს</w:t>
            </w:r>
            <w:r>
              <w:rPr>
                <w:rFonts w:ascii="Sylfaen" w:hAnsi="Sylfaen" w:cs="Arial"/>
                <w:sz w:val="24"/>
                <w:szCs w:val="24"/>
                <w:shd w:val="clear" w:color="auto" w:fill="FFFFFF"/>
                <w:lang w:val="ka-GE"/>
              </w:rPr>
              <w:t>.</w:t>
            </w:r>
          </w:p>
          <w:p w14:paraId="40BBAA13" w14:textId="77777777" w:rsidR="00D54679" w:rsidRDefault="00D54679" w:rsidP="00CA64BF">
            <w:pPr>
              <w:spacing w:line="276" w:lineRule="auto"/>
              <w:ind w:firstLine="720"/>
              <w:jc w:val="both"/>
              <w:rPr>
                <w:rFonts w:ascii="Sylfaen" w:hAnsi="Sylfaen"/>
                <w:i/>
                <w:sz w:val="24"/>
                <w:szCs w:val="24"/>
                <w:u w:val="single"/>
                <w:lang w:val="ka-GE"/>
              </w:rPr>
            </w:pPr>
            <w:r>
              <w:rPr>
                <w:rFonts w:ascii="Sylfaen" w:hAnsi="Sylfaen" w:cs="Calibri"/>
                <w:sz w:val="24"/>
                <w:szCs w:val="24"/>
                <w:lang w:val="ka-GE"/>
              </w:rPr>
              <w:t>ერთ ერთ საქმეზე</w:t>
            </w:r>
            <w:r w:rsidRPr="000E7566">
              <w:rPr>
                <w:rFonts w:ascii="Sylfaen" w:hAnsi="Sylfaen" w:cs="Calibri"/>
                <w:sz w:val="24"/>
                <w:szCs w:val="24"/>
                <w:lang w:val="ka-GE"/>
              </w:rPr>
              <w:t xml:space="preserve"> </w:t>
            </w:r>
            <w:r w:rsidRPr="000E7566">
              <w:rPr>
                <w:rFonts w:ascii="Sylfaen" w:hAnsi="Sylfaen"/>
                <w:sz w:val="24"/>
                <w:szCs w:val="24"/>
                <w:lang w:val="ka-GE"/>
              </w:rPr>
              <w:t>საქართველოს საკონსტიტუციო სასამართლო</w:t>
            </w:r>
            <w:r>
              <w:rPr>
                <w:rFonts w:ascii="Sylfaen" w:hAnsi="Sylfaen"/>
                <w:sz w:val="24"/>
                <w:szCs w:val="24"/>
                <w:lang w:val="ka-GE"/>
              </w:rPr>
              <w:t xml:space="preserve">მ </w:t>
            </w:r>
            <w:r w:rsidRPr="000E7566">
              <w:rPr>
                <w:rFonts w:ascii="Sylfaen" w:hAnsi="Sylfaen"/>
                <w:sz w:val="24"/>
                <w:szCs w:val="24"/>
                <w:lang w:val="ka-GE"/>
              </w:rPr>
              <w:t>აღნიშნა</w:t>
            </w:r>
            <w:r>
              <w:rPr>
                <w:rFonts w:ascii="Sylfaen" w:hAnsi="Sylfaen"/>
                <w:sz w:val="24"/>
                <w:szCs w:val="24"/>
                <w:lang w:val="ka-GE"/>
              </w:rPr>
              <w:t xml:space="preserve">: </w:t>
            </w:r>
            <w:r w:rsidRPr="00283BD7">
              <w:rPr>
                <w:rFonts w:ascii="Sylfaen" w:hAnsi="Sylfaen"/>
                <w:i/>
                <w:sz w:val="24"/>
                <w:szCs w:val="24"/>
                <w:u w:val="single"/>
                <w:lang w:val="ka-GE"/>
              </w:rPr>
              <w:t>„სამართლიანი სასამართლოს უფლება 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w:t>
            </w:r>
            <w:r>
              <w:rPr>
                <w:rFonts w:ascii="Sylfaen" w:hAnsi="Sylfaen"/>
                <w:i/>
                <w:sz w:val="24"/>
                <w:szCs w:val="24"/>
                <w:u w:val="single"/>
                <w:lang w:val="ka-GE"/>
              </w:rPr>
              <w:t xml:space="preserve"> </w:t>
            </w:r>
            <w:r w:rsidRPr="00283BD7">
              <w:rPr>
                <w:rFonts w:ascii="Sylfaen" w:hAnsi="Sylfaen"/>
                <w:i/>
                <w:sz w:val="24"/>
                <w:szCs w:val="24"/>
                <w:u w:val="single"/>
                <w:lang w:val="ka-GE"/>
              </w:rPr>
              <w:t>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w:t>
            </w:r>
            <w:r>
              <w:rPr>
                <w:rFonts w:ascii="Sylfaen" w:hAnsi="Sylfaen"/>
                <w:i/>
                <w:sz w:val="24"/>
                <w:szCs w:val="24"/>
                <w:u w:val="single"/>
                <w:lang w:val="ka-GE"/>
              </w:rPr>
              <w:t xml:space="preserve"> (</w:t>
            </w:r>
            <w:r w:rsidRPr="000E7566">
              <w:rPr>
                <w:rFonts w:ascii="Sylfaen" w:hAnsi="Sylfaen"/>
                <w:b/>
                <w:lang w:val="ka-GE"/>
              </w:rPr>
              <w:t>2010 წლის 28 ივნისის N3/1/466 გადაწყვეტილებაში, საქმეზე „საქართველოს სახალხო დამცველი საქართველოს პარლამენტის წინააღმდეგ“, II-14</w:t>
            </w:r>
            <w:r w:rsidRPr="00AD65A7">
              <w:rPr>
                <w:rFonts w:ascii="Sylfaen" w:hAnsi="Sylfaen"/>
                <w:b/>
                <w:lang w:val="ka-GE"/>
              </w:rPr>
              <w:t xml:space="preserve"> </w:t>
            </w:r>
            <w:r>
              <w:rPr>
                <w:rFonts w:ascii="Sylfaen" w:hAnsi="Sylfaen"/>
                <w:i/>
                <w:sz w:val="24"/>
                <w:szCs w:val="24"/>
                <w:u w:val="single"/>
                <w:lang w:val="ka-GE"/>
              </w:rPr>
              <w:t>)</w:t>
            </w:r>
          </w:p>
          <w:p w14:paraId="7A788094" w14:textId="77777777" w:rsidR="00D54679" w:rsidRDefault="00D54679" w:rsidP="00CA64BF">
            <w:pPr>
              <w:spacing w:line="276" w:lineRule="auto"/>
              <w:ind w:firstLine="720"/>
              <w:jc w:val="both"/>
              <w:rPr>
                <w:rFonts w:ascii="Sylfaen" w:hAnsi="Sylfaen" w:cs="Arial"/>
                <w:b/>
                <w:sz w:val="24"/>
                <w:szCs w:val="24"/>
                <w:shd w:val="clear" w:color="auto" w:fill="FFFFFF"/>
                <w:lang w:val="ka-GE"/>
              </w:rPr>
            </w:pPr>
            <w:r w:rsidRPr="00BA147E">
              <w:rPr>
                <w:rFonts w:ascii="Sylfaen" w:hAnsi="Sylfaen" w:cs="Arial"/>
                <w:sz w:val="24"/>
                <w:szCs w:val="24"/>
                <w:shd w:val="clear" w:color="auto" w:fill="FFFFFF"/>
                <w:lang w:val="ka-GE"/>
              </w:rPr>
              <w:t>საქართველოს საკონსტიტუციო სასამართლო აღნიშნავს</w:t>
            </w:r>
            <w:r>
              <w:rPr>
                <w:rFonts w:ascii="Sylfaen" w:hAnsi="Sylfaen" w:cs="Arial"/>
                <w:sz w:val="24"/>
                <w:szCs w:val="24"/>
                <w:shd w:val="clear" w:color="auto" w:fill="FFFFFF"/>
                <w:lang w:val="ka-GE"/>
              </w:rPr>
              <w:t xml:space="preserve">, რომ </w:t>
            </w:r>
            <w:r w:rsidRPr="008B4557">
              <w:rPr>
                <w:rFonts w:ascii="Sylfaen" w:hAnsi="Sylfaen" w:cs="Arial"/>
                <w:i/>
                <w:sz w:val="24"/>
                <w:szCs w:val="24"/>
                <w:u w:val="single"/>
                <w:shd w:val="clear" w:color="auto" w:fill="FFFFFF"/>
                <w:lang w:val="ka-GE"/>
              </w:rPr>
              <w:t>„საქართველოს კონსტიტუციის 31-ე მუხლის პირველი პუნქტი ქმნის სამართლიანი სასამართლოს კონსტიტუციურ-სამართლებრივ გარანტიას და მოიაზრებს ყველა სამართლებრივ მექანიზმს, რომელიც უზრუნველყოფს უფლებებისა და კანონიერი ინტერესების სასამართლო წესით სრულყოფილი და ეფექტური დაცვის შესაძლებლობას“</w:t>
            </w:r>
            <w:r w:rsidRPr="00BA147E">
              <w:rPr>
                <w:rFonts w:ascii="Sylfaen" w:hAnsi="Sylfaen" w:cs="Arial"/>
                <w:sz w:val="24"/>
                <w:szCs w:val="24"/>
                <w:shd w:val="clear" w:color="auto" w:fill="FFFFFF"/>
                <w:lang w:val="ka-GE"/>
              </w:rPr>
              <w:t xml:space="preserve"> </w:t>
            </w:r>
            <w:r>
              <w:rPr>
                <w:rFonts w:ascii="Sylfaen" w:hAnsi="Sylfaen" w:cs="Arial"/>
                <w:sz w:val="24"/>
                <w:szCs w:val="24"/>
                <w:shd w:val="clear" w:color="auto" w:fill="FFFFFF"/>
                <w:lang w:val="ka-GE"/>
              </w:rPr>
              <w:t>(</w:t>
            </w:r>
            <w:r w:rsidRPr="00BA147E">
              <w:rPr>
                <w:rFonts w:ascii="Sylfaen" w:hAnsi="Sylfaen" w:cs="Arial"/>
                <w:b/>
                <w:sz w:val="24"/>
                <w:szCs w:val="24"/>
                <w:shd w:val="clear" w:color="auto" w:fill="FFFFFF"/>
                <w:lang w:val="ka-GE"/>
              </w:rPr>
              <w:t>საქართველოს საკონსტიტუციო სასამართლოს 2014 წლის 24 დეკემბრის N3/3/601 გადაწყვეტილება საქმეზე „საქართველოს უზენაესი სასამართლოს კონსტიტუციური წარდგინება საქართველოს 1998 წლის 20 თებერვლის სისხლის სამართლის საპროცესო კოდექსის 546-ე მუხლის და ამავე კოდექსის 518-ე მუხლის პირველი ნაწილის კონსტიტუციურობის თაობაზე“., II-9</w:t>
            </w:r>
            <w:r>
              <w:rPr>
                <w:rFonts w:ascii="Sylfaen" w:hAnsi="Sylfaen" w:cs="Arial"/>
                <w:b/>
                <w:sz w:val="24"/>
                <w:szCs w:val="24"/>
                <w:shd w:val="clear" w:color="auto" w:fill="FFFFFF"/>
                <w:lang w:val="ka-GE"/>
              </w:rPr>
              <w:t>).</w:t>
            </w:r>
          </w:p>
          <w:p w14:paraId="7BE99A42" w14:textId="77777777" w:rsidR="00D54679" w:rsidRDefault="00D54679" w:rsidP="00CA64BF">
            <w:pPr>
              <w:spacing w:line="276" w:lineRule="auto"/>
              <w:jc w:val="both"/>
              <w:rPr>
                <w:rFonts w:ascii="Sylfaen" w:hAnsi="Sylfaen" w:cs="Arial"/>
                <w:sz w:val="24"/>
                <w:szCs w:val="24"/>
                <w:shd w:val="clear" w:color="auto" w:fill="FFFFFF"/>
                <w:lang w:val="ka-GE"/>
              </w:rPr>
            </w:pPr>
            <w:r>
              <w:rPr>
                <w:rFonts w:ascii="Sylfaen" w:hAnsi="Sylfaen" w:cs="Arial"/>
                <w:sz w:val="24"/>
                <w:szCs w:val="24"/>
                <w:shd w:val="clear" w:color="auto" w:fill="FFFFFF"/>
                <w:lang w:val="ka-GE"/>
              </w:rPr>
              <w:t xml:space="preserve">       </w:t>
            </w:r>
            <w:r w:rsidRPr="00BA147E">
              <w:rPr>
                <w:rFonts w:ascii="Sylfaen" w:hAnsi="Sylfaen" w:cs="Arial"/>
                <w:sz w:val="24"/>
                <w:szCs w:val="24"/>
                <w:shd w:val="clear" w:color="auto" w:fill="FFFFFF"/>
                <w:lang w:val="ka-GE"/>
              </w:rPr>
              <w:t xml:space="preserve">  </w:t>
            </w:r>
            <w:r>
              <w:rPr>
                <w:rFonts w:ascii="Sylfaen" w:hAnsi="Sylfaen" w:cs="Arial"/>
                <w:sz w:val="24"/>
                <w:szCs w:val="24"/>
                <w:shd w:val="clear" w:color="auto" w:fill="FFFFFF"/>
                <w:lang w:val="ka-GE"/>
              </w:rPr>
              <w:t>სასამართლოსთვის მიმართვის უფლებაში</w:t>
            </w:r>
            <w:r w:rsidRPr="00BA147E">
              <w:rPr>
                <w:rFonts w:ascii="Sylfaen" w:hAnsi="Sylfaen" w:cs="Arial"/>
                <w:sz w:val="24"/>
                <w:szCs w:val="24"/>
                <w:shd w:val="clear" w:color="auto" w:fill="FFFFFF"/>
                <w:lang w:val="ka-GE"/>
              </w:rPr>
              <w:t xml:space="preserve"> მოიაზრება</w:t>
            </w:r>
            <w:r>
              <w:rPr>
                <w:rFonts w:ascii="Sylfaen" w:hAnsi="Sylfaen" w:cs="Arial"/>
                <w:sz w:val="24"/>
                <w:szCs w:val="24"/>
                <w:shd w:val="clear" w:color="auto" w:fill="FFFFFF"/>
                <w:lang w:val="ka-GE"/>
              </w:rPr>
              <w:t xml:space="preserve">, </w:t>
            </w:r>
            <w:r w:rsidRPr="00BA147E">
              <w:rPr>
                <w:rFonts w:ascii="Sylfaen" w:hAnsi="Sylfaen" w:cs="Arial"/>
                <w:sz w:val="24"/>
                <w:szCs w:val="24"/>
                <w:shd w:val="clear" w:color="auto" w:fill="FFFFFF"/>
                <w:lang w:val="ka-GE"/>
              </w:rPr>
              <w:t>როგორც დარღვეული თუ სადავოდ ქცეული სამოქალაქო უფლების დასაცავად სასამართლოსთვის მიმართვა</w:t>
            </w:r>
            <w:r>
              <w:rPr>
                <w:rFonts w:ascii="Sylfaen" w:hAnsi="Sylfaen" w:cs="Arial"/>
                <w:sz w:val="24"/>
                <w:szCs w:val="24"/>
                <w:shd w:val="clear" w:color="auto" w:fill="FFFFFF"/>
                <w:lang w:val="ka-GE"/>
              </w:rPr>
              <w:t>.</w:t>
            </w:r>
            <w:r w:rsidRPr="00BA147E">
              <w:rPr>
                <w:rFonts w:ascii="Sylfaen" w:hAnsi="Sylfaen" w:cs="Arial"/>
                <w:sz w:val="24"/>
                <w:szCs w:val="24"/>
                <w:shd w:val="clear" w:color="auto" w:fill="FFFFFF"/>
                <w:lang w:val="ka-GE"/>
              </w:rPr>
              <w:t xml:space="preserve"> ამასთან</w:t>
            </w:r>
            <w:r>
              <w:rPr>
                <w:rFonts w:ascii="Sylfaen" w:hAnsi="Sylfaen" w:cs="Arial"/>
                <w:sz w:val="24"/>
                <w:szCs w:val="24"/>
                <w:shd w:val="clear" w:color="auto" w:fill="FFFFFF"/>
                <w:lang w:val="ka-GE"/>
              </w:rPr>
              <w:t>,</w:t>
            </w:r>
            <w:r w:rsidRPr="00BA147E">
              <w:rPr>
                <w:rFonts w:ascii="Sylfaen" w:hAnsi="Sylfaen" w:cs="Arial"/>
                <w:sz w:val="24"/>
                <w:szCs w:val="24"/>
                <w:shd w:val="clear" w:color="auto" w:fill="FFFFFF"/>
                <w:lang w:val="ka-GE"/>
              </w:rPr>
              <w:t xml:space="preserve"> სამართალწარმოებისას ყველა იმ სამართლებრივი მექანიზმების გამოყენების შესაძლებლობა</w:t>
            </w:r>
            <w:r>
              <w:rPr>
                <w:rFonts w:ascii="Sylfaen" w:hAnsi="Sylfaen" w:cs="Arial"/>
                <w:sz w:val="24"/>
                <w:szCs w:val="24"/>
                <w:shd w:val="clear" w:color="auto" w:fill="FFFFFF"/>
                <w:lang w:val="ka-GE"/>
              </w:rPr>
              <w:t xml:space="preserve">, რომლის მიზანია რომ მოხდეს სამართლის ნორმების ეფექტური, პრაქტიკული და სამართლიანი გამოყენება. </w:t>
            </w:r>
          </w:p>
          <w:p w14:paraId="4BCFD6C7" w14:textId="77777777" w:rsidR="00D54679" w:rsidRPr="000451F3" w:rsidRDefault="00D54679" w:rsidP="00CA64BF">
            <w:pPr>
              <w:spacing w:line="276" w:lineRule="auto"/>
              <w:ind w:firstLine="720"/>
              <w:jc w:val="both"/>
              <w:rPr>
                <w:rFonts w:ascii="Sylfaen" w:hAnsi="Sylfaen"/>
                <w:b/>
                <w:i/>
                <w:sz w:val="24"/>
                <w:szCs w:val="24"/>
                <w:lang w:val="ka-GE"/>
              </w:rPr>
            </w:pPr>
            <w:r w:rsidRPr="00B43981">
              <w:rPr>
                <w:rFonts w:ascii="Sylfaen" w:hAnsi="Sylfaen"/>
                <w:sz w:val="24"/>
                <w:szCs w:val="24"/>
                <w:lang w:val="ka-GE"/>
              </w:rPr>
              <w:t>სასამართლო დაცვაზე უფლების რეალიზება პროცესუალური ნორმების და საშუალებების ერთობლიობით მიიღწევა, სამართალწარმოების პრინციპების დაცვით, რომლებიც უზრუნველყოფენ სამართლიანი მართლმსაჯულების აღდგენას, სასამართლოზე მიმართვის უფლება არ შეიძლება შემოიფარგლოს მხოლოდ სარჩელის შეტანით, იგი მოიცავს სამოქალაქო პროცესის ყველა სტადიას, მოქალაქეთა საქართველოს კონსტიტუციითა და კანონით აღიარებული უფლებების დაცვას ამ სტადიებზე. სასამართლოსადმი მიმართვის უფლება არა მარტო უნდა არსებობდეს, არამედ პრაქტიკულად რეალიზებადი უნდა იყოს (</w:t>
            </w:r>
            <w:r w:rsidRPr="00B43981">
              <w:rPr>
                <w:rFonts w:ascii="Sylfaen" w:hAnsi="Sylfaen"/>
                <w:b/>
                <w:i/>
                <w:sz w:val="24"/>
                <w:szCs w:val="24"/>
                <w:lang w:val="ka-GE"/>
              </w:rPr>
              <w:t xml:space="preserve">საქართველოს </w:t>
            </w:r>
            <w:r w:rsidRPr="00B43981">
              <w:rPr>
                <w:rFonts w:ascii="Sylfaen" w:hAnsi="Sylfaen"/>
                <w:b/>
                <w:i/>
                <w:sz w:val="24"/>
                <w:szCs w:val="24"/>
                <w:lang w:val="ka-GE"/>
              </w:rPr>
              <w:lastRenderedPageBreak/>
              <w:t>მოქალაქეები ავთანდილ რიჟამაძე და ნელი მუმლაძე საქართველოს პარლამენტის წინააღმდეგ, №2/6/205,232, 3 ივლისი, 2003).</w:t>
            </w:r>
          </w:p>
          <w:p w14:paraId="7F6F736B" w14:textId="77777777" w:rsidR="00D54679" w:rsidRDefault="00D54679" w:rsidP="00CA64BF">
            <w:pPr>
              <w:spacing w:line="276" w:lineRule="auto"/>
              <w:jc w:val="both"/>
              <w:rPr>
                <w:rFonts w:ascii="Sylfaen" w:hAnsi="Sylfaen" w:cs="Arial"/>
                <w:sz w:val="24"/>
                <w:szCs w:val="24"/>
                <w:shd w:val="clear" w:color="auto" w:fill="FFFFFF"/>
                <w:lang w:val="ka-GE"/>
              </w:rPr>
            </w:pPr>
            <w:r>
              <w:rPr>
                <w:rFonts w:ascii="Sylfaen" w:hAnsi="Sylfaen" w:cs="Arial"/>
                <w:sz w:val="24"/>
                <w:szCs w:val="24"/>
                <w:shd w:val="clear" w:color="auto" w:fill="FFFFFF"/>
                <w:lang w:val="ka-GE"/>
              </w:rPr>
              <w:t xml:space="preserve">     განსახილველ შემთხვევაში, ცხადია, სადავო ნორმა მართლსაწინააღმდეგოდ ზღუდავს კონსტიტუციით გარანტირებულ უფლებებსა და პიროვნების ძირითადი უფლებებით დაცულ სფეროს. ამასთან დაკავშირებით, ყურადღება გასამახვილებელია, რომ მხარეები სასამართოს მიმართავენ დარღვეული უფლების აღდგენის მიზნით. სასამართლო არსებულ დავებზე პირველ რიგში, ადგენს მოდავე მხარის უფლების დარღვევის/არ დარღვევის ფაქტს. სწორედ ამ უკანასკნელიდან გამომდინარეობს ის კონკრეტული მატერიალური სარგებელი, რაც შედეგობრივად აისახება სასამართლოს გადაწყვეტილებაში. დავის საგანი გახლავთ მოსარჩელის მოთხოვნის პირობითი ფასი და ამ მოთხოვნის დაკმაყოფილება დაკავშირებულია სასამართო პროცესზე მხარის უფლების დარღვევის ფაქტის დადგენასთან. მაშასადამე, პროცესუალურ-სამართლებრივად ჯერ გადასაწყვეტია უფლების ბედი, საიდანაც გამომდიანრეობს სარჩელის/სასამრჩელო მოთხოვნით გათვალისწინებული მატერიალური სარგებელი. მოცემულ ვითარებაში, დაუშვებელია მხარეს აეკრძალოს უფლების დაცვის, აღდგენის მიზნით გაასაჩივროს სასამართლოს მიერ მიღებული გადაწყვეტიელბა ზედა ინსტანციის სასამართლოში (ამ შემთხვევაში, სააპელაციო სასამართო). დაუშვებელია სადავოდ ქცეული უფლების  (თუნდაც მატერიალურ მოთხოვნასთან დაკავშირებული) დიფერენცირება მასთან დაკავშირებული მატერიალური ფასის მიხედვით. ასე მაგალითად: პირობითად თუ დავის საგნის ღირებულებაა 2000 ლარი და პირველი ინსტანციის სასამართლომ არ დააკმაყოფილა ან სრულად დააკმაყოფილა სარჩელი, მხარები მოკლებულნი არიან შესაძლებლობას გაასაჩივრონ გადაწყვეტილება. თუ დავის საგნის ღირებულება არის 2000.1 ლარი მხარებზე სადავო ნორმით გათვალისინებული შეზღუდვა არ ვრცელდება და მათ შეუძლიათ სააპელაციო სასამართლოში გაასაჩივრონ პირველი ინსტანციის მიერ მიღებული გადაწყვეტილება. ფაქტობრივად, გამოდის, რომ 01 თეთრმა გადაწყვიტა მხარისათვის კონსტიტუციის 31.1 მუხლით გათვალისწინებული უფლების რეალიზაციისა და მისი შეზღუდვის საკითხი.  </w:t>
            </w:r>
          </w:p>
          <w:p w14:paraId="71ABDBFC" w14:textId="424E21DC" w:rsidR="00D54679" w:rsidRDefault="00D54679" w:rsidP="00CA64BF">
            <w:pPr>
              <w:spacing w:line="276" w:lineRule="auto"/>
              <w:jc w:val="both"/>
              <w:rPr>
                <w:rFonts w:ascii="Sylfaen" w:hAnsi="Sylfaen" w:cs="Arial"/>
                <w:sz w:val="24"/>
                <w:szCs w:val="24"/>
                <w:shd w:val="clear" w:color="auto" w:fill="FFFFFF"/>
                <w:lang w:val="ka-GE"/>
              </w:rPr>
            </w:pPr>
            <w:r>
              <w:rPr>
                <w:rFonts w:ascii="Sylfaen" w:hAnsi="Sylfaen" w:cs="Arial"/>
                <w:sz w:val="24"/>
                <w:szCs w:val="24"/>
                <w:shd w:val="clear" w:color="auto" w:fill="FFFFFF"/>
                <w:lang w:val="ka-GE"/>
              </w:rPr>
              <w:t xml:space="preserve">       სადავო ნორმა სამოქალაქო საპროცესო კოდექსში პირველად ამოქმედდა 2005 წლის 06 აპრილის ცვლიების შედეგად. ამ ნორმაში შემდგომი ცვლილებები განხორციელდა 2005 წლის 23 ივნისს, 2006 წლის 13 ივლისსა და 2018 წლის 07 მარტს. რეალურად, გაუგებარია ნორმის არსებობის, უფლების შეზღუდვის ლეგიტიმური მიზანი, მისი გამოსადეგობა, აუცილებლობა, პროპორციულობა. 2018 წლის 07 მარტს სამოქალაქო საპროცესო კოდექსში მიღებული ცვლილებების განმარტებით ბარათში არ არის მითითებული ხენებული შეზღუდვის დასაბუთება. ერთადერთი ლოგიკური მიზანი, რაც შესაძლებელია საქართველოს პარლამენტმა მოცემული შეზღუდვის გამამართლებელ არგუმენტად მოიყვანოს არის სააპელაციო სასამართლოს განტვირთვა.</w:t>
            </w:r>
          </w:p>
          <w:p w14:paraId="69234629" w14:textId="43E11E5C" w:rsidR="00D54679" w:rsidRDefault="00D54679" w:rsidP="00CA64BF">
            <w:pPr>
              <w:spacing w:line="276" w:lineRule="auto"/>
              <w:jc w:val="both"/>
              <w:rPr>
                <w:rFonts w:ascii="Sylfaen" w:hAnsi="Sylfaen" w:cs="Arial"/>
                <w:sz w:val="24"/>
                <w:szCs w:val="24"/>
                <w:shd w:val="clear" w:color="auto" w:fill="FFFFFF"/>
                <w:lang w:val="ka-GE"/>
              </w:rPr>
            </w:pPr>
            <w:r>
              <w:rPr>
                <w:rFonts w:ascii="Sylfaen" w:hAnsi="Sylfaen" w:cs="Arial"/>
                <w:sz w:val="24"/>
                <w:szCs w:val="24"/>
                <w:shd w:val="clear" w:color="auto" w:fill="FFFFFF"/>
                <w:lang w:val="ka-GE"/>
              </w:rPr>
              <w:t xml:space="preserve">   ამასთან დაკავშირებით, </w:t>
            </w:r>
            <w:r w:rsidR="00C93E50">
              <w:rPr>
                <w:rFonts w:ascii="Sylfaen" w:hAnsi="Sylfaen" w:cs="Arial"/>
                <w:sz w:val="24"/>
                <w:szCs w:val="24"/>
                <w:shd w:val="clear" w:color="auto" w:fill="FFFFFF"/>
                <w:lang w:val="ka-GE"/>
              </w:rPr>
              <w:t xml:space="preserve">დავამუშავეთ </w:t>
            </w:r>
            <w:r w:rsidR="001610CA">
              <w:rPr>
                <w:rFonts w:ascii="Sylfaen" w:hAnsi="Sylfaen" w:cs="Arial"/>
                <w:sz w:val="24"/>
                <w:szCs w:val="24"/>
                <w:shd w:val="clear" w:color="auto" w:fill="FFFFFF"/>
                <w:lang w:val="ka-GE"/>
              </w:rPr>
              <w:t>საქართველოს უზენაესი სასამართლოს</w:t>
            </w:r>
            <w:r w:rsidR="00C62C30">
              <w:rPr>
                <w:rFonts w:ascii="Sylfaen" w:hAnsi="Sylfaen" w:cs="Arial"/>
                <w:sz w:val="24"/>
                <w:szCs w:val="24"/>
                <w:shd w:val="clear" w:color="auto" w:fill="FFFFFF"/>
                <w:lang w:val="ka-GE"/>
              </w:rPr>
              <w:t xml:space="preserve"> ვებ გვერდზე:</w:t>
            </w:r>
            <w:r w:rsidR="00C93E50" w:rsidRPr="00D4626F">
              <w:rPr>
                <w:lang w:val="ka-GE"/>
              </w:rPr>
              <w:t xml:space="preserve"> </w:t>
            </w:r>
            <w:hyperlink r:id="rId11" w:history="1">
              <w:r w:rsidR="00C93E50" w:rsidRPr="00D4626F">
                <w:rPr>
                  <w:rStyle w:val="a9"/>
                  <w:rFonts w:ascii="Sylfaen" w:hAnsi="Sylfaen" w:cs="Arial"/>
                  <w:sz w:val="24"/>
                  <w:szCs w:val="24"/>
                  <w:shd w:val="clear" w:color="auto" w:fill="FFFFFF"/>
                  <w:lang w:val="ka-GE"/>
                </w:rPr>
                <w:t>http://www.supremecourt.ge/</w:t>
              </w:r>
            </w:hyperlink>
            <w:r w:rsidR="00C93E50" w:rsidRPr="00D4626F">
              <w:rPr>
                <w:rFonts w:ascii="Sylfaen" w:hAnsi="Sylfaen" w:cs="Arial"/>
                <w:sz w:val="24"/>
                <w:szCs w:val="24"/>
                <w:shd w:val="clear" w:color="auto" w:fill="FFFFFF"/>
                <w:lang w:val="ka-GE"/>
              </w:rPr>
              <w:t xml:space="preserve"> </w:t>
            </w:r>
            <w:r w:rsidR="00C93E50">
              <w:rPr>
                <w:rFonts w:ascii="Sylfaen" w:hAnsi="Sylfaen" w:cs="Arial"/>
                <w:sz w:val="24"/>
                <w:szCs w:val="24"/>
                <w:shd w:val="clear" w:color="auto" w:fill="FFFFFF"/>
                <w:lang w:val="ka-GE"/>
              </w:rPr>
              <w:t xml:space="preserve">გამოქვეყნებული სტატისტიკური მონაცემები. მონაცემების დამუშავებისას აღმოჩნდა, რომ სააპელაციო სასამართოში სააპელაციო სარჩელით </w:t>
            </w:r>
            <w:r w:rsidR="00C93E50">
              <w:rPr>
                <w:rFonts w:ascii="Sylfaen" w:hAnsi="Sylfaen" w:cs="Arial"/>
                <w:sz w:val="24"/>
                <w:szCs w:val="24"/>
                <w:shd w:val="clear" w:color="auto" w:fill="FFFFFF"/>
                <w:lang w:val="ka-GE"/>
              </w:rPr>
              <w:lastRenderedPageBreak/>
              <w:t>მიმართვიანობის მაჩვენებელი დამოკიდებულია საანგარიშო პერიოდში პირველი ინსტანციის სასამართლოს მიერ სასარჩელო საქმეებზე გამოტანილი გადაწყვეტილებების ოდენობაზე.</w:t>
            </w:r>
            <w:r w:rsidR="0036406D">
              <w:rPr>
                <w:rFonts w:ascii="Sylfaen" w:hAnsi="Sylfaen" w:cs="Arial"/>
                <w:sz w:val="24"/>
                <w:szCs w:val="24"/>
                <w:shd w:val="clear" w:color="auto" w:fill="FFFFFF"/>
                <w:lang w:val="ka-GE"/>
              </w:rPr>
              <w:t xml:space="preserve"> </w:t>
            </w:r>
          </w:p>
          <w:p w14:paraId="53F6EB36" w14:textId="77777777" w:rsidR="00CA64BF" w:rsidRDefault="00CA64BF" w:rsidP="00CA64BF">
            <w:pPr>
              <w:spacing w:line="276" w:lineRule="auto"/>
              <w:jc w:val="both"/>
              <w:rPr>
                <w:rFonts w:ascii="Sylfaen" w:hAnsi="Sylfaen" w:cs="Arial"/>
                <w:sz w:val="24"/>
                <w:szCs w:val="24"/>
                <w:shd w:val="clear" w:color="auto" w:fill="FFFFFF"/>
                <w:lang w:val="ka-GE"/>
              </w:rPr>
            </w:pPr>
          </w:p>
          <w:tbl>
            <w:tblPr>
              <w:tblStyle w:val="a4"/>
              <w:tblW w:w="10060" w:type="dxa"/>
              <w:tblLook w:val="04A0" w:firstRow="1" w:lastRow="0" w:firstColumn="1" w:lastColumn="0" w:noHBand="0" w:noVBand="1"/>
            </w:tblPr>
            <w:tblGrid>
              <w:gridCol w:w="1685"/>
              <w:gridCol w:w="2894"/>
              <w:gridCol w:w="2652"/>
              <w:gridCol w:w="2829"/>
            </w:tblGrid>
            <w:tr w:rsidR="0036406D" w:rsidRPr="00D4626F" w14:paraId="149E6BA1" w14:textId="77777777" w:rsidTr="003F18EA">
              <w:tc>
                <w:tcPr>
                  <w:tcW w:w="1685" w:type="dxa"/>
                </w:tcPr>
                <w:p w14:paraId="51EB0420" w14:textId="77777777" w:rsidR="0036406D" w:rsidRPr="006A7F0B" w:rsidRDefault="0036406D" w:rsidP="00CA64BF">
                  <w:pPr>
                    <w:spacing w:line="276" w:lineRule="auto"/>
                    <w:jc w:val="both"/>
                    <w:rPr>
                      <w:rFonts w:ascii="Sylfaen" w:hAnsi="Sylfaen"/>
                      <w:lang w:val="ka-GE"/>
                    </w:rPr>
                  </w:pPr>
                  <w:r w:rsidRPr="00D4626F">
                    <w:rPr>
                      <w:rFonts w:ascii="Sylfaen" w:hAnsi="Sylfaen"/>
                      <w:lang w:val="ka-GE"/>
                    </w:rPr>
                    <w:t xml:space="preserve">I </w:t>
                  </w:r>
                  <w:r>
                    <w:rPr>
                      <w:rFonts w:ascii="Sylfaen" w:hAnsi="Sylfaen"/>
                      <w:lang w:val="ka-GE"/>
                    </w:rPr>
                    <w:t>ველი</w:t>
                  </w:r>
                </w:p>
              </w:tc>
              <w:tc>
                <w:tcPr>
                  <w:tcW w:w="2894" w:type="dxa"/>
                </w:tcPr>
                <w:p w14:paraId="400A16C4" w14:textId="77777777" w:rsidR="0036406D" w:rsidRPr="006A7F0B" w:rsidRDefault="0036406D" w:rsidP="00CA64BF">
                  <w:pPr>
                    <w:spacing w:line="276" w:lineRule="auto"/>
                    <w:jc w:val="both"/>
                    <w:rPr>
                      <w:rFonts w:ascii="Sylfaen" w:hAnsi="Sylfaen"/>
                      <w:lang w:val="ka-GE"/>
                    </w:rPr>
                  </w:pPr>
                  <w:r w:rsidRPr="00D4626F">
                    <w:rPr>
                      <w:rFonts w:ascii="Sylfaen" w:hAnsi="Sylfaen"/>
                      <w:lang w:val="ka-GE"/>
                    </w:rPr>
                    <w:t xml:space="preserve">II </w:t>
                  </w:r>
                  <w:r>
                    <w:rPr>
                      <w:rFonts w:ascii="Sylfaen" w:hAnsi="Sylfaen"/>
                      <w:lang w:val="ka-GE"/>
                    </w:rPr>
                    <w:t>ველი</w:t>
                  </w:r>
                </w:p>
              </w:tc>
              <w:tc>
                <w:tcPr>
                  <w:tcW w:w="2652" w:type="dxa"/>
                </w:tcPr>
                <w:p w14:paraId="5E18408E" w14:textId="77777777" w:rsidR="0036406D" w:rsidRPr="006A7F0B" w:rsidRDefault="0036406D" w:rsidP="00CA64BF">
                  <w:pPr>
                    <w:spacing w:line="276" w:lineRule="auto"/>
                    <w:jc w:val="both"/>
                    <w:rPr>
                      <w:rFonts w:ascii="Sylfaen" w:hAnsi="Sylfaen"/>
                      <w:lang w:val="ka-GE"/>
                    </w:rPr>
                  </w:pPr>
                  <w:r w:rsidRPr="00D4626F">
                    <w:rPr>
                      <w:rFonts w:ascii="Sylfaen" w:hAnsi="Sylfaen"/>
                      <w:lang w:val="ka-GE"/>
                    </w:rPr>
                    <w:t xml:space="preserve">III </w:t>
                  </w:r>
                  <w:r>
                    <w:rPr>
                      <w:rFonts w:ascii="Sylfaen" w:hAnsi="Sylfaen"/>
                      <w:lang w:val="ka-GE"/>
                    </w:rPr>
                    <w:t>ველი</w:t>
                  </w:r>
                </w:p>
              </w:tc>
              <w:tc>
                <w:tcPr>
                  <w:tcW w:w="2829" w:type="dxa"/>
                </w:tcPr>
                <w:p w14:paraId="6371823E" w14:textId="77777777" w:rsidR="0036406D" w:rsidRPr="006A7F0B" w:rsidRDefault="0036406D" w:rsidP="00CA64BF">
                  <w:pPr>
                    <w:spacing w:line="276" w:lineRule="auto"/>
                    <w:jc w:val="both"/>
                    <w:rPr>
                      <w:rFonts w:ascii="Sylfaen" w:hAnsi="Sylfaen"/>
                      <w:lang w:val="ka-GE"/>
                    </w:rPr>
                  </w:pPr>
                  <w:r w:rsidRPr="00D4626F">
                    <w:rPr>
                      <w:rFonts w:ascii="Sylfaen" w:hAnsi="Sylfaen"/>
                      <w:lang w:val="ka-GE"/>
                    </w:rPr>
                    <w:t xml:space="preserve">IV </w:t>
                  </w:r>
                  <w:r>
                    <w:rPr>
                      <w:rFonts w:ascii="Sylfaen" w:hAnsi="Sylfaen"/>
                      <w:lang w:val="ka-GE"/>
                    </w:rPr>
                    <w:t>ველი</w:t>
                  </w:r>
                </w:p>
              </w:tc>
            </w:tr>
            <w:tr w:rsidR="0036406D" w:rsidRPr="00D4626F" w14:paraId="102FDF8C" w14:textId="77777777" w:rsidTr="003F18EA">
              <w:tc>
                <w:tcPr>
                  <w:tcW w:w="1685" w:type="dxa"/>
                </w:tcPr>
                <w:p w14:paraId="1C93B092" w14:textId="77777777" w:rsidR="0036406D" w:rsidRPr="006A7F0B" w:rsidRDefault="0036406D" w:rsidP="00CA64BF">
                  <w:pPr>
                    <w:spacing w:line="276" w:lineRule="auto"/>
                    <w:jc w:val="both"/>
                    <w:rPr>
                      <w:rFonts w:ascii="Sylfaen" w:hAnsi="Sylfaen"/>
                      <w:b/>
                      <w:lang w:val="ka-GE"/>
                    </w:rPr>
                  </w:pPr>
                  <w:r w:rsidRPr="006A7F0B">
                    <w:rPr>
                      <w:rFonts w:ascii="Sylfaen" w:hAnsi="Sylfaen"/>
                      <w:b/>
                      <w:lang w:val="ka-GE"/>
                    </w:rPr>
                    <w:t>წელი</w:t>
                  </w:r>
                </w:p>
              </w:tc>
              <w:tc>
                <w:tcPr>
                  <w:tcW w:w="2894" w:type="dxa"/>
                </w:tcPr>
                <w:p w14:paraId="68E9838A" w14:textId="77777777" w:rsidR="0036406D" w:rsidRPr="006A7F0B" w:rsidRDefault="0036406D" w:rsidP="00CA64BF">
                  <w:pPr>
                    <w:spacing w:line="276" w:lineRule="auto"/>
                    <w:jc w:val="both"/>
                    <w:rPr>
                      <w:rFonts w:ascii="Sylfaen" w:hAnsi="Sylfaen"/>
                      <w:b/>
                      <w:lang w:val="ka-GE"/>
                    </w:rPr>
                  </w:pPr>
                  <w:r w:rsidRPr="006A7F0B">
                    <w:rPr>
                      <w:rFonts w:ascii="Sylfaen" w:hAnsi="Sylfaen"/>
                      <w:b/>
                      <w:lang w:val="ka-GE"/>
                    </w:rPr>
                    <w:t>პირველი ინსტანციის სასამართლოს მიერ გადაწყვეტილების დასრულებული</w:t>
                  </w:r>
                  <w:r>
                    <w:rPr>
                      <w:rFonts w:ascii="Sylfaen" w:hAnsi="Sylfaen"/>
                      <w:b/>
                      <w:lang w:val="ka-GE"/>
                    </w:rPr>
                    <w:t xml:space="preserve"> სასარჩელო</w:t>
                  </w:r>
                  <w:r w:rsidRPr="006A7F0B">
                    <w:rPr>
                      <w:rFonts w:ascii="Sylfaen" w:hAnsi="Sylfaen"/>
                      <w:b/>
                      <w:lang w:val="ka-GE"/>
                    </w:rPr>
                    <w:t xml:space="preserve"> საქმეები</w:t>
                  </w:r>
                </w:p>
              </w:tc>
              <w:tc>
                <w:tcPr>
                  <w:tcW w:w="2652" w:type="dxa"/>
                </w:tcPr>
                <w:p w14:paraId="61682F4E" w14:textId="77777777" w:rsidR="0036406D" w:rsidRPr="006A7F0B" w:rsidRDefault="0036406D" w:rsidP="00CA64BF">
                  <w:pPr>
                    <w:spacing w:line="276" w:lineRule="auto"/>
                    <w:rPr>
                      <w:rFonts w:ascii="Sylfaen" w:hAnsi="Sylfaen"/>
                      <w:b/>
                      <w:lang w:val="ka-GE"/>
                    </w:rPr>
                  </w:pPr>
                  <w:r w:rsidRPr="006A7F0B">
                    <w:rPr>
                      <w:rFonts w:ascii="Sylfaen" w:hAnsi="Sylfaen"/>
                      <w:b/>
                      <w:lang w:val="ka-GE"/>
                    </w:rPr>
                    <w:t>სააპელაციო სასამართლოში შესული სააპელაციო საჩივრები</w:t>
                  </w:r>
                </w:p>
              </w:tc>
              <w:tc>
                <w:tcPr>
                  <w:tcW w:w="2829" w:type="dxa"/>
                </w:tcPr>
                <w:p w14:paraId="74EBABEF" w14:textId="77777777" w:rsidR="0036406D" w:rsidRPr="006A7F0B" w:rsidRDefault="0036406D" w:rsidP="00CA64BF">
                  <w:pPr>
                    <w:spacing w:line="276" w:lineRule="auto"/>
                    <w:jc w:val="both"/>
                    <w:rPr>
                      <w:rFonts w:ascii="Sylfaen" w:hAnsi="Sylfaen"/>
                      <w:b/>
                      <w:lang w:val="ka-GE"/>
                    </w:rPr>
                  </w:pPr>
                  <w:r w:rsidRPr="00D4626F">
                    <w:rPr>
                      <w:rFonts w:ascii="Sylfaen" w:hAnsi="Sylfaen"/>
                      <w:b/>
                      <w:lang w:val="ka-GE"/>
                    </w:rPr>
                    <w:t xml:space="preserve">II-III </w:t>
                  </w:r>
                  <w:r w:rsidRPr="006A7F0B">
                    <w:rPr>
                      <w:rFonts w:ascii="Sylfaen" w:hAnsi="Sylfaen"/>
                      <w:b/>
                      <w:lang w:val="ka-GE"/>
                    </w:rPr>
                    <w:t>ველების შორის არსებული პროცენტული მაჩვენებელი</w:t>
                  </w:r>
                </w:p>
              </w:tc>
            </w:tr>
            <w:tr w:rsidR="0036406D" w:rsidRPr="00D4626F" w14:paraId="4883A770" w14:textId="77777777" w:rsidTr="003F18EA">
              <w:tc>
                <w:tcPr>
                  <w:tcW w:w="1685" w:type="dxa"/>
                </w:tcPr>
                <w:p w14:paraId="179FAABF" w14:textId="77777777" w:rsidR="0036406D" w:rsidRDefault="0036406D" w:rsidP="00CA64BF">
                  <w:pPr>
                    <w:spacing w:line="276" w:lineRule="auto"/>
                    <w:jc w:val="both"/>
                    <w:rPr>
                      <w:rFonts w:ascii="Sylfaen" w:hAnsi="Sylfaen"/>
                      <w:lang w:val="ka-GE"/>
                    </w:rPr>
                  </w:pPr>
                  <w:r>
                    <w:rPr>
                      <w:rFonts w:ascii="Sylfaen" w:hAnsi="Sylfaen"/>
                      <w:lang w:val="ka-GE"/>
                    </w:rPr>
                    <w:t>2015</w:t>
                  </w:r>
                </w:p>
              </w:tc>
              <w:tc>
                <w:tcPr>
                  <w:tcW w:w="2894" w:type="dxa"/>
                </w:tcPr>
                <w:p w14:paraId="63660D4B"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22745</w:t>
                  </w:r>
                </w:p>
              </w:tc>
              <w:tc>
                <w:tcPr>
                  <w:tcW w:w="2652" w:type="dxa"/>
                </w:tcPr>
                <w:p w14:paraId="5D18E104"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2632</w:t>
                  </w:r>
                </w:p>
              </w:tc>
              <w:tc>
                <w:tcPr>
                  <w:tcW w:w="2829" w:type="dxa"/>
                </w:tcPr>
                <w:p w14:paraId="1E7D5070"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11.57%</w:t>
                  </w:r>
                </w:p>
              </w:tc>
            </w:tr>
            <w:tr w:rsidR="0036406D" w:rsidRPr="00D4626F" w14:paraId="684D1BB8" w14:textId="77777777" w:rsidTr="003F18EA">
              <w:tc>
                <w:tcPr>
                  <w:tcW w:w="1685" w:type="dxa"/>
                </w:tcPr>
                <w:p w14:paraId="7DBB49DA" w14:textId="77777777" w:rsidR="0036406D" w:rsidRDefault="0036406D" w:rsidP="00CA64BF">
                  <w:pPr>
                    <w:spacing w:line="276" w:lineRule="auto"/>
                    <w:jc w:val="both"/>
                    <w:rPr>
                      <w:rFonts w:ascii="Sylfaen" w:hAnsi="Sylfaen"/>
                      <w:lang w:val="ka-GE"/>
                    </w:rPr>
                  </w:pPr>
                  <w:r>
                    <w:rPr>
                      <w:rFonts w:ascii="Sylfaen" w:hAnsi="Sylfaen"/>
                      <w:lang w:val="ka-GE"/>
                    </w:rPr>
                    <w:t>2016</w:t>
                  </w:r>
                </w:p>
              </w:tc>
              <w:tc>
                <w:tcPr>
                  <w:tcW w:w="2894" w:type="dxa"/>
                </w:tcPr>
                <w:p w14:paraId="150D2C0E" w14:textId="77777777" w:rsidR="0036406D" w:rsidRPr="00D4626F" w:rsidRDefault="0036406D" w:rsidP="00CA64BF">
                  <w:pPr>
                    <w:spacing w:line="276" w:lineRule="auto"/>
                    <w:rPr>
                      <w:lang w:val="ka-GE"/>
                    </w:rPr>
                  </w:pPr>
                  <w:r w:rsidRPr="00D4626F">
                    <w:rPr>
                      <w:lang w:val="ka-GE"/>
                    </w:rPr>
                    <w:t>22672</w:t>
                  </w:r>
                </w:p>
              </w:tc>
              <w:tc>
                <w:tcPr>
                  <w:tcW w:w="2652" w:type="dxa"/>
                </w:tcPr>
                <w:p w14:paraId="355FD24E" w14:textId="77777777" w:rsidR="0036406D" w:rsidRPr="00D4626F" w:rsidRDefault="0036406D" w:rsidP="00CA64BF">
                  <w:pPr>
                    <w:spacing w:line="276" w:lineRule="auto"/>
                    <w:rPr>
                      <w:lang w:val="ka-GE"/>
                    </w:rPr>
                  </w:pPr>
                  <w:r w:rsidRPr="00D4626F">
                    <w:rPr>
                      <w:lang w:val="ka-GE"/>
                    </w:rPr>
                    <w:t>2388</w:t>
                  </w:r>
                </w:p>
              </w:tc>
              <w:tc>
                <w:tcPr>
                  <w:tcW w:w="2829" w:type="dxa"/>
                </w:tcPr>
                <w:p w14:paraId="3813BD2C"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10.53%</w:t>
                  </w:r>
                </w:p>
              </w:tc>
            </w:tr>
            <w:tr w:rsidR="0036406D" w:rsidRPr="00D4626F" w14:paraId="2DEF2AFC" w14:textId="77777777" w:rsidTr="003F18EA">
              <w:tc>
                <w:tcPr>
                  <w:tcW w:w="1685" w:type="dxa"/>
                </w:tcPr>
                <w:p w14:paraId="712D60C5" w14:textId="77777777" w:rsidR="0036406D" w:rsidRDefault="0036406D" w:rsidP="00CA64BF">
                  <w:pPr>
                    <w:spacing w:line="276" w:lineRule="auto"/>
                    <w:jc w:val="both"/>
                    <w:rPr>
                      <w:rFonts w:ascii="Sylfaen" w:hAnsi="Sylfaen"/>
                      <w:lang w:val="ka-GE"/>
                    </w:rPr>
                  </w:pPr>
                  <w:r>
                    <w:rPr>
                      <w:rFonts w:ascii="Sylfaen" w:hAnsi="Sylfaen"/>
                      <w:lang w:val="ka-GE"/>
                    </w:rPr>
                    <w:t>2017</w:t>
                  </w:r>
                </w:p>
              </w:tc>
              <w:tc>
                <w:tcPr>
                  <w:tcW w:w="2894" w:type="dxa"/>
                </w:tcPr>
                <w:p w14:paraId="74E65A3A"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28327</w:t>
                  </w:r>
                </w:p>
              </w:tc>
              <w:tc>
                <w:tcPr>
                  <w:tcW w:w="2652" w:type="dxa"/>
                </w:tcPr>
                <w:p w14:paraId="44205C3B"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3168</w:t>
                  </w:r>
                </w:p>
              </w:tc>
              <w:tc>
                <w:tcPr>
                  <w:tcW w:w="2829" w:type="dxa"/>
                </w:tcPr>
                <w:p w14:paraId="287F1256"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11.18%</w:t>
                  </w:r>
                </w:p>
              </w:tc>
            </w:tr>
            <w:tr w:rsidR="0036406D" w:rsidRPr="00D4626F" w14:paraId="33910D67" w14:textId="77777777" w:rsidTr="003F18EA">
              <w:tc>
                <w:tcPr>
                  <w:tcW w:w="1685" w:type="dxa"/>
                </w:tcPr>
                <w:p w14:paraId="4B50D2CC" w14:textId="77777777" w:rsidR="0036406D" w:rsidRDefault="0036406D" w:rsidP="00CA64BF">
                  <w:pPr>
                    <w:spacing w:line="276" w:lineRule="auto"/>
                    <w:jc w:val="both"/>
                    <w:rPr>
                      <w:rFonts w:ascii="Sylfaen" w:hAnsi="Sylfaen"/>
                      <w:lang w:val="ka-GE"/>
                    </w:rPr>
                  </w:pPr>
                  <w:r>
                    <w:rPr>
                      <w:rFonts w:ascii="Sylfaen" w:hAnsi="Sylfaen"/>
                      <w:lang w:val="ka-GE"/>
                    </w:rPr>
                    <w:t>2018</w:t>
                  </w:r>
                </w:p>
              </w:tc>
              <w:tc>
                <w:tcPr>
                  <w:tcW w:w="2894" w:type="dxa"/>
                </w:tcPr>
                <w:p w14:paraId="76B3C05C"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34165</w:t>
                  </w:r>
                </w:p>
              </w:tc>
              <w:tc>
                <w:tcPr>
                  <w:tcW w:w="2652" w:type="dxa"/>
                </w:tcPr>
                <w:p w14:paraId="68E78AF9"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3800</w:t>
                  </w:r>
                </w:p>
              </w:tc>
              <w:tc>
                <w:tcPr>
                  <w:tcW w:w="2829" w:type="dxa"/>
                </w:tcPr>
                <w:p w14:paraId="15CB4E8C"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11.12%</w:t>
                  </w:r>
                </w:p>
              </w:tc>
            </w:tr>
            <w:tr w:rsidR="0036406D" w:rsidRPr="00D4626F" w14:paraId="1A98A02D" w14:textId="77777777" w:rsidTr="003F18EA">
              <w:tc>
                <w:tcPr>
                  <w:tcW w:w="1685" w:type="dxa"/>
                </w:tcPr>
                <w:p w14:paraId="5EBBF944" w14:textId="77777777" w:rsidR="0036406D" w:rsidRDefault="0036406D" w:rsidP="00CA64BF">
                  <w:pPr>
                    <w:spacing w:line="276" w:lineRule="auto"/>
                    <w:jc w:val="both"/>
                    <w:rPr>
                      <w:rFonts w:ascii="Sylfaen" w:hAnsi="Sylfaen"/>
                      <w:lang w:val="ka-GE"/>
                    </w:rPr>
                  </w:pPr>
                  <w:r>
                    <w:rPr>
                      <w:rFonts w:ascii="Sylfaen" w:hAnsi="Sylfaen"/>
                      <w:lang w:val="ka-GE"/>
                    </w:rPr>
                    <w:t>2019</w:t>
                  </w:r>
                </w:p>
              </w:tc>
              <w:tc>
                <w:tcPr>
                  <w:tcW w:w="2894" w:type="dxa"/>
                </w:tcPr>
                <w:p w14:paraId="6C567F2A"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29756</w:t>
                  </w:r>
                </w:p>
              </w:tc>
              <w:tc>
                <w:tcPr>
                  <w:tcW w:w="2652" w:type="dxa"/>
                </w:tcPr>
                <w:p w14:paraId="4D5969D0"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3585</w:t>
                  </w:r>
                </w:p>
              </w:tc>
              <w:tc>
                <w:tcPr>
                  <w:tcW w:w="2829" w:type="dxa"/>
                </w:tcPr>
                <w:p w14:paraId="7A3D3EA1" w14:textId="77777777" w:rsidR="0036406D" w:rsidRPr="00D4626F" w:rsidRDefault="0036406D" w:rsidP="00CA64BF">
                  <w:pPr>
                    <w:spacing w:line="276" w:lineRule="auto"/>
                    <w:jc w:val="both"/>
                    <w:rPr>
                      <w:rFonts w:ascii="Sylfaen" w:hAnsi="Sylfaen"/>
                      <w:lang w:val="ka-GE"/>
                    </w:rPr>
                  </w:pPr>
                  <w:r w:rsidRPr="00D4626F">
                    <w:rPr>
                      <w:rFonts w:ascii="Sylfaen" w:hAnsi="Sylfaen"/>
                      <w:lang w:val="ka-GE"/>
                    </w:rPr>
                    <w:t>12.04%</w:t>
                  </w:r>
                </w:p>
              </w:tc>
            </w:tr>
            <w:tr w:rsidR="0036406D" w:rsidRPr="00D4626F" w14:paraId="3655FE5C" w14:textId="77777777" w:rsidTr="00D928C7">
              <w:tc>
                <w:tcPr>
                  <w:tcW w:w="10060" w:type="dxa"/>
                  <w:gridSpan w:val="4"/>
                </w:tcPr>
                <w:p w14:paraId="3317E26B" w14:textId="2FBD8E40" w:rsidR="0036406D" w:rsidRPr="0036406D" w:rsidRDefault="0036406D" w:rsidP="00CA64BF">
                  <w:pPr>
                    <w:spacing w:line="276" w:lineRule="auto"/>
                    <w:jc w:val="both"/>
                    <w:rPr>
                      <w:rFonts w:ascii="Sylfaen" w:hAnsi="Sylfaen"/>
                      <w:lang w:val="ka-GE"/>
                    </w:rPr>
                  </w:pPr>
                  <w:r w:rsidRPr="0036406D">
                    <w:rPr>
                      <w:rFonts w:ascii="Sylfaen" w:hAnsi="Sylfaen"/>
                      <w:b/>
                      <w:lang w:val="ka-GE"/>
                    </w:rPr>
                    <w:t xml:space="preserve">შენიშვნა: </w:t>
                  </w:r>
                  <w:r>
                    <w:rPr>
                      <w:rFonts w:ascii="Sylfaen" w:hAnsi="Sylfaen"/>
                      <w:b/>
                      <w:lang w:val="ka-GE"/>
                    </w:rPr>
                    <w:t>წარდგენილი სტატისტიკა მოიცავს სამოქალაქო საქმეთა კოლეგიის/ პალატის მონაცემებს</w:t>
                  </w:r>
                </w:p>
              </w:tc>
            </w:tr>
          </w:tbl>
          <w:p w14:paraId="25463EF0" w14:textId="744859FB" w:rsidR="0036406D" w:rsidRDefault="0036406D" w:rsidP="00CA64BF">
            <w:pPr>
              <w:spacing w:line="276" w:lineRule="auto"/>
              <w:jc w:val="both"/>
              <w:rPr>
                <w:rFonts w:ascii="Sylfaen" w:hAnsi="Sylfaen" w:cs="Arial"/>
                <w:sz w:val="24"/>
                <w:szCs w:val="24"/>
                <w:shd w:val="clear" w:color="auto" w:fill="FFFFFF"/>
                <w:lang w:val="ka-GE"/>
              </w:rPr>
            </w:pPr>
            <w:r>
              <w:rPr>
                <w:rFonts w:ascii="Sylfaen" w:hAnsi="Sylfaen" w:cs="Arial"/>
                <w:sz w:val="24"/>
                <w:szCs w:val="24"/>
                <w:shd w:val="clear" w:color="auto" w:fill="FFFFFF"/>
                <w:lang w:val="ka-GE"/>
              </w:rPr>
              <w:t xml:space="preserve">    </w:t>
            </w:r>
          </w:p>
          <w:p w14:paraId="23C5389E" w14:textId="6BB18C86" w:rsidR="004E2099" w:rsidRDefault="0036406D" w:rsidP="00CA64BF">
            <w:pPr>
              <w:spacing w:line="276" w:lineRule="auto"/>
              <w:jc w:val="both"/>
              <w:rPr>
                <w:rFonts w:ascii="Sylfaen" w:hAnsi="Sylfaen" w:cs="Arial"/>
                <w:sz w:val="24"/>
                <w:szCs w:val="24"/>
                <w:shd w:val="clear" w:color="auto" w:fill="FFFFFF"/>
                <w:lang w:val="ka-GE"/>
              </w:rPr>
            </w:pPr>
            <w:r>
              <w:rPr>
                <w:rFonts w:ascii="Sylfaen" w:hAnsi="Sylfaen" w:cs="Arial"/>
                <w:sz w:val="24"/>
                <w:szCs w:val="24"/>
                <w:shd w:val="clear" w:color="auto" w:fill="FFFFFF"/>
                <w:lang w:val="ka-GE"/>
              </w:rPr>
              <w:t xml:space="preserve">    წარდგენილი </w:t>
            </w:r>
            <w:r w:rsidR="00CF74DE">
              <w:rPr>
                <w:rFonts w:ascii="Sylfaen" w:hAnsi="Sylfaen" w:cs="Arial"/>
                <w:sz w:val="24"/>
                <w:szCs w:val="24"/>
                <w:shd w:val="clear" w:color="auto" w:fill="FFFFFF"/>
                <w:lang w:val="ka-GE"/>
              </w:rPr>
              <w:t xml:space="preserve">სტატისტიკური მონაცემების ნათლად ადასტურებს, რომ ბოლო 4 წლის მანძილზე სააპელაციო სასამართლოში სააპელაციო საჩივრით მიმართვის პროცენტული დინამიკა თითქმის ერთგვაროვანია (უმნიშნელო განსხვავებებით). </w:t>
            </w:r>
            <w:r w:rsidR="00F02FF1">
              <w:rPr>
                <w:rFonts w:ascii="Sylfaen" w:hAnsi="Sylfaen" w:cs="Arial"/>
                <w:sz w:val="24"/>
                <w:szCs w:val="24"/>
                <w:shd w:val="clear" w:color="auto" w:fill="FFFFFF"/>
                <w:lang w:val="ka-GE"/>
              </w:rPr>
              <w:t>სადავო ნორმაში ბოლო ცვლილება განხორციელდა 2018 წლის 07 მარტს (სააპელაციო სასამართლოში სააპელაციო საჩივრით მიმართვისათვის მინიმალური ზღვარი</w:t>
            </w:r>
            <w:r w:rsidR="00D23F49">
              <w:rPr>
                <w:rFonts w:ascii="Sylfaen" w:hAnsi="Sylfaen" w:cs="Arial"/>
                <w:sz w:val="24"/>
                <w:szCs w:val="24"/>
                <w:shd w:val="clear" w:color="auto" w:fill="FFFFFF"/>
                <w:lang w:val="ka-GE"/>
              </w:rPr>
              <w:t xml:space="preserve"> იყო 1000 ლარი. ცვლილებით ეს ზღვარი გაიზარდა 2000 ლარით</w:t>
            </w:r>
            <w:r w:rsidR="00F02FF1">
              <w:rPr>
                <w:rFonts w:ascii="Sylfaen" w:hAnsi="Sylfaen" w:cs="Arial"/>
                <w:sz w:val="24"/>
                <w:szCs w:val="24"/>
                <w:shd w:val="clear" w:color="auto" w:fill="FFFFFF"/>
                <w:lang w:val="ka-GE"/>
              </w:rPr>
              <w:t>).</w:t>
            </w:r>
            <w:r w:rsidR="00D23F49">
              <w:rPr>
                <w:rFonts w:ascii="Sylfaen" w:hAnsi="Sylfaen" w:cs="Arial"/>
                <w:sz w:val="24"/>
                <w:szCs w:val="24"/>
                <w:shd w:val="clear" w:color="auto" w:fill="FFFFFF"/>
                <w:lang w:val="ka-GE"/>
              </w:rPr>
              <w:t xml:space="preserve"> თუ აღნიშნული ნორმა რეალურად ამართლებს ლეგიტიმურ მიზანს</w:t>
            </w:r>
            <w:r w:rsidR="000D5B77">
              <w:rPr>
                <w:rFonts w:ascii="Sylfaen" w:hAnsi="Sylfaen" w:cs="Arial"/>
                <w:sz w:val="24"/>
                <w:szCs w:val="24"/>
                <w:shd w:val="clear" w:color="auto" w:fill="FFFFFF"/>
                <w:lang w:val="ka-GE"/>
              </w:rPr>
              <w:t xml:space="preserve">, 2018 წლის შემდეგ სააპელაციო სასამართლოში სააპელაციო სარჩელით მიმართვის მაჩვენებელი არსებითად უდნა იყოს შეცვლილი (ამ მხრივ, ნორმის მოქმედების შესაფასებლად 02 წელი, 2018-2019 სავსებით საკმარისია. აგრეთვე, 2020 წლის სტატისტიკურ მონაცემებს მოგაწვდით 2020 წლის საანგარიშო პერიოდის დასრულების შემდეგ). </w:t>
            </w:r>
            <w:r w:rsidR="004E2099">
              <w:rPr>
                <w:rFonts w:ascii="Sylfaen" w:hAnsi="Sylfaen" w:cs="Arial"/>
                <w:sz w:val="24"/>
                <w:szCs w:val="24"/>
                <w:shd w:val="clear" w:color="auto" w:fill="FFFFFF"/>
                <w:lang w:val="ka-GE"/>
              </w:rPr>
              <w:t>როგორც ვხედავთ,  ცვლილების შემდეგ სააპელაციო სასამართლოში სააპელაციო საჩივრით მიმართვის  დინამიკა შენარჩუნებულია. ამგვარი პირობების არსებობისას დაუშვებელია მხარეს არალეგიტიმურად, არაპროპორციულად ეთქვას უარი მართლმსაჯულების და სასამართლოში მიმართვის უფლების განხორციელებაზე.</w:t>
            </w:r>
          </w:p>
          <w:p w14:paraId="15B5A7DE" w14:textId="78D74F9D" w:rsidR="00D54679" w:rsidRPr="00CA64BF" w:rsidRDefault="004E2099" w:rsidP="00CA64BF">
            <w:pPr>
              <w:spacing w:line="276" w:lineRule="auto"/>
              <w:jc w:val="both"/>
              <w:rPr>
                <w:rFonts w:ascii="Sylfaen" w:hAnsi="Sylfaen" w:cs="Arial"/>
                <w:sz w:val="24"/>
                <w:szCs w:val="24"/>
                <w:shd w:val="clear" w:color="auto" w:fill="FFFFFF"/>
                <w:lang w:val="ka-GE"/>
              </w:rPr>
            </w:pPr>
            <w:r>
              <w:rPr>
                <w:rFonts w:ascii="Sylfaen" w:hAnsi="Sylfaen" w:cs="Arial"/>
                <w:sz w:val="24"/>
                <w:szCs w:val="24"/>
                <w:shd w:val="clear" w:color="auto" w:fill="FFFFFF"/>
                <w:lang w:val="ka-GE"/>
              </w:rPr>
              <w:t xml:space="preserve">   </w:t>
            </w:r>
            <w:r w:rsidR="007E6343">
              <w:rPr>
                <w:rFonts w:ascii="Sylfaen" w:hAnsi="Sylfaen" w:cs="Arial"/>
                <w:sz w:val="24"/>
                <w:szCs w:val="24"/>
                <w:shd w:val="clear" w:color="auto" w:fill="FFFFFF"/>
                <w:lang w:val="ka-GE"/>
              </w:rPr>
              <w:t xml:space="preserve">რეალურად, მხარეები სააპელაციო სასამართლოს აღარ მიმართავენ დავის საგნის მიმართ ინტერესის დაკარგვის გამო და როგორც საქმეში არსებული მასალიდან დგინდება სამოქალაქო </w:t>
            </w:r>
            <w:r w:rsidR="00CA64BF">
              <w:rPr>
                <w:rFonts w:ascii="Sylfaen" w:hAnsi="Sylfaen" w:cs="Arial"/>
                <w:sz w:val="24"/>
                <w:szCs w:val="24"/>
                <w:shd w:val="clear" w:color="auto" w:fill="FFFFFF"/>
                <w:lang w:val="ka-GE"/>
              </w:rPr>
              <w:t xml:space="preserve">საპროცეს </w:t>
            </w:r>
            <w:r w:rsidR="007E6343">
              <w:rPr>
                <w:rFonts w:ascii="Sylfaen" w:hAnsi="Sylfaen" w:cs="Arial"/>
                <w:sz w:val="24"/>
                <w:szCs w:val="24"/>
                <w:shd w:val="clear" w:color="auto" w:fill="FFFFFF"/>
                <w:lang w:val="ka-GE"/>
              </w:rPr>
              <w:t xml:space="preserve">კოდექსის 365-ე მუხლით გათვალისწინებული შეზღუდვა არ არის გამოსადეგი, აუცილებელი პროპორციული. იგი არ ემსახურება ლეგიტიმური მიზნის მიღწევას. მოცემული ნორმით გათვალისწინებული რეგულაცია, სამწუხაროდ, </w:t>
            </w:r>
            <w:r w:rsidR="00CA64BF">
              <w:rPr>
                <w:rFonts w:ascii="Sylfaen" w:hAnsi="Sylfaen" w:cs="Arial"/>
                <w:sz w:val="24"/>
                <w:szCs w:val="24"/>
                <w:shd w:val="clear" w:color="auto" w:fill="FFFFFF"/>
                <w:lang w:val="ka-GE"/>
              </w:rPr>
              <w:t>საკანონმდებლო ორგანოს თვითნებული გადაწყვეტილების შედეგს წარმოადგენს.</w:t>
            </w:r>
          </w:p>
          <w:p w14:paraId="74F5A12C" w14:textId="34C8F671" w:rsidR="00D54679" w:rsidRPr="00083DE4" w:rsidRDefault="00D54679" w:rsidP="00CA64BF">
            <w:pPr>
              <w:tabs>
                <w:tab w:val="left" w:pos="0"/>
              </w:tabs>
              <w:spacing w:after="120" w:line="276" w:lineRule="auto"/>
              <w:ind w:firstLine="851"/>
              <w:jc w:val="both"/>
              <w:rPr>
                <w:rFonts w:ascii="Sylfaen" w:hAnsi="Sylfaen"/>
                <w:sz w:val="24"/>
                <w:szCs w:val="24"/>
                <w:lang w:val="ka-GE"/>
              </w:rPr>
            </w:pPr>
            <w:r>
              <w:rPr>
                <w:rFonts w:ascii="Sylfaen" w:hAnsi="Sylfaen"/>
                <w:color w:val="000000"/>
                <w:sz w:val="24"/>
                <w:szCs w:val="24"/>
                <w:lang w:val="ka-GE"/>
              </w:rPr>
              <w:t xml:space="preserve">ჩვენ, სრულად ვაცნობიერებთ, რომ </w:t>
            </w:r>
            <w:r w:rsidRPr="006B7A41">
              <w:rPr>
                <w:rFonts w:ascii="Sylfaen" w:hAnsi="Sylfaen"/>
                <w:sz w:val="24"/>
                <w:szCs w:val="24"/>
                <w:lang w:val="ka-GE"/>
              </w:rPr>
              <w:t xml:space="preserve">საქართველოს კონსტიტუციის </w:t>
            </w:r>
            <w:r>
              <w:rPr>
                <w:rFonts w:ascii="Sylfaen" w:hAnsi="Sylfaen"/>
                <w:sz w:val="24"/>
                <w:szCs w:val="24"/>
                <w:lang w:val="ka-GE"/>
              </w:rPr>
              <w:t>31</w:t>
            </w:r>
            <w:r w:rsidRPr="006B7A41">
              <w:rPr>
                <w:rFonts w:ascii="Sylfaen" w:hAnsi="Sylfaen"/>
                <w:sz w:val="24"/>
                <w:szCs w:val="24"/>
                <w:lang w:val="ka-GE"/>
              </w:rPr>
              <w:t>-ე მუხლის პირველი პუნქტით დაცული სამართლიანი სასამართლოს უფლება არ არის აბსოლუტური</w:t>
            </w:r>
            <w:r>
              <w:rPr>
                <w:rFonts w:ascii="Sylfaen" w:hAnsi="Sylfaen"/>
                <w:sz w:val="24"/>
                <w:szCs w:val="24"/>
                <w:lang w:val="ka-GE"/>
              </w:rPr>
              <w:t xml:space="preserve"> უფლება და შეიძლება შეიზღუდოს.</w:t>
            </w:r>
            <w:r w:rsidRPr="006B7A41">
              <w:rPr>
                <w:rFonts w:ascii="Sylfaen" w:hAnsi="Sylfaen"/>
                <w:sz w:val="24"/>
                <w:szCs w:val="24"/>
                <w:lang w:val="ka-GE"/>
              </w:rPr>
              <w:t xml:space="preserve"> </w:t>
            </w:r>
            <w:r w:rsidRPr="00DF3C61">
              <w:rPr>
                <w:rFonts w:ascii="Sylfaen" w:hAnsi="Sylfaen"/>
                <w:i/>
                <w:sz w:val="24"/>
                <w:szCs w:val="24"/>
                <w:u w:val="single"/>
                <w:lang w:val="ka-GE"/>
              </w:rPr>
              <w:t xml:space="preserve">„უფლებათა უმრავლესობის შეზღუდვა აუცდენელია, რადგან მათი </w:t>
            </w:r>
            <w:r w:rsidRPr="00DF3C61">
              <w:rPr>
                <w:rFonts w:ascii="Sylfaen" w:hAnsi="Sylfaen"/>
                <w:i/>
                <w:sz w:val="24"/>
                <w:szCs w:val="24"/>
                <w:u w:val="single"/>
                <w:lang w:val="ka-GE"/>
              </w:rPr>
              <w:lastRenderedPageBreak/>
              <w:t>რეალიზაცია ხშირად წარმოშობს ღირებულებათა კონფლიქტს... მაშინ როდესაც ინტერესების დაპირისპირება აუცდენელია, წარმოიშობა მათი ჰარმონიზაციის, სამართლიანი დაბალანსების აუცილებლობა“</w:t>
            </w:r>
            <w:r w:rsidRPr="00DF3C61">
              <w:rPr>
                <w:rFonts w:ascii="Sylfaen" w:hAnsi="Sylfaen"/>
                <w:sz w:val="24"/>
                <w:szCs w:val="24"/>
                <w:u w:val="single"/>
                <w:lang w:val="ka-GE"/>
              </w:rPr>
              <w:t xml:space="preserve"> </w:t>
            </w:r>
            <w:r>
              <w:rPr>
                <w:rFonts w:ascii="Sylfaen" w:hAnsi="Sylfaen"/>
                <w:sz w:val="24"/>
                <w:szCs w:val="24"/>
                <w:lang w:val="ka-GE"/>
              </w:rPr>
              <w:t xml:space="preserve">აღნიშნავს საკონსტიტუციო სასამართლო ერთ-ერთ გადაწყვეტილებაში. </w:t>
            </w:r>
            <w:r w:rsidRPr="00E5242D">
              <w:rPr>
                <w:rFonts w:ascii="Sylfaen" w:hAnsi="Sylfaen"/>
                <w:b/>
                <w:lang w:val="ka-GE"/>
              </w:rPr>
              <w:t>/საკონსტიტუციო სასამართლოს 2011 წლის 22 დეკემბრის გადაწყვეტილება NN1/1/477 საქმეზე „საქართველოს სახალხო დამცველი საქართველოს პარლამენტის წინააღმდეგ“, II-45/.</w:t>
            </w:r>
          </w:p>
          <w:p w14:paraId="0E3517AA" w14:textId="77777777" w:rsidR="00D54679" w:rsidRDefault="00D54679" w:rsidP="00CA64BF">
            <w:pPr>
              <w:spacing w:line="276" w:lineRule="auto"/>
              <w:ind w:firstLine="851"/>
              <w:jc w:val="both"/>
              <w:rPr>
                <w:rFonts w:ascii="Sylfaen" w:hAnsi="Sylfaen"/>
                <w:b/>
                <w:sz w:val="24"/>
                <w:szCs w:val="24"/>
                <w:lang w:val="ka-GE"/>
              </w:rPr>
            </w:pPr>
            <w:r w:rsidRPr="00DF3C61">
              <w:rPr>
                <w:rFonts w:ascii="Sylfaen" w:hAnsi="Sylfaen"/>
                <w:i/>
                <w:sz w:val="24"/>
                <w:szCs w:val="24"/>
                <w:u w:val="single"/>
                <w:lang w:val="ka-GE"/>
              </w:rPr>
              <w:t>„სამართლიანი სასამართლოს უფლება შესაძლოა შეიზღუდოს დემოკრატიულ სახელმწიფოში აუცილებელი და კონსტიტუციით  გათვალისწინებული ლეგიტიმური საჯარო მიზნების მისაღწევად. ამასთანავე, აღნიშნულ უფლებაში ჩარევა უნდა განხორციელდეს კანონის ნათლად ფორმულირებული წესის საფუძველზე, დასახელებული ლეგიტიმური მიზნების მიღწევისთვის აუცილებელი და პროპორციული/თანაზომიერი საშუალებით“.</w:t>
            </w:r>
            <w:r w:rsidRPr="00DF3C61">
              <w:rPr>
                <w:rFonts w:ascii="Sylfaen" w:hAnsi="Sylfaen"/>
                <w:sz w:val="24"/>
                <w:szCs w:val="24"/>
                <w:lang w:val="ka-GE"/>
              </w:rPr>
              <w:t xml:space="preserve"> </w:t>
            </w:r>
            <w:r w:rsidRPr="00FD0081">
              <w:rPr>
                <w:rFonts w:ascii="Sylfaen" w:hAnsi="Sylfaen"/>
                <w:b/>
                <w:sz w:val="24"/>
                <w:szCs w:val="24"/>
                <w:lang w:val="ka-GE"/>
              </w:rPr>
              <w:t>/2016 წლის 30 სექტემბრის გადაწყვეტილება №1/2/596 საქმეზე „საქართველოს</w:t>
            </w:r>
            <w:r w:rsidRPr="00D4626F">
              <w:rPr>
                <w:rFonts w:ascii="Sylfaen" w:hAnsi="Sylfaen"/>
                <w:b/>
                <w:sz w:val="24"/>
                <w:szCs w:val="24"/>
                <w:lang w:val="ka-GE"/>
              </w:rPr>
              <w:t xml:space="preserve"> </w:t>
            </w:r>
            <w:r w:rsidRPr="00FD0081">
              <w:rPr>
                <w:rFonts w:ascii="Sylfaen" w:hAnsi="Sylfaen"/>
                <w:b/>
                <w:sz w:val="24"/>
                <w:szCs w:val="24"/>
                <w:lang w:val="ka-GE"/>
              </w:rPr>
              <w:t>მოქალაქე ნათია ყიფშიძე საქართველოს პარლამენტის წინააღმდეგ“, II-20/.</w:t>
            </w:r>
          </w:p>
          <w:p w14:paraId="25D97FD8" w14:textId="77777777" w:rsidR="00D54679" w:rsidRDefault="00D54679" w:rsidP="00CA64BF">
            <w:pPr>
              <w:spacing w:line="276" w:lineRule="auto"/>
              <w:ind w:firstLine="851"/>
              <w:jc w:val="both"/>
              <w:rPr>
                <w:rFonts w:ascii="Sylfaen" w:hAnsi="Sylfaen"/>
                <w:b/>
                <w:lang w:val="ka-GE"/>
              </w:rPr>
            </w:pPr>
            <w:r w:rsidRPr="00FD4D26">
              <w:rPr>
                <w:rFonts w:ascii="Sylfaen" w:hAnsi="Sylfaen"/>
                <w:sz w:val="24"/>
                <w:szCs w:val="24"/>
                <w:lang w:val="ka-GE"/>
              </w:rPr>
              <w:t xml:space="preserve">ყოველგვარი ჩარევა უფლებაში და უფლებით დაცული სფეროს შეზღუდვა, უნდა განხორციელდეს მხოლოდ ლეგიტიმური მიზნების  მისაღწევად პროპორციული/თანაზომიერი პრინციპის საფუძველზე. საკონსტიტუციო სასამართლო მის ერთ-ერთ გადაწყვეტილებაში თანაზომიერების პრინციპის მოთხოვნების შესახებ </w:t>
            </w:r>
            <w:r>
              <w:rPr>
                <w:rFonts w:ascii="Sylfaen" w:hAnsi="Sylfaen"/>
                <w:sz w:val="24"/>
                <w:szCs w:val="24"/>
                <w:lang w:val="ka-GE"/>
              </w:rPr>
              <w:t>განმარტა</w:t>
            </w:r>
            <w:r w:rsidRPr="00FD4D26">
              <w:rPr>
                <w:rFonts w:ascii="Sylfaen" w:hAnsi="Sylfaen"/>
                <w:sz w:val="24"/>
                <w:szCs w:val="24"/>
                <w:lang w:val="ka-GE"/>
              </w:rPr>
              <w:t xml:space="preserve">, რომ: </w:t>
            </w:r>
            <w:r w:rsidRPr="00FD0081">
              <w:rPr>
                <w:rFonts w:ascii="Sylfaen" w:hAnsi="Sylfaen"/>
                <w:i/>
                <w:sz w:val="24"/>
                <w:szCs w:val="24"/>
                <w:u w:val="single"/>
                <w:lang w:val="ka-GE"/>
              </w:rPr>
              <w:t>„უფლების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6C6F2C">
              <w:rPr>
                <w:rFonts w:ascii="Sylfaen" w:hAnsi="Sylfaen"/>
                <w:i/>
                <w:sz w:val="24"/>
                <w:szCs w:val="24"/>
                <w:lang w:val="ka-GE"/>
              </w:rPr>
              <w:t xml:space="preserve"> </w:t>
            </w:r>
            <w:r w:rsidRPr="006C6F2C">
              <w:rPr>
                <w:rFonts w:ascii="Sylfaen" w:hAnsi="Sylfaen"/>
                <w:b/>
                <w:lang w:val="ka-GE"/>
              </w:rPr>
              <w:t>/საქართველოს საკონსტიტუციო სასამართლოდ 2012 წლის 26 ივნისის #3/1/512 გადაწყვეტილება „დანიის მოქალაქე ჰეიკე ქრონქვისტი საქართველოს პარლამენტის წინააღმდეგ,“, II-60/</w:t>
            </w:r>
          </w:p>
          <w:p w14:paraId="240A45F5" w14:textId="77777777" w:rsidR="00D54679" w:rsidRDefault="00D54679" w:rsidP="00CA64BF">
            <w:pPr>
              <w:spacing w:line="276" w:lineRule="auto"/>
              <w:ind w:firstLine="851"/>
              <w:jc w:val="both"/>
              <w:rPr>
                <w:rFonts w:ascii="Sylfaen" w:hAnsi="Sylfaen"/>
                <w:b/>
                <w:i/>
                <w:lang w:val="ka-GE"/>
              </w:rPr>
            </w:pPr>
            <w:r w:rsidRPr="006C6F2C">
              <w:rPr>
                <w:rFonts w:ascii="Sylfaen" w:hAnsi="Sylfaen"/>
                <w:i/>
                <w:sz w:val="24"/>
                <w:szCs w:val="24"/>
                <w:lang w:val="ka-GE"/>
              </w:rPr>
              <w:t>ამასთან,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Pr>
                <w:rFonts w:ascii="Sylfaen" w:hAnsi="Sylfaen"/>
                <w:sz w:val="24"/>
                <w:szCs w:val="24"/>
                <w:lang w:val="ka-GE"/>
              </w:rPr>
              <w:t xml:space="preserve"> </w:t>
            </w:r>
            <w:r w:rsidRPr="006C6F2C">
              <w:rPr>
                <w:rFonts w:ascii="Sylfaen" w:hAnsi="Sylfaen"/>
                <w:b/>
                <w:i/>
                <w:lang w:val="ka-GE"/>
              </w:rPr>
              <w:t>/საქართველოს საკონსტიტუციო სასამართლოს 2013 წლის 5 ნოემბრის #3/1/531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 II-15/.</w:t>
            </w:r>
          </w:p>
          <w:p w14:paraId="5ADA04F4" w14:textId="49ADEB21" w:rsidR="00D54679" w:rsidRPr="00CA64BF" w:rsidRDefault="00D54679" w:rsidP="00CA64BF">
            <w:pPr>
              <w:spacing w:line="276" w:lineRule="auto"/>
              <w:ind w:firstLine="851"/>
              <w:jc w:val="both"/>
              <w:rPr>
                <w:rFonts w:ascii="Sylfaen" w:hAnsi="Sylfaen"/>
                <w:sz w:val="24"/>
                <w:szCs w:val="24"/>
                <w:lang w:val="ka-GE"/>
              </w:rPr>
            </w:pPr>
            <w:r w:rsidRPr="008B4557">
              <w:rPr>
                <w:rFonts w:ascii="Sylfaen" w:hAnsi="Sylfaen"/>
                <w:color w:val="000000"/>
                <w:sz w:val="24"/>
                <w:szCs w:val="24"/>
                <w:lang w:val="ka-GE"/>
              </w:rPr>
              <w:t xml:space="preserve">ჩვენს კონკრეტულ შემთხვევაში, მიგვაჩნია, </w:t>
            </w:r>
            <w:r w:rsidR="00CA64BF">
              <w:rPr>
                <w:rFonts w:ascii="Sylfaen" w:hAnsi="Sylfaen"/>
                <w:color w:val="000000"/>
                <w:sz w:val="24"/>
                <w:szCs w:val="24"/>
                <w:lang w:val="ka-GE"/>
              </w:rPr>
              <w:t>სამოქალაქო საპროცესო კოდექსის 365-ე მუხლის რეგულაცია არსებით წინააღმდეგობაში მოდის საქართველოს კონსტიტუციის 31.1. მუხლთან. შესაბამისად, მოგმართავთ თხოვნით, ხსენებული ნორმის არაკონსტიტუციურად ცნობის თაობაზე.</w:t>
            </w:r>
          </w:p>
        </w:tc>
      </w:tr>
      <w:permEnd w:id="396763608"/>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6033860" w:rsidR="008D5E38" w:rsidRDefault="00387AD0"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066F5759" w14:textId="6A8F497D" w:rsidR="00525704" w:rsidRDefault="002E32B1" w:rsidP="008D5E38">
            <w:pPr>
              <w:ind w:right="-720"/>
              <w:jc w:val="both"/>
              <w:rPr>
                <w:rFonts w:ascii="Sylfaen" w:hAnsi="Sylfaen"/>
                <w:lang w:val="ka-GE"/>
              </w:rPr>
            </w:pPr>
            <w:permStart w:id="80484820" w:edGrp="everyone"/>
            <w:r>
              <w:rPr>
                <w:rFonts w:ascii="Sylfaen" w:hAnsi="Sylfaen"/>
                <w:lang w:val="ka-GE"/>
              </w:rPr>
              <w:t>ამ ეტაპზე არ გვაქვს</w:t>
            </w:r>
            <w:permEnd w:id="80484820"/>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7AE84C9" w:rsidR="00525704" w:rsidRDefault="00387AD0" w:rsidP="00442530">
            <w:pPr>
              <w:ind w:right="-108"/>
              <w:jc w:val="both"/>
              <w:rPr>
                <w:rFonts w:ascii="Sylfaen" w:hAnsi="Sylfaen"/>
                <w:lang w:val="ka-GE"/>
              </w:rPr>
            </w:pPr>
            <w:permStart w:id="1038434069" w:edGrp="everyone"/>
            <w:r>
              <w:rPr>
                <w:rFonts w:ascii="Sylfaen" w:hAnsi="Sylfaen"/>
                <w:lang w:val="ka-GE"/>
              </w:rPr>
              <w:t>ამ ეპტაპე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CEF2C32" w:rsidR="00525704" w:rsidRDefault="00387AD0"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44EDCB08" w14:textId="229AE5B4" w:rsidR="00384803" w:rsidRPr="00B93430" w:rsidRDefault="002E32B1" w:rsidP="00384803">
            <w:pPr>
              <w:ind w:right="-720"/>
              <w:jc w:val="both"/>
              <w:rPr>
                <w:rFonts w:ascii="Sylfaen" w:hAnsi="Sylfaen"/>
                <w:lang w:val="ka-GE"/>
              </w:rPr>
            </w:pPr>
            <w:permStart w:id="284229995" w:edGrp="everyone"/>
            <w:r>
              <w:rPr>
                <w:rFonts w:ascii="Sylfaen" w:hAnsi="Sylfaen"/>
                <w:lang w:val="ka-GE"/>
              </w:rPr>
              <w:t>ამ ეტაპზე არ გვაქვს.</w:t>
            </w:r>
            <w:permEnd w:id="284229995"/>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282A4F5" w:rsidR="00A91957" w:rsidRPr="00B93430" w:rsidRDefault="00CE310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0961F69" w:rsidR="00A91957" w:rsidRPr="00B93430" w:rsidRDefault="00CB73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CA5420A" w:rsidR="00DB15E7" w:rsidRDefault="00CB73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FA6E7E0" w:rsidR="00DB15E7" w:rsidRDefault="00CB73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CC8D284" w:rsidR="00A91957" w:rsidRPr="00B93430" w:rsidRDefault="00CB738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AE9C921" w:rsidR="001C7E3E" w:rsidRPr="007D34F4" w:rsidRDefault="00E839D6"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2015-2019 წლის სტატისტიკური მონაცემები.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395E2" w14:textId="6C64C8DC" w:rsidR="00960B6D" w:rsidRDefault="00814DA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ხეცურიანი</w:t>
            </w:r>
            <w:r w:rsidR="007D673B">
              <w:rPr>
                <w:rFonts w:ascii="Sylfaen" w:hAnsi="Sylfaen" w:cs="Sylfaen"/>
                <w:color w:val="000000"/>
                <w:lang w:val="ka-GE"/>
              </w:rPr>
              <w:t>;</w:t>
            </w:r>
          </w:p>
          <w:p w14:paraId="51D4B716" w14:textId="02720CE1" w:rsidR="00960B6D" w:rsidRPr="007D34F4" w:rsidRDefault="007D673B"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თომაძე.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C47067A" w:rsidR="00960B6D" w:rsidRPr="007D34F4" w:rsidRDefault="00814DA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w:t>
            </w:r>
            <w:r w:rsidR="0047758F">
              <w:rPr>
                <w:rFonts w:ascii="Sylfaen" w:hAnsi="Sylfaen" w:cs="Sylfaen"/>
                <w:color w:val="000000"/>
                <w:lang w:val="ka-GE"/>
              </w:rPr>
              <w:t>8</w:t>
            </w:r>
            <w:r>
              <w:rPr>
                <w:rFonts w:ascii="Sylfaen" w:hAnsi="Sylfaen" w:cs="Sylfaen"/>
                <w:color w:val="000000"/>
                <w:lang w:val="ka-GE"/>
              </w:rPr>
              <w:t>/1</w:t>
            </w:r>
            <w:r w:rsidR="00B43981">
              <w:rPr>
                <w:rFonts w:ascii="Sylfaen" w:hAnsi="Sylfaen" w:cs="Sylfaen"/>
                <w:color w:val="000000"/>
                <w:lang w:val="ka-GE"/>
              </w:rPr>
              <w:t>2</w:t>
            </w:r>
            <w:r>
              <w:rPr>
                <w:rFonts w:ascii="Sylfaen" w:hAnsi="Sylfaen" w:cs="Sylfaen"/>
                <w:color w:val="000000"/>
                <w:lang w:val="ka-GE"/>
              </w:rPr>
              <w:t>/2020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10573AA2"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86A04" w14:textId="77777777" w:rsidR="00F55369" w:rsidRDefault="00F55369" w:rsidP="008E78F7">
      <w:pPr>
        <w:spacing w:after="0" w:line="240" w:lineRule="auto"/>
      </w:pPr>
      <w:r>
        <w:separator/>
      </w:r>
    </w:p>
  </w:endnote>
  <w:endnote w:type="continuationSeparator" w:id="0">
    <w:p w14:paraId="0716DF2F" w14:textId="77777777" w:rsidR="00F55369" w:rsidRDefault="00F55369"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4626F">
          <w:rPr>
            <w:rFonts w:ascii="Sylfaen" w:hAnsi="Sylfaen"/>
            <w:noProof/>
            <w:sz w:val="24"/>
            <w:szCs w:val="24"/>
          </w:rPr>
          <w:t>14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F3D2B" w14:textId="77777777" w:rsidR="00F55369" w:rsidRDefault="00F55369" w:rsidP="008E78F7">
      <w:pPr>
        <w:spacing w:after="0" w:line="240" w:lineRule="auto"/>
      </w:pPr>
      <w:r>
        <w:separator/>
      </w:r>
    </w:p>
  </w:footnote>
  <w:footnote w:type="continuationSeparator" w:id="0">
    <w:p w14:paraId="69EC281A" w14:textId="77777777" w:rsidR="00F55369" w:rsidRDefault="00F55369"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F4814"/>
    <w:multiLevelType w:val="multilevel"/>
    <w:tmpl w:val="14A09012"/>
    <w:lvl w:ilvl="0">
      <w:start w:val="1"/>
      <w:numFmt w:val="decimal"/>
      <w:lvlText w:val="%1."/>
      <w:lvlJc w:val="left"/>
      <w:pPr>
        <w:ind w:left="5850" w:hanging="360"/>
      </w:pPr>
      <w:rPr>
        <w:rFonts w:ascii="Sylfaen" w:hAnsi="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10"/>
  </w:num>
  <w:num w:numId="5">
    <w:abstractNumId w:val="1"/>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6"/>
  </w:num>
  <w:num w:numId="14">
    <w:abstractNumId w:val="3"/>
  </w:num>
  <w:num w:numId="15">
    <w:abstractNumId w:val="2"/>
  </w:num>
  <w:num w:numId="16">
    <w:abstractNumId w:val="29"/>
  </w:num>
  <w:num w:numId="17">
    <w:abstractNumId w:val="17"/>
  </w:num>
  <w:num w:numId="18">
    <w:abstractNumId w:val="11"/>
  </w:num>
  <w:num w:numId="19">
    <w:abstractNumId w:val="16"/>
  </w:num>
  <w:num w:numId="20">
    <w:abstractNumId w:val="9"/>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6"/>
  </w:num>
  <w:num w:numId="30">
    <w:abstractNumId w:val="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038"/>
    <w:rsid w:val="00010933"/>
    <w:rsid w:val="000451F3"/>
    <w:rsid w:val="00046DDA"/>
    <w:rsid w:val="00047385"/>
    <w:rsid w:val="00054F9D"/>
    <w:rsid w:val="000572A7"/>
    <w:rsid w:val="00060448"/>
    <w:rsid w:val="00083DE4"/>
    <w:rsid w:val="000A5BF2"/>
    <w:rsid w:val="000D40EC"/>
    <w:rsid w:val="000D5B77"/>
    <w:rsid w:val="000E2D2B"/>
    <w:rsid w:val="00101A9F"/>
    <w:rsid w:val="00102DA5"/>
    <w:rsid w:val="00107E2E"/>
    <w:rsid w:val="00120F08"/>
    <w:rsid w:val="00133182"/>
    <w:rsid w:val="00133ECC"/>
    <w:rsid w:val="00144A3B"/>
    <w:rsid w:val="00144FCF"/>
    <w:rsid w:val="00147047"/>
    <w:rsid w:val="001517D2"/>
    <w:rsid w:val="00154459"/>
    <w:rsid w:val="001610CA"/>
    <w:rsid w:val="001663D7"/>
    <w:rsid w:val="0019513D"/>
    <w:rsid w:val="001B3DAB"/>
    <w:rsid w:val="001B5D21"/>
    <w:rsid w:val="001C1D11"/>
    <w:rsid w:val="001C7E3E"/>
    <w:rsid w:val="001E5828"/>
    <w:rsid w:val="001F498D"/>
    <w:rsid w:val="001F609E"/>
    <w:rsid w:val="00217AA4"/>
    <w:rsid w:val="00221460"/>
    <w:rsid w:val="00230F8F"/>
    <w:rsid w:val="00236329"/>
    <w:rsid w:val="0024252C"/>
    <w:rsid w:val="00255E10"/>
    <w:rsid w:val="0026217F"/>
    <w:rsid w:val="0027715D"/>
    <w:rsid w:val="00283339"/>
    <w:rsid w:val="00287BCC"/>
    <w:rsid w:val="002A0BF4"/>
    <w:rsid w:val="002B58D8"/>
    <w:rsid w:val="002B753C"/>
    <w:rsid w:val="002C536D"/>
    <w:rsid w:val="002D2CCE"/>
    <w:rsid w:val="002E18FF"/>
    <w:rsid w:val="002E32B1"/>
    <w:rsid w:val="002E7CB3"/>
    <w:rsid w:val="002F127B"/>
    <w:rsid w:val="002F2D22"/>
    <w:rsid w:val="0030706D"/>
    <w:rsid w:val="00314677"/>
    <w:rsid w:val="00316930"/>
    <w:rsid w:val="00333EBE"/>
    <w:rsid w:val="00336A11"/>
    <w:rsid w:val="0034265A"/>
    <w:rsid w:val="00343BC4"/>
    <w:rsid w:val="00357883"/>
    <w:rsid w:val="00362C7A"/>
    <w:rsid w:val="0036406D"/>
    <w:rsid w:val="0037637C"/>
    <w:rsid w:val="00384803"/>
    <w:rsid w:val="00387AD0"/>
    <w:rsid w:val="00397D05"/>
    <w:rsid w:val="003D6E41"/>
    <w:rsid w:val="003D7B85"/>
    <w:rsid w:val="003E44A8"/>
    <w:rsid w:val="003E53A4"/>
    <w:rsid w:val="00412528"/>
    <w:rsid w:val="00433931"/>
    <w:rsid w:val="00436E66"/>
    <w:rsid w:val="00442530"/>
    <w:rsid w:val="00473B3E"/>
    <w:rsid w:val="00474A54"/>
    <w:rsid w:val="0047758F"/>
    <w:rsid w:val="00485A6C"/>
    <w:rsid w:val="00492D82"/>
    <w:rsid w:val="00496B05"/>
    <w:rsid w:val="004A0622"/>
    <w:rsid w:val="004B599A"/>
    <w:rsid w:val="004C0CAB"/>
    <w:rsid w:val="004C1539"/>
    <w:rsid w:val="004C236A"/>
    <w:rsid w:val="004C26C9"/>
    <w:rsid w:val="004D5D19"/>
    <w:rsid w:val="004E2099"/>
    <w:rsid w:val="004F21BA"/>
    <w:rsid w:val="005046C3"/>
    <w:rsid w:val="00511FEA"/>
    <w:rsid w:val="00513152"/>
    <w:rsid w:val="0051700A"/>
    <w:rsid w:val="005175C6"/>
    <w:rsid w:val="00522B16"/>
    <w:rsid w:val="00525704"/>
    <w:rsid w:val="00550B75"/>
    <w:rsid w:val="005670A2"/>
    <w:rsid w:val="00596929"/>
    <w:rsid w:val="005D11C7"/>
    <w:rsid w:val="005D5850"/>
    <w:rsid w:val="005E1661"/>
    <w:rsid w:val="005E6511"/>
    <w:rsid w:val="005F0A73"/>
    <w:rsid w:val="005F2B38"/>
    <w:rsid w:val="005F7FBF"/>
    <w:rsid w:val="00614B36"/>
    <w:rsid w:val="00627CF2"/>
    <w:rsid w:val="00635558"/>
    <w:rsid w:val="00656690"/>
    <w:rsid w:val="00656CDF"/>
    <w:rsid w:val="00665956"/>
    <w:rsid w:val="0066624A"/>
    <w:rsid w:val="006751AF"/>
    <w:rsid w:val="00676336"/>
    <w:rsid w:val="00682E79"/>
    <w:rsid w:val="0068635A"/>
    <w:rsid w:val="00694E0C"/>
    <w:rsid w:val="006B1C23"/>
    <w:rsid w:val="006B279E"/>
    <w:rsid w:val="006B70C0"/>
    <w:rsid w:val="006C1A5A"/>
    <w:rsid w:val="006C2E72"/>
    <w:rsid w:val="006F0208"/>
    <w:rsid w:val="006F6871"/>
    <w:rsid w:val="0071192C"/>
    <w:rsid w:val="00772F59"/>
    <w:rsid w:val="007806D5"/>
    <w:rsid w:val="00787111"/>
    <w:rsid w:val="00787902"/>
    <w:rsid w:val="007A6FA9"/>
    <w:rsid w:val="007A7E55"/>
    <w:rsid w:val="007C4972"/>
    <w:rsid w:val="007D34F4"/>
    <w:rsid w:val="007D673B"/>
    <w:rsid w:val="007E09BA"/>
    <w:rsid w:val="007E6343"/>
    <w:rsid w:val="007F180A"/>
    <w:rsid w:val="007F2ABA"/>
    <w:rsid w:val="007F449B"/>
    <w:rsid w:val="00804F96"/>
    <w:rsid w:val="00814DAB"/>
    <w:rsid w:val="0082782D"/>
    <w:rsid w:val="00871DC9"/>
    <w:rsid w:val="008801A4"/>
    <w:rsid w:val="008A68C1"/>
    <w:rsid w:val="008B06A2"/>
    <w:rsid w:val="008C5683"/>
    <w:rsid w:val="008D5E38"/>
    <w:rsid w:val="008E10D0"/>
    <w:rsid w:val="008E78F7"/>
    <w:rsid w:val="008F3E0E"/>
    <w:rsid w:val="00905DDF"/>
    <w:rsid w:val="009317FC"/>
    <w:rsid w:val="00937649"/>
    <w:rsid w:val="00940604"/>
    <w:rsid w:val="0094320F"/>
    <w:rsid w:val="00951EFD"/>
    <w:rsid w:val="009560E3"/>
    <w:rsid w:val="00960B6D"/>
    <w:rsid w:val="00962BBF"/>
    <w:rsid w:val="009662D7"/>
    <w:rsid w:val="00970A69"/>
    <w:rsid w:val="00981940"/>
    <w:rsid w:val="009827F2"/>
    <w:rsid w:val="009B6EA0"/>
    <w:rsid w:val="009E07F5"/>
    <w:rsid w:val="009E188F"/>
    <w:rsid w:val="009E7FE7"/>
    <w:rsid w:val="00A17E5A"/>
    <w:rsid w:val="00A20A20"/>
    <w:rsid w:val="00A2210B"/>
    <w:rsid w:val="00A52DEE"/>
    <w:rsid w:val="00A5617B"/>
    <w:rsid w:val="00A70101"/>
    <w:rsid w:val="00A83662"/>
    <w:rsid w:val="00A8482A"/>
    <w:rsid w:val="00A91957"/>
    <w:rsid w:val="00A96C3F"/>
    <w:rsid w:val="00AA01A8"/>
    <w:rsid w:val="00AB7FB5"/>
    <w:rsid w:val="00AD0CBF"/>
    <w:rsid w:val="00AD416E"/>
    <w:rsid w:val="00AD680D"/>
    <w:rsid w:val="00AE1369"/>
    <w:rsid w:val="00AF4D87"/>
    <w:rsid w:val="00AF7A92"/>
    <w:rsid w:val="00B0033D"/>
    <w:rsid w:val="00B079C5"/>
    <w:rsid w:val="00B153B8"/>
    <w:rsid w:val="00B205FA"/>
    <w:rsid w:val="00B43981"/>
    <w:rsid w:val="00B43CB7"/>
    <w:rsid w:val="00B445C5"/>
    <w:rsid w:val="00B573AC"/>
    <w:rsid w:val="00B57A83"/>
    <w:rsid w:val="00B613DF"/>
    <w:rsid w:val="00B64F28"/>
    <w:rsid w:val="00B6670E"/>
    <w:rsid w:val="00B90DFD"/>
    <w:rsid w:val="00B93430"/>
    <w:rsid w:val="00B9358B"/>
    <w:rsid w:val="00B93B52"/>
    <w:rsid w:val="00B96ECB"/>
    <w:rsid w:val="00BA58DE"/>
    <w:rsid w:val="00BB2C73"/>
    <w:rsid w:val="00BB53A3"/>
    <w:rsid w:val="00BC267F"/>
    <w:rsid w:val="00C03EFC"/>
    <w:rsid w:val="00C176F0"/>
    <w:rsid w:val="00C26F98"/>
    <w:rsid w:val="00C304C0"/>
    <w:rsid w:val="00C50D99"/>
    <w:rsid w:val="00C523DC"/>
    <w:rsid w:val="00C532AA"/>
    <w:rsid w:val="00C53362"/>
    <w:rsid w:val="00C62C30"/>
    <w:rsid w:val="00C809BC"/>
    <w:rsid w:val="00C93E50"/>
    <w:rsid w:val="00CA404F"/>
    <w:rsid w:val="00CA64BF"/>
    <w:rsid w:val="00CB7382"/>
    <w:rsid w:val="00CE3107"/>
    <w:rsid w:val="00CF74DE"/>
    <w:rsid w:val="00D02B5F"/>
    <w:rsid w:val="00D10870"/>
    <w:rsid w:val="00D23F49"/>
    <w:rsid w:val="00D24030"/>
    <w:rsid w:val="00D322AD"/>
    <w:rsid w:val="00D36E35"/>
    <w:rsid w:val="00D3702E"/>
    <w:rsid w:val="00D4626F"/>
    <w:rsid w:val="00D46E4D"/>
    <w:rsid w:val="00D527CD"/>
    <w:rsid w:val="00D539AD"/>
    <w:rsid w:val="00D54679"/>
    <w:rsid w:val="00D60125"/>
    <w:rsid w:val="00D650B6"/>
    <w:rsid w:val="00D669A4"/>
    <w:rsid w:val="00D9208B"/>
    <w:rsid w:val="00D95299"/>
    <w:rsid w:val="00DA0EF4"/>
    <w:rsid w:val="00DA5867"/>
    <w:rsid w:val="00DA68B3"/>
    <w:rsid w:val="00DB0947"/>
    <w:rsid w:val="00DB15E7"/>
    <w:rsid w:val="00DC36AD"/>
    <w:rsid w:val="00DE25B0"/>
    <w:rsid w:val="00DF2162"/>
    <w:rsid w:val="00E02D7B"/>
    <w:rsid w:val="00E31D88"/>
    <w:rsid w:val="00E371FD"/>
    <w:rsid w:val="00E51596"/>
    <w:rsid w:val="00E63E5F"/>
    <w:rsid w:val="00E67B2E"/>
    <w:rsid w:val="00E839D6"/>
    <w:rsid w:val="00E96306"/>
    <w:rsid w:val="00E964DF"/>
    <w:rsid w:val="00EC134E"/>
    <w:rsid w:val="00EC29CE"/>
    <w:rsid w:val="00ED4CB1"/>
    <w:rsid w:val="00EE0279"/>
    <w:rsid w:val="00EE094F"/>
    <w:rsid w:val="00F01540"/>
    <w:rsid w:val="00F02FF1"/>
    <w:rsid w:val="00F10049"/>
    <w:rsid w:val="00F55369"/>
    <w:rsid w:val="00F6114C"/>
    <w:rsid w:val="00F715DD"/>
    <w:rsid w:val="00F84292"/>
    <w:rsid w:val="00F87B48"/>
    <w:rsid w:val="00F9796D"/>
    <w:rsid w:val="00FA12B5"/>
    <w:rsid w:val="00FD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EE0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656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85759">
      <w:bodyDiv w:val="1"/>
      <w:marLeft w:val="0"/>
      <w:marRight w:val="0"/>
      <w:marTop w:val="0"/>
      <w:marBottom w:val="0"/>
      <w:divBdr>
        <w:top w:val="none" w:sz="0" w:space="0" w:color="auto"/>
        <w:left w:val="none" w:sz="0" w:space="0" w:color="auto"/>
        <w:bottom w:val="none" w:sz="0" w:space="0" w:color="auto"/>
        <w:right w:val="none" w:sz="0" w:space="0" w:color="auto"/>
      </w:divBdr>
    </w:div>
    <w:div w:id="1422288386">
      <w:bodyDiv w:val="1"/>
      <w:marLeft w:val="0"/>
      <w:marRight w:val="0"/>
      <w:marTop w:val="0"/>
      <w:marBottom w:val="0"/>
      <w:divBdr>
        <w:top w:val="none" w:sz="0" w:space="0" w:color="auto"/>
        <w:left w:val="none" w:sz="0" w:space="0" w:color="auto"/>
        <w:bottom w:val="none" w:sz="0" w:space="0" w:color="auto"/>
        <w:right w:val="none" w:sz="0" w:space="0" w:color="auto"/>
      </w:divBdr>
    </w:div>
    <w:div w:id="1435322034">
      <w:bodyDiv w:val="1"/>
      <w:marLeft w:val="0"/>
      <w:marRight w:val="0"/>
      <w:marTop w:val="0"/>
      <w:marBottom w:val="0"/>
      <w:divBdr>
        <w:top w:val="none" w:sz="0" w:space="0" w:color="auto"/>
        <w:left w:val="none" w:sz="0" w:space="0" w:color="auto"/>
        <w:bottom w:val="none" w:sz="0" w:space="0" w:color="auto"/>
        <w:right w:val="none" w:sz="0" w:space="0" w:color="auto"/>
      </w:divBdr>
    </w:div>
    <w:div w:id="1536575297">
      <w:bodyDiv w:val="1"/>
      <w:marLeft w:val="0"/>
      <w:marRight w:val="0"/>
      <w:marTop w:val="0"/>
      <w:marBottom w:val="0"/>
      <w:divBdr>
        <w:top w:val="none" w:sz="0" w:space="0" w:color="auto"/>
        <w:left w:val="none" w:sz="0" w:space="0" w:color="auto"/>
        <w:bottom w:val="none" w:sz="0" w:space="0" w:color="auto"/>
        <w:right w:val="none" w:sz="0" w:space="0" w:color="auto"/>
      </w:divBdr>
    </w:div>
    <w:div w:id="1590193972">
      <w:bodyDiv w:val="1"/>
      <w:marLeft w:val="0"/>
      <w:marRight w:val="0"/>
      <w:marTop w:val="0"/>
      <w:marBottom w:val="0"/>
      <w:divBdr>
        <w:top w:val="none" w:sz="0" w:space="0" w:color="auto"/>
        <w:left w:val="none" w:sz="0" w:space="0" w:color="auto"/>
        <w:bottom w:val="none" w:sz="0" w:space="0" w:color="auto"/>
        <w:right w:val="none" w:sz="0" w:space="0" w:color="auto"/>
      </w:divBdr>
    </w:div>
    <w:div w:id="1636981013">
      <w:bodyDiv w:val="1"/>
      <w:marLeft w:val="0"/>
      <w:marRight w:val="0"/>
      <w:marTop w:val="0"/>
      <w:marBottom w:val="0"/>
      <w:divBdr>
        <w:top w:val="none" w:sz="0" w:space="0" w:color="auto"/>
        <w:left w:val="none" w:sz="0" w:space="0" w:color="auto"/>
        <w:bottom w:val="none" w:sz="0" w:space="0" w:color="auto"/>
        <w:right w:val="none" w:sz="0" w:space="0" w:color="auto"/>
      </w:divBdr>
    </w:div>
    <w:div w:id="1898009617">
      <w:bodyDiv w:val="1"/>
      <w:marLeft w:val="0"/>
      <w:marRight w:val="0"/>
      <w:marTop w:val="0"/>
      <w:marBottom w:val="0"/>
      <w:divBdr>
        <w:top w:val="none" w:sz="0" w:space="0" w:color="auto"/>
        <w:left w:val="none" w:sz="0" w:space="0" w:color="auto"/>
        <w:bottom w:val="none" w:sz="0" w:space="0" w:color="auto"/>
        <w:right w:val="none" w:sz="0" w:space="0" w:color="auto"/>
      </w:divBdr>
    </w:div>
    <w:div w:id="1991787267">
      <w:bodyDiv w:val="1"/>
      <w:marLeft w:val="0"/>
      <w:marRight w:val="0"/>
      <w:marTop w:val="0"/>
      <w:marBottom w:val="0"/>
      <w:divBdr>
        <w:top w:val="none" w:sz="0" w:space="0" w:color="auto"/>
        <w:left w:val="none" w:sz="0" w:space="0" w:color="auto"/>
        <w:bottom w:val="none" w:sz="0" w:space="0" w:color="auto"/>
        <w:right w:val="none" w:sz="0" w:space="0" w:color="auto"/>
      </w:divBdr>
    </w:div>
    <w:div w:id="21443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remecourt.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E29C2"/>
    <w:rsid w:val="001516C3"/>
    <w:rsid w:val="0019501B"/>
    <w:rsid w:val="001E28A7"/>
    <w:rsid w:val="002B4F90"/>
    <w:rsid w:val="00377F28"/>
    <w:rsid w:val="003A3F86"/>
    <w:rsid w:val="00532AD6"/>
    <w:rsid w:val="005C0C2F"/>
    <w:rsid w:val="005E1428"/>
    <w:rsid w:val="00603F29"/>
    <w:rsid w:val="006A6147"/>
    <w:rsid w:val="00703D3B"/>
    <w:rsid w:val="00842DA7"/>
    <w:rsid w:val="00926464"/>
    <w:rsid w:val="009772D5"/>
    <w:rsid w:val="009C71F2"/>
    <w:rsid w:val="00A64D19"/>
    <w:rsid w:val="00B05448"/>
    <w:rsid w:val="00B15443"/>
    <w:rsid w:val="00B5612F"/>
    <w:rsid w:val="00B63794"/>
    <w:rsid w:val="00B667F8"/>
    <w:rsid w:val="00BF7CAF"/>
    <w:rsid w:val="00C1191D"/>
    <w:rsid w:val="00C37DE9"/>
    <w:rsid w:val="00D25D76"/>
    <w:rsid w:val="00D403BB"/>
    <w:rsid w:val="00D93B80"/>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82CF6-0546-481C-9BA2-9AC4AD2ED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14</Pages>
  <Words>3305</Words>
  <Characters>18842</Characters>
  <Application>Microsoft Office Word</Application>
  <DocSecurity>8</DocSecurity>
  <Lines>157</Lines>
  <Paragraphs>44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117</cp:revision>
  <cp:lastPrinted>2020-12-28T11:54:00Z</cp:lastPrinted>
  <dcterms:created xsi:type="dcterms:W3CDTF">2020-11-25T13:30:00Z</dcterms:created>
  <dcterms:modified xsi:type="dcterms:W3CDTF">2020-12-30T12:08:00Z</dcterms:modified>
</cp:coreProperties>
</file>