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5B7" w:rsidRDefault="00F305B7" w:rsidP="00F305B7"/>
    <w:p w:rsidR="00F305B7" w:rsidRPr="005E5516" w:rsidRDefault="00F305B7" w:rsidP="00F305B7">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257"/>
        <w:gridCol w:w="3575"/>
        <w:gridCol w:w="3968"/>
      </w:tblGrid>
      <w:tr w:rsidR="00F305B7" w:rsidRPr="000C0133" w:rsidTr="000C7251">
        <w:trPr>
          <w:trHeight w:val="2203"/>
        </w:trPr>
        <w:tc>
          <w:tcPr>
            <w:tcW w:w="3258" w:type="dxa"/>
            <w:shd w:val="clear" w:color="auto" w:fill="C0C0C0"/>
          </w:tcPr>
          <w:p w:rsidR="00F305B7" w:rsidRPr="000C0133" w:rsidRDefault="00F305B7" w:rsidP="000C7251">
            <w:pPr>
              <w:spacing w:after="0" w:line="240" w:lineRule="auto"/>
              <w:rPr>
                <w:b/>
                <w:bCs/>
                <w:color w:val="000000"/>
              </w:rPr>
            </w:pPr>
            <w:r>
              <w:rPr>
                <w:b/>
                <w:bCs/>
                <w:noProof/>
                <w:color w:val="000000"/>
                <w:lang w:val="ka-GE" w:eastAsia="ka-GE"/>
              </w:rPr>
              <w:drawing>
                <wp:anchor distT="0" distB="0" distL="114300" distR="114300" simplePos="0" relativeHeight="251659264" behindDoc="0" locked="0" layoutInCell="1" allowOverlap="1">
                  <wp:simplePos x="0" y="0"/>
                  <wp:positionH relativeFrom="column">
                    <wp:posOffset>-19050</wp:posOffset>
                  </wp:positionH>
                  <wp:positionV relativeFrom="paragraph">
                    <wp:posOffset>52070</wp:posOffset>
                  </wp:positionV>
                  <wp:extent cx="1905000" cy="1181100"/>
                  <wp:effectExtent l="0" t="0" r="0" b="0"/>
                  <wp:wrapTopAndBottom/>
                  <wp:docPr id="1" name="Picture 1"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90" w:type="dxa"/>
            <w:shd w:val="clear" w:color="auto" w:fill="C0C0C0"/>
          </w:tcPr>
          <w:p w:rsidR="00F305B7" w:rsidRPr="000C0133" w:rsidRDefault="00F305B7" w:rsidP="000C7251">
            <w:pPr>
              <w:spacing w:after="0" w:line="240" w:lineRule="auto"/>
              <w:rPr>
                <w:color w:val="000000"/>
              </w:rPr>
            </w:pPr>
          </w:p>
        </w:tc>
        <w:tc>
          <w:tcPr>
            <w:tcW w:w="4050" w:type="dxa"/>
            <w:shd w:val="clear" w:color="auto" w:fill="C0C0C0"/>
          </w:tcPr>
          <w:p w:rsidR="00F305B7" w:rsidRPr="000C0133" w:rsidRDefault="00F305B7" w:rsidP="000C7251">
            <w:pPr>
              <w:spacing w:after="0" w:line="240" w:lineRule="auto"/>
              <w:rPr>
                <w:rFonts w:ascii="Sylfaen" w:hAnsi="Sylfaen"/>
                <w:b/>
                <w:bCs/>
                <w:color w:val="000080"/>
                <w:sz w:val="20"/>
                <w:szCs w:val="20"/>
              </w:rPr>
            </w:pPr>
          </w:p>
          <w:p w:rsidR="00F305B7" w:rsidRPr="000C0133" w:rsidRDefault="00F305B7" w:rsidP="000C7251">
            <w:pPr>
              <w:spacing w:after="0" w:line="240" w:lineRule="auto"/>
              <w:rPr>
                <w:rFonts w:ascii="Sylfaen" w:hAnsi="Sylfaen"/>
                <w:b/>
                <w:bCs/>
                <w:color w:val="000080"/>
                <w:sz w:val="20"/>
                <w:szCs w:val="20"/>
              </w:rPr>
            </w:pPr>
          </w:p>
          <w:p w:rsidR="00F305B7" w:rsidRPr="000C0133" w:rsidRDefault="00F305B7" w:rsidP="000C7251">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 xml:space="preserve">რეგისტრაციის  N   </w:t>
            </w:r>
            <w:r w:rsidRPr="005E5516">
              <w:rPr>
                <w:rFonts w:ascii="Sylfaen" w:hAnsi="Sylfaen"/>
                <w:b/>
                <w:bCs/>
                <w:color w:val="000080"/>
                <w:sz w:val="20"/>
                <w:szCs w:val="20"/>
                <w:u w:val="single"/>
                <w:lang w:val="ka-GE"/>
              </w:rPr>
              <w:t>___</w:t>
            </w:r>
            <w:r w:rsidRPr="000C0133">
              <w:rPr>
                <w:rFonts w:ascii="Sylfaen" w:hAnsi="Sylfaen"/>
                <w:b/>
                <w:bCs/>
                <w:color w:val="000080"/>
                <w:sz w:val="20"/>
                <w:szCs w:val="20"/>
                <w:lang w:val="ka-GE"/>
              </w:rPr>
              <w:t>____</w:t>
            </w:r>
          </w:p>
          <w:p w:rsidR="00F305B7" w:rsidRPr="000C0133" w:rsidRDefault="00F305B7" w:rsidP="000C7251">
            <w:pPr>
              <w:spacing w:after="0" w:line="240" w:lineRule="auto"/>
              <w:rPr>
                <w:rFonts w:ascii="Sylfaen" w:hAnsi="Sylfaen"/>
                <w:b/>
                <w:bCs/>
                <w:color w:val="000080"/>
                <w:sz w:val="20"/>
                <w:szCs w:val="20"/>
              </w:rPr>
            </w:pPr>
          </w:p>
          <w:p w:rsidR="00F305B7" w:rsidRPr="000C0133" w:rsidRDefault="00F305B7" w:rsidP="000C7251">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rsidR="00F305B7" w:rsidRPr="000C0133" w:rsidRDefault="00F305B7" w:rsidP="000C7251">
            <w:pPr>
              <w:spacing w:after="0" w:line="240" w:lineRule="auto"/>
              <w:rPr>
                <w:rFonts w:ascii="Sylfaen" w:hAnsi="Sylfaen"/>
                <w:b/>
                <w:bCs/>
                <w:color w:val="000080"/>
                <w:sz w:val="20"/>
                <w:szCs w:val="20"/>
              </w:rPr>
            </w:pPr>
          </w:p>
        </w:tc>
      </w:tr>
      <w:tr w:rsidR="00F305B7" w:rsidRPr="000C0133" w:rsidTr="000C7251">
        <w:trPr>
          <w:trHeight w:val="890"/>
        </w:trPr>
        <w:tc>
          <w:tcPr>
            <w:tcW w:w="10998" w:type="dxa"/>
            <w:gridSpan w:val="3"/>
            <w:vAlign w:val="center"/>
          </w:tcPr>
          <w:p w:rsidR="00F305B7" w:rsidRPr="003A03DF" w:rsidRDefault="00F305B7" w:rsidP="000C7251">
            <w:pPr>
              <w:spacing w:after="0" w:line="240" w:lineRule="auto"/>
              <w:jc w:val="center"/>
              <w:rPr>
                <w:rFonts w:ascii="Sylfaen" w:hAnsi="Sylfaen" w:cs="Sylfaen"/>
                <w:b/>
                <w:bCs/>
                <w:color w:val="000000"/>
                <w:sz w:val="32"/>
                <w:szCs w:val="32"/>
                <w:lang w:val="ka-GE"/>
              </w:rPr>
            </w:pPr>
            <w:r>
              <w:rPr>
                <w:rFonts w:ascii="Sylfaen" w:hAnsi="Sylfaen"/>
                <w:sz w:val="32"/>
                <w:szCs w:val="32"/>
                <w:lang w:val="ka-GE"/>
              </w:rPr>
              <w:t>„სასამართლოს მეგობრის“ მოსაზრება</w:t>
            </w:r>
          </w:p>
        </w:tc>
      </w:tr>
      <w:tr w:rsidR="00F305B7" w:rsidRPr="000C0133" w:rsidTr="000C7251">
        <w:trPr>
          <w:trHeight w:val="1682"/>
        </w:trPr>
        <w:tc>
          <w:tcPr>
            <w:tcW w:w="10998" w:type="dxa"/>
            <w:gridSpan w:val="3"/>
            <w:tcBorders>
              <w:left w:val="nil"/>
              <w:right w:val="nil"/>
            </w:tcBorders>
            <w:shd w:val="clear" w:color="auto" w:fill="C0C0C0"/>
            <w:vAlign w:val="center"/>
          </w:tcPr>
          <w:p w:rsidR="00F305B7" w:rsidRPr="000C0133" w:rsidRDefault="00F305B7" w:rsidP="000C7251">
            <w:pPr>
              <w:spacing w:after="0" w:line="240" w:lineRule="auto"/>
              <w:jc w:val="center"/>
              <w:rPr>
                <w:b/>
                <w:bCs/>
                <w:color w:val="000000"/>
              </w:rPr>
            </w:pPr>
            <w:r w:rsidRPr="005E5516">
              <w:rPr>
                <w:rFonts w:ascii="Sylfaen" w:hAnsi="Sylfaen"/>
                <w:sz w:val="20"/>
                <w:szCs w:val="20"/>
                <w:lang w:val="ka-GE"/>
              </w:rPr>
              <w:t>„სასამ</w:t>
            </w:r>
            <w:r w:rsidRPr="00D35819">
              <w:rPr>
                <w:rFonts w:ascii="Sylfaen" w:hAnsi="Sylfaen"/>
                <w:sz w:val="20"/>
                <w:szCs w:val="20"/>
                <w:lang w:val="ka-GE"/>
              </w:rPr>
              <w:t>ართლოს მეგობრის“ მოსაზრების</w:t>
            </w:r>
            <w:r>
              <w:rPr>
                <w:rFonts w:ascii="Sylfaen" w:hAnsi="Sylfaen"/>
                <w:sz w:val="32"/>
                <w:szCs w:val="32"/>
                <w:lang w:val="ka-GE"/>
              </w:rPr>
              <w:t xml:space="preserve"> </w:t>
            </w:r>
            <w:proofErr w:type="spellStart"/>
            <w:r w:rsidRPr="000C0133">
              <w:rPr>
                <w:rFonts w:ascii="Sylfaen" w:hAnsi="Sylfaen" w:cs="Sylfaen"/>
                <w:bCs/>
                <w:color w:val="000000"/>
                <w:sz w:val="20"/>
              </w:rPr>
              <w:t>ფორმასთან</w:t>
            </w:r>
            <w:proofErr w:type="spellEnd"/>
            <w:r w:rsidRPr="000C0133">
              <w:rPr>
                <w:bCs/>
                <w:color w:val="000000"/>
                <w:sz w:val="20"/>
              </w:rPr>
              <w:t xml:space="preserve"> </w:t>
            </w:r>
            <w:proofErr w:type="spellStart"/>
            <w:r w:rsidRPr="000C0133">
              <w:rPr>
                <w:rFonts w:ascii="Sylfaen" w:hAnsi="Sylfaen" w:cs="Sylfaen"/>
                <w:bCs/>
                <w:color w:val="000000"/>
                <w:sz w:val="20"/>
              </w:rPr>
              <w:t>დაკავშირებით</w:t>
            </w:r>
            <w:proofErr w:type="spellEnd"/>
            <w:r>
              <w:rPr>
                <w:rFonts w:ascii="Sylfaen" w:hAnsi="Sylfaen" w:cs="Sylfaen"/>
                <w:bCs/>
                <w:color w:val="000000"/>
                <w:sz w:val="20"/>
              </w:rPr>
              <w:t>,</w:t>
            </w:r>
            <w:r w:rsidRPr="000C0133">
              <w:rPr>
                <w:bCs/>
                <w:color w:val="000000"/>
                <w:sz w:val="20"/>
              </w:rPr>
              <w:t xml:space="preserve"> </w:t>
            </w:r>
            <w:proofErr w:type="spellStart"/>
            <w:r w:rsidRPr="000C0133">
              <w:rPr>
                <w:rFonts w:ascii="Sylfaen" w:hAnsi="Sylfaen" w:cs="Sylfaen"/>
                <w:bCs/>
                <w:color w:val="000000"/>
                <w:sz w:val="20"/>
              </w:rPr>
              <w:t>კითხვის</w:t>
            </w:r>
            <w:proofErr w:type="spellEnd"/>
            <w:r w:rsidRPr="000C0133">
              <w:rPr>
                <w:bCs/>
                <w:color w:val="000000"/>
                <w:sz w:val="20"/>
              </w:rPr>
              <w:t xml:space="preserve">, </w:t>
            </w:r>
            <w:proofErr w:type="spellStart"/>
            <w:r w:rsidRPr="000C0133">
              <w:rPr>
                <w:rFonts w:ascii="Sylfaen" w:hAnsi="Sylfaen" w:cs="Sylfaen"/>
                <w:bCs/>
                <w:color w:val="000000"/>
                <w:sz w:val="20"/>
              </w:rPr>
              <w:t>შენიშვნის</w:t>
            </w:r>
            <w:proofErr w:type="spellEnd"/>
            <w:r w:rsidRPr="000C0133">
              <w:rPr>
                <w:bCs/>
                <w:color w:val="000000"/>
                <w:sz w:val="20"/>
              </w:rPr>
              <w:t xml:space="preserve"> </w:t>
            </w:r>
            <w:proofErr w:type="spellStart"/>
            <w:r w:rsidRPr="000C0133">
              <w:rPr>
                <w:rFonts w:ascii="Sylfaen" w:hAnsi="Sylfaen" w:cs="Sylfaen"/>
                <w:bCs/>
                <w:color w:val="000000"/>
                <w:sz w:val="20"/>
              </w:rPr>
              <w:t>ან</w:t>
            </w:r>
            <w:proofErr w:type="spellEnd"/>
            <w:r w:rsidRPr="000C0133">
              <w:rPr>
                <w:bCs/>
                <w:color w:val="000000"/>
                <w:sz w:val="20"/>
              </w:rPr>
              <w:t xml:space="preserve"> </w:t>
            </w:r>
            <w:proofErr w:type="spellStart"/>
            <w:r w:rsidRPr="000C0133">
              <w:rPr>
                <w:rFonts w:ascii="Sylfaen" w:hAnsi="Sylfaen" w:cs="Sylfaen"/>
                <w:bCs/>
                <w:color w:val="000000"/>
                <w:sz w:val="20"/>
              </w:rPr>
              <w:t>რეკომენდაციის</w:t>
            </w:r>
            <w:proofErr w:type="spellEnd"/>
            <w:r w:rsidRPr="000C0133">
              <w:rPr>
                <w:bCs/>
                <w:color w:val="000000"/>
                <w:sz w:val="20"/>
              </w:rPr>
              <w:t xml:space="preserve"> </w:t>
            </w:r>
            <w:proofErr w:type="spellStart"/>
            <w:r w:rsidRPr="000C0133">
              <w:rPr>
                <w:rFonts w:ascii="Sylfaen" w:hAnsi="Sylfaen" w:cs="Sylfaen"/>
                <w:bCs/>
                <w:color w:val="000000"/>
                <w:sz w:val="20"/>
              </w:rPr>
              <w:t>არსებობის</w:t>
            </w:r>
            <w:proofErr w:type="spellEnd"/>
            <w:r w:rsidRPr="000C0133">
              <w:rPr>
                <w:bCs/>
                <w:color w:val="000000"/>
                <w:sz w:val="20"/>
              </w:rPr>
              <w:t xml:space="preserve"> </w:t>
            </w:r>
            <w:proofErr w:type="spellStart"/>
            <w:r w:rsidRPr="000C0133">
              <w:rPr>
                <w:rFonts w:ascii="Sylfaen" w:hAnsi="Sylfaen" w:cs="Sylfaen"/>
                <w:bCs/>
                <w:color w:val="000000"/>
                <w:sz w:val="20"/>
              </w:rPr>
              <w:t>შემთხვევაში</w:t>
            </w:r>
            <w:proofErr w:type="spellEnd"/>
            <w:r w:rsidRPr="000C0133">
              <w:rPr>
                <w:bCs/>
                <w:color w:val="000000"/>
                <w:sz w:val="20"/>
              </w:rPr>
              <w:t xml:space="preserve"> </w:t>
            </w:r>
            <w:proofErr w:type="spellStart"/>
            <w:r w:rsidRPr="000C0133">
              <w:rPr>
                <w:rFonts w:ascii="Sylfaen" w:hAnsi="Sylfaen" w:cs="Sylfaen"/>
                <w:bCs/>
                <w:color w:val="000000"/>
                <w:sz w:val="20"/>
              </w:rPr>
              <w:t>შეგიძლიათ</w:t>
            </w:r>
            <w:proofErr w:type="spellEnd"/>
            <w:r w:rsidRPr="000C0133">
              <w:rPr>
                <w:bCs/>
                <w:color w:val="000000"/>
                <w:sz w:val="20"/>
              </w:rPr>
              <w:t xml:space="preserve"> </w:t>
            </w:r>
            <w:proofErr w:type="spellStart"/>
            <w:r w:rsidRPr="000C0133">
              <w:rPr>
                <w:rFonts w:ascii="Sylfaen" w:hAnsi="Sylfaen" w:cs="Sylfaen"/>
                <w:bCs/>
                <w:color w:val="000000"/>
                <w:sz w:val="20"/>
              </w:rPr>
              <w:t>დაგვიკავშირდეთ</w:t>
            </w:r>
            <w:proofErr w:type="spellEnd"/>
            <w:r w:rsidRPr="000C0133">
              <w:rPr>
                <w:bCs/>
                <w:color w:val="000000"/>
                <w:sz w:val="20"/>
              </w:rPr>
              <w:t xml:space="preserve"> </w:t>
            </w:r>
            <w:proofErr w:type="spellStart"/>
            <w:r w:rsidRPr="000C0133">
              <w:rPr>
                <w:rFonts w:ascii="Sylfaen" w:hAnsi="Sylfaen" w:cs="Sylfaen"/>
                <w:bCs/>
                <w:color w:val="000000"/>
                <w:sz w:val="20"/>
              </w:rPr>
              <w:t>ნომერზე</w:t>
            </w:r>
            <w:proofErr w:type="spellEnd"/>
            <w:r w:rsidRPr="000C0133">
              <w:rPr>
                <w:bCs/>
                <w:color w:val="000000"/>
                <w:sz w:val="20"/>
              </w:rPr>
              <w:t xml:space="preserve"> +995 </w:t>
            </w:r>
            <w:r>
              <w:rPr>
                <w:bCs/>
                <w:color w:val="000000"/>
                <w:sz w:val="20"/>
              </w:rPr>
              <w:t>4</w:t>
            </w:r>
            <w:r w:rsidRPr="000C0133">
              <w:rPr>
                <w:bCs/>
                <w:color w:val="000000"/>
                <w:sz w:val="20"/>
              </w:rPr>
              <w:t>22-</w:t>
            </w:r>
            <w:r>
              <w:rPr>
                <w:bCs/>
                <w:color w:val="000000"/>
                <w:sz w:val="20"/>
              </w:rPr>
              <w:t>2</w:t>
            </w:r>
            <w:r w:rsidRPr="000C0133">
              <w:rPr>
                <w:bCs/>
                <w:color w:val="000000"/>
                <w:sz w:val="20"/>
              </w:rPr>
              <w:t xml:space="preserve">7-00-99 </w:t>
            </w:r>
            <w:proofErr w:type="spellStart"/>
            <w:r w:rsidRPr="000C0133">
              <w:rPr>
                <w:rFonts w:ascii="Sylfaen" w:hAnsi="Sylfaen" w:cs="Sylfaen"/>
                <w:bCs/>
                <w:color w:val="000000"/>
                <w:sz w:val="20"/>
              </w:rPr>
              <w:t>ან</w:t>
            </w:r>
            <w:proofErr w:type="spellEnd"/>
            <w:r w:rsidRPr="000C0133">
              <w:rPr>
                <w:bCs/>
                <w:color w:val="000000"/>
                <w:sz w:val="20"/>
              </w:rPr>
              <w:t xml:space="preserve"> </w:t>
            </w:r>
            <w:proofErr w:type="spellStart"/>
            <w:r w:rsidRPr="000C0133">
              <w:rPr>
                <w:rFonts w:ascii="Sylfaen" w:hAnsi="Sylfaen" w:cs="Sylfaen"/>
                <w:bCs/>
                <w:color w:val="000000"/>
                <w:sz w:val="20"/>
              </w:rPr>
              <w:t>მოგვწეროთ</w:t>
            </w:r>
            <w:proofErr w:type="spellEnd"/>
            <w:r w:rsidRPr="000C0133">
              <w:rPr>
                <w:bCs/>
                <w:color w:val="000000"/>
                <w:sz w:val="20"/>
              </w:rPr>
              <w:t xml:space="preserve"> </w:t>
            </w:r>
            <w:proofErr w:type="spellStart"/>
            <w:r w:rsidRPr="000C0133">
              <w:rPr>
                <w:rFonts w:ascii="Sylfaen" w:hAnsi="Sylfaen" w:cs="Sylfaen"/>
                <w:bCs/>
                <w:color w:val="000000"/>
                <w:sz w:val="20"/>
              </w:rPr>
              <w:t>ელექტრონული</w:t>
            </w:r>
            <w:proofErr w:type="spellEnd"/>
            <w:r w:rsidRPr="000C0133">
              <w:rPr>
                <w:bCs/>
                <w:color w:val="000000"/>
                <w:sz w:val="20"/>
              </w:rPr>
              <w:t xml:space="preserve"> </w:t>
            </w:r>
            <w:proofErr w:type="spellStart"/>
            <w:r w:rsidRPr="000C0133">
              <w:rPr>
                <w:rFonts w:ascii="Sylfaen" w:hAnsi="Sylfaen" w:cs="Sylfaen"/>
                <w:bCs/>
                <w:color w:val="000000"/>
                <w:sz w:val="20"/>
              </w:rPr>
              <w:t>ფოსტის</w:t>
            </w:r>
            <w:proofErr w:type="spellEnd"/>
            <w:r w:rsidRPr="000C0133">
              <w:rPr>
                <w:bCs/>
                <w:color w:val="000000"/>
                <w:sz w:val="20"/>
              </w:rPr>
              <w:t xml:space="preserve"> </w:t>
            </w:r>
            <w:proofErr w:type="spellStart"/>
            <w:r w:rsidRPr="000C0133">
              <w:rPr>
                <w:rFonts w:ascii="Sylfaen" w:hAnsi="Sylfaen" w:cs="Sylfaen"/>
                <w:bCs/>
                <w:color w:val="000000"/>
                <w:sz w:val="20"/>
              </w:rPr>
              <w:t>მეშვეობით</w:t>
            </w:r>
            <w:proofErr w:type="spellEnd"/>
            <w:r w:rsidRPr="000C0133">
              <w:rPr>
                <w:bCs/>
                <w:color w:val="000000"/>
                <w:sz w:val="20"/>
              </w:rPr>
              <w:t xml:space="preserve"> </w:t>
            </w:r>
            <w:proofErr w:type="spellStart"/>
            <w:r w:rsidRPr="000C0133">
              <w:rPr>
                <w:rFonts w:ascii="Sylfaen" w:hAnsi="Sylfaen" w:cs="Sylfaen"/>
                <w:bCs/>
                <w:color w:val="000000"/>
                <w:sz w:val="20"/>
              </w:rPr>
              <w:t>მისამართზე</w:t>
            </w:r>
            <w:proofErr w:type="spellEnd"/>
            <w:r w:rsidRPr="000C0133">
              <w:rPr>
                <w:bCs/>
                <w:color w:val="000000"/>
                <w:sz w:val="20"/>
              </w:rPr>
              <w:t xml:space="preserve">: </w:t>
            </w:r>
            <w:hyperlink r:id="rId8" w:history="1">
              <w:r w:rsidRPr="000C0133">
                <w:rPr>
                  <w:rStyle w:val="Hyperlink"/>
                  <w:bCs/>
                  <w:sz w:val="20"/>
                </w:rPr>
                <w:t>const@constcourt.ge</w:t>
              </w:r>
            </w:hyperlink>
            <w:r w:rsidRPr="000C0133">
              <w:rPr>
                <w:bCs/>
                <w:color w:val="000000"/>
                <w:sz w:val="20"/>
              </w:rPr>
              <w:t>;</w:t>
            </w:r>
            <w:r>
              <w:rPr>
                <w:bCs/>
                <w:color w:val="000000"/>
                <w:sz w:val="20"/>
              </w:rPr>
              <w:t xml:space="preserve"> </w:t>
            </w:r>
            <w:proofErr w:type="spellStart"/>
            <w:r w:rsidRPr="000C0133">
              <w:rPr>
                <w:rFonts w:ascii="Sylfaen" w:hAnsi="Sylfaen" w:cs="Sylfaen"/>
                <w:bCs/>
                <w:color w:val="000000"/>
                <w:sz w:val="20"/>
              </w:rPr>
              <w:t>ვებგვერდი</w:t>
            </w:r>
            <w:proofErr w:type="spellEnd"/>
            <w:r>
              <w:rPr>
                <w:rFonts w:ascii="Sylfaen" w:hAnsi="Sylfaen" w:cs="Sylfaen"/>
                <w:bCs/>
                <w:color w:val="000000"/>
                <w:sz w:val="20"/>
                <w:lang w:val="ka-GE"/>
              </w:rPr>
              <w:t>:</w:t>
            </w:r>
            <w:r w:rsidRPr="000C0133">
              <w:rPr>
                <w:bCs/>
                <w:color w:val="000000"/>
                <w:sz w:val="20"/>
              </w:rPr>
              <w:t xml:space="preserve"> </w:t>
            </w:r>
            <w:hyperlink r:id="rId9" w:history="1">
              <w:r w:rsidRPr="000C0133">
                <w:rPr>
                  <w:rStyle w:val="Hyperlink"/>
                  <w:bCs/>
                  <w:sz w:val="20"/>
                </w:rPr>
                <w:t>www.constcourt.ge</w:t>
              </w:r>
            </w:hyperlink>
          </w:p>
        </w:tc>
      </w:tr>
      <w:tr w:rsidR="00F305B7" w:rsidRPr="000C0133" w:rsidTr="000C7251">
        <w:trPr>
          <w:trHeight w:val="1340"/>
        </w:trPr>
        <w:tc>
          <w:tcPr>
            <w:tcW w:w="10998" w:type="dxa"/>
            <w:gridSpan w:val="3"/>
            <w:tcBorders>
              <w:bottom w:val="single" w:sz="4" w:space="0" w:color="auto"/>
            </w:tcBorders>
            <w:vAlign w:val="center"/>
          </w:tcPr>
          <w:p w:rsidR="00F305B7" w:rsidRPr="000C0133" w:rsidRDefault="00F305B7" w:rsidP="000C7251">
            <w:pPr>
              <w:spacing w:after="0" w:line="240" w:lineRule="auto"/>
              <w:rPr>
                <w:b/>
                <w:bCs/>
                <w:color w:val="000000"/>
              </w:rPr>
            </w:pPr>
            <w:proofErr w:type="spellStart"/>
            <w:proofErr w:type="gramStart"/>
            <w:r w:rsidRPr="000C0133">
              <w:rPr>
                <w:rFonts w:ascii="Sylfaen" w:hAnsi="Sylfaen" w:cs="Sylfaen"/>
                <w:bCs/>
                <w:color w:val="000000"/>
                <w:sz w:val="20"/>
              </w:rPr>
              <w:t>თუ</w:t>
            </w:r>
            <w:proofErr w:type="spellEnd"/>
            <w:proofErr w:type="gramEnd"/>
            <w:r w:rsidRPr="000C0133">
              <w:rPr>
                <w:bCs/>
                <w:color w:val="000000"/>
                <w:sz w:val="20"/>
              </w:rPr>
              <w:t xml:space="preserve"> </w:t>
            </w:r>
            <w:proofErr w:type="spellStart"/>
            <w:r w:rsidRPr="000C0133">
              <w:rPr>
                <w:rFonts w:ascii="Sylfaen" w:hAnsi="Sylfaen" w:cs="Sylfaen"/>
                <w:bCs/>
                <w:color w:val="000000"/>
                <w:sz w:val="20"/>
              </w:rPr>
              <w:t>რომელიმე</w:t>
            </w:r>
            <w:proofErr w:type="spellEnd"/>
            <w:r w:rsidRPr="000C0133">
              <w:rPr>
                <w:bCs/>
                <w:color w:val="000000"/>
                <w:sz w:val="20"/>
              </w:rPr>
              <w:t xml:space="preserve"> </w:t>
            </w:r>
            <w:proofErr w:type="spellStart"/>
            <w:r w:rsidRPr="000C0133">
              <w:rPr>
                <w:rFonts w:ascii="Sylfaen" w:hAnsi="Sylfaen" w:cs="Sylfaen"/>
                <w:bCs/>
                <w:color w:val="000000"/>
                <w:sz w:val="20"/>
              </w:rPr>
              <w:t>პუნქტის</w:t>
            </w:r>
            <w:proofErr w:type="spellEnd"/>
            <w:r w:rsidRPr="000C0133">
              <w:rPr>
                <w:bCs/>
                <w:color w:val="000000"/>
                <w:sz w:val="20"/>
              </w:rPr>
              <w:t xml:space="preserve"> </w:t>
            </w:r>
            <w:proofErr w:type="spellStart"/>
            <w:r w:rsidRPr="000C0133">
              <w:rPr>
                <w:rFonts w:ascii="Sylfaen" w:hAnsi="Sylfaen" w:cs="Sylfaen"/>
                <w:bCs/>
                <w:color w:val="000000"/>
                <w:sz w:val="20"/>
              </w:rPr>
              <w:t>შესავსებად</w:t>
            </w:r>
            <w:proofErr w:type="spellEnd"/>
            <w:r w:rsidRPr="000C0133">
              <w:rPr>
                <w:bCs/>
                <w:color w:val="000000"/>
                <w:sz w:val="20"/>
              </w:rPr>
              <w:t xml:space="preserve"> </w:t>
            </w:r>
            <w:proofErr w:type="spellStart"/>
            <w:r w:rsidRPr="000C0133">
              <w:rPr>
                <w:rFonts w:ascii="Sylfaen" w:hAnsi="Sylfaen" w:cs="Sylfaen"/>
                <w:bCs/>
                <w:color w:val="000000"/>
                <w:sz w:val="20"/>
              </w:rPr>
              <w:t>გამოყოფილი</w:t>
            </w:r>
            <w:proofErr w:type="spellEnd"/>
            <w:r w:rsidRPr="000C0133">
              <w:rPr>
                <w:bCs/>
                <w:color w:val="000000"/>
                <w:sz w:val="20"/>
              </w:rPr>
              <w:t xml:space="preserve"> </w:t>
            </w:r>
            <w:proofErr w:type="spellStart"/>
            <w:r w:rsidRPr="000C0133">
              <w:rPr>
                <w:rFonts w:ascii="Sylfaen" w:hAnsi="Sylfaen" w:cs="Sylfaen"/>
                <w:bCs/>
                <w:color w:val="000000"/>
                <w:sz w:val="20"/>
              </w:rPr>
              <w:t>ადგილი</w:t>
            </w:r>
            <w:proofErr w:type="spellEnd"/>
            <w:r w:rsidRPr="000C0133">
              <w:rPr>
                <w:bCs/>
                <w:color w:val="000000"/>
                <w:sz w:val="20"/>
              </w:rPr>
              <w:t xml:space="preserve"> </w:t>
            </w:r>
            <w:proofErr w:type="spellStart"/>
            <w:r w:rsidRPr="000C0133">
              <w:rPr>
                <w:rFonts w:ascii="Sylfaen" w:hAnsi="Sylfaen" w:cs="Sylfaen"/>
                <w:bCs/>
                <w:color w:val="000000"/>
                <w:sz w:val="20"/>
              </w:rPr>
              <w:t>არ</w:t>
            </w:r>
            <w:proofErr w:type="spellEnd"/>
            <w:r w:rsidRPr="000C0133">
              <w:rPr>
                <w:bCs/>
                <w:color w:val="000000"/>
                <w:sz w:val="20"/>
              </w:rPr>
              <w:t xml:space="preserve"> </w:t>
            </w:r>
            <w:proofErr w:type="spellStart"/>
            <w:r w:rsidRPr="000C0133">
              <w:rPr>
                <w:rFonts w:ascii="Sylfaen" w:hAnsi="Sylfaen" w:cs="Sylfaen"/>
                <w:bCs/>
                <w:color w:val="000000"/>
                <w:sz w:val="20"/>
              </w:rPr>
              <w:t>იქნება</w:t>
            </w:r>
            <w:proofErr w:type="spellEnd"/>
            <w:r w:rsidRPr="000C0133">
              <w:rPr>
                <w:bCs/>
                <w:color w:val="000000"/>
                <w:sz w:val="20"/>
              </w:rPr>
              <w:t xml:space="preserve"> </w:t>
            </w:r>
            <w:proofErr w:type="spellStart"/>
            <w:r w:rsidRPr="000C0133">
              <w:rPr>
                <w:rFonts w:ascii="Sylfaen" w:hAnsi="Sylfaen" w:cs="Sylfaen"/>
                <w:bCs/>
                <w:color w:val="000000"/>
                <w:sz w:val="20"/>
              </w:rPr>
              <w:t>საკმარისი</w:t>
            </w:r>
            <w:proofErr w:type="spellEnd"/>
            <w:r w:rsidRPr="000C0133">
              <w:rPr>
                <w:bCs/>
                <w:color w:val="000000"/>
                <w:sz w:val="20"/>
              </w:rPr>
              <w:t xml:space="preserve">, </w:t>
            </w:r>
            <w:proofErr w:type="spellStart"/>
            <w:r w:rsidRPr="000C0133">
              <w:rPr>
                <w:rFonts w:ascii="Sylfaen" w:hAnsi="Sylfaen" w:cs="Sylfaen"/>
                <w:bCs/>
                <w:color w:val="000000"/>
                <w:sz w:val="20"/>
              </w:rPr>
              <w:t>შეგიძლიათ</w:t>
            </w:r>
            <w:proofErr w:type="spellEnd"/>
            <w:r w:rsidRPr="000C0133">
              <w:rPr>
                <w:bCs/>
                <w:color w:val="000000"/>
                <w:sz w:val="20"/>
              </w:rPr>
              <w:t xml:space="preserve"> </w:t>
            </w:r>
            <w:proofErr w:type="spellStart"/>
            <w:r w:rsidRPr="000C0133">
              <w:rPr>
                <w:rFonts w:ascii="Sylfaen" w:hAnsi="Sylfaen" w:cs="Sylfaen"/>
                <w:bCs/>
                <w:color w:val="000000"/>
                <w:sz w:val="20"/>
              </w:rPr>
              <w:t>ფორმას</w:t>
            </w:r>
            <w:proofErr w:type="spellEnd"/>
            <w:r w:rsidRPr="000C0133">
              <w:rPr>
                <w:bCs/>
                <w:color w:val="000000"/>
                <w:sz w:val="20"/>
              </w:rPr>
              <w:t xml:space="preserve"> </w:t>
            </w:r>
            <w:proofErr w:type="spellStart"/>
            <w:r w:rsidRPr="000C0133">
              <w:rPr>
                <w:rFonts w:ascii="Sylfaen" w:hAnsi="Sylfaen" w:cs="Sylfaen"/>
                <w:bCs/>
                <w:color w:val="000000"/>
                <w:sz w:val="20"/>
              </w:rPr>
              <w:t>დამატებითი</w:t>
            </w:r>
            <w:proofErr w:type="spellEnd"/>
            <w:r w:rsidRPr="000C0133">
              <w:rPr>
                <w:bCs/>
                <w:color w:val="000000"/>
                <w:sz w:val="20"/>
              </w:rPr>
              <w:t xml:space="preserve"> </w:t>
            </w:r>
            <w:proofErr w:type="spellStart"/>
            <w:r w:rsidRPr="000C0133">
              <w:rPr>
                <w:rFonts w:ascii="Sylfaen" w:hAnsi="Sylfaen" w:cs="Sylfaen"/>
                <w:bCs/>
                <w:color w:val="000000"/>
                <w:sz w:val="20"/>
              </w:rPr>
              <w:t>გვერდი</w:t>
            </w:r>
            <w:proofErr w:type="spellEnd"/>
            <w:r w:rsidRPr="000C0133">
              <w:rPr>
                <w:bCs/>
                <w:color w:val="000000"/>
                <w:sz w:val="20"/>
              </w:rPr>
              <w:t xml:space="preserve"> </w:t>
            </w:r>
            <w:proofErr w:type="spellStart"/>
            <w:r w:rsidRPr="000C0133">
              <w:rPr>
                <w:rFonts w:ascii="Sylfaen" w:hAnsi="Sylfaen" w:cs="Sylfaen"/>
                <w:bCs/>
                <w:color w:val="000000"/>
                <w:sz w:val="20"/>
              </w:rPr>
              <w:t>დაურთოთ</w:t>
            </w:r>
            <w:proofErr w:type="spellEnd"/>
            <w:r w:rsidRPr="000C0133">
              <w:rPr>
                <w:bCs/>
                <w:color w:val="000000"/>
                <w:sz w:val="20"/>
              </w:rPr>
              <w:t xml:space="preserve">. </w:t>
            </w:r>
            <w:proofErr w:type="spellStart"/>
            <w:proofErr w:type="gramStart"/>
            <w:r w:rsidRPr="000C0133">
              <w:rPr>
                <w:rFonts w:ascii="Sylfaen" w:hAnsi="Sylfaen" w:cs="Sylfaen"/>
                <w:bCs/>
                <w:color w:val="000000"/>
                <w:sz w:val="20"/>
              </w:rPr>
              <w:t>ყოველ</w:t>
            </w:r>
            <w:proofErr w:type="spellEnd"/>
            <w:proofErr w:type="gramEnd"/>
            <w:r w:rsidRPr="000C0133">
              <w:rPr>
                <w:bCs/>
                <w:color w:val="000000"/>
                <w:sz w:val="20"/>
              </w:rPr>
              <w:t xml:space="preserve"> </w:t>
            </w:r>
            <w:proofErr w:type="spellStart"/>
            <w:r w:rsidRPr="000C0133">
              <w:rPr>
                <w:rFonts w:ascii="Sylfaen" w:hAnsi="Sylfaen" w:cs="Sylfaen"/>
                <w:bCs/>
                <w:color w:val="000000"/>
                <w:sz w:val="20"/>
              </w:rPr>
              <w:t>დამატებით</w:t>
            </w:r>
            <w:proofErr w:type="spellEnd"/>
            <w:r w:rsidRPr="000C0133">
              <w:rPr>
                <w:bCs/>
                <w:color w:val="000000"/>
                <w:sz w:val="20"/>
              </w:rPr>
              <w:t xml:space="preserve"> </w:t>
            </w:r>
            <w:proofErr w:type="spellStart"/>
            <w:r w:rsidRPr="000C0133">
              <w:rPr>
                <w:rFonts w:ascii="Sylfaen" w:hAnsi="Sylfaen" w:cs="Sylfaen"/>
                <w:bCs/>
                <w:color w:val="000000"/>
                <w:sz w:val="20"/>
              </w:rPr>
              <w:t>გვერდზე</w:t>
            </w:r>
            <w:proofErr w:type="spellEnd"/>
            <w:r w:rsidRPr="000C0133">
              <w:rPr>
                <w:bCs/>
                <w:color w:val="000000"/>
                <w:sz w:val="20"/>
              </w:rPr>
              <w:t xml:space="preserve"> </w:t>
            </w:r>
            <w:proofErr w:type="spellStart"/>
            <w:r w:rsidRPr="000C0133">
              <w:rPr>
                <w:rFonts w:ascii="Sylfaen" w:hAnsi="Sylfaen" w:cs="Sylfaen"/>
                <w:bCs/>
                <w:color w:val="000000"/>
                <w:sz w:val="20"/>
              </w:rPr>
              <w:t>გადაიტანეთ</w:t>
            </w:r>
            <w:proofErr w:type="spellEnd"/>
            <w:r w:rsidRPr="000C0133">
              <w:rPr>
                <w:bCs/>
                <w:color w:val="000000"/>
                <w:sz w:val="20"/>
              </w:rPr>
              <w:t xml:space="preserve"> </w:t>
            </w:r>
            <w:proofErr w:type="spellStart"/>
            <w:r w:rsidRPr="000C0133">
              <w:rPr>
                <w:rFonts w:ascii="Sylfaen" w:hAnsi="Sylfaen" w:cs="Sylfaen"/>
                <w:bCs/>
                <w:color w:val="000000"/>
                <w:sz w:val="20"/>
              </w:rPr>
              <w:t>იმ</w:t>
            </w:r>
            <w:proofErr w:type="spellEnd"/>
            <w:r w:rsidRPr="000C0133">
              <w:rPr>
                <w:bCs/>
                <w:color w:val="000000"/>
                <w:sz w:val="20"/>
              </w:rPr>
              <w:t xml:space="preserve"> </w:t>
            </w:r>
            <w:proofErr w:type="spellStart"/>
            <w:r w:rsidRPr="000C0133">
              <w:rPr>
                <w:rFonts w:ascii="Sylfaen" w:hAnsi="Sylfaen" w:cs="Sylfaen"/>
                <w:bCs/>
                <w:color w:val="000000"/>
                <w:sz w:val="20"/>
              </w:rPr>
              <w:t>პუნქტის</w:t>
            </w:r>
            <w:proofErr w:type="spellEnd"/>
            <w:r w:rsidRPr="000C0133">
              <w:rPr>
                <w:bCs/>
                <w:color w:val="000000"/>
                <w:sz w:val="20"/>
              </w:rPr>
              <w:t xml:space="preserve"> </w:t>
            </w:r>
            <w:proofErr w:type="spellStart"/>
            <w:r w:rsidRPr="000C0133">
              <w:rPr>
                <w:rFonts w:ascii="Sylfaen" w:hAnsi="Sylfaen" w:cs="Sylfaen"/>
                <w:bCs/>
                <w:color w:val="000000"/>
                <w:sz w:val="20"/>
              </w:rPr>
              <w:t>სათაური</w:t>
            </w:r>
            <w:proofErr w:type="spellEnd"/>
            <w:r w:rsidRPr="000C0133">
              <w:rPr>
                <w:bCs/>
                <w:color w:val="000000"/>
                <w:sz w:val="20"/>
              </w:rPr>
              <w:t xml:space="preserve">, </w:t>
            </w:r>
            <w:proofErr w:type="spellStart"/>
            <w:r w:rsidRPr="000C0133">
              <w:rPr>
                <w:rFonts w:ascii="Sylfaen" w:hAnsi="Sylfaen" w:cs="Sylfaen"/>
                <w:bCs/>
                <w:color w:val="000000"/>
                <w:sz w:val="20"/>
              </w:rPr>
              <w:t>რომელსაც</w:t>
            </w:r>
            <w:proofErr w:type="spellEnd"/>
            <w:r w:rsidRPr="000C0133">
              <w:rPr>
                <w:bCs/>
                <w:color w:val="000000"/>
                <w:sz w:val="20"/>
              </w:rPr>
              <w:t xml:space="preserve"> </w:t>
            </w:r>
            <w:proofErr w:type="spellStart"/>
            <w:r w:rsidRPr="000C0133">
              <w:rPr>
                <w:rFonts w:ascii="Sylfaen" w:hAnsi="Sylfaen" w:cs="Sylfaen"/>
                <w:bCs/>
                <w:color w:val="000000"/>
                <w:sz w:val="20"/>
              </w:rPr>
              <w:t>ავსებთ</w:t>
            </w:r>
            <w:proofErr w:type="spellEnd"/>
            <w:r w:rsidRPr="000C0133">
              <w:rPr>
                <w:bCs/>
                <w:color w:val="000000"/>
                <w:sz w:val="20"/>
              </w:rPr>
              <w:t xml:space="preserve">. </w:t>
            </w:r>
            <w:proofErr w:type="spellStart"/>
            <w:proofErr w:type="gramStart"/>
            <w:r w:rsidRPr="000C0133">
              <w:rPr>
                <w:rFonts w:ascii="Sylfaen" w:hAnsi="Sylfaen" w:cs="Sylfaen"/>
                <w:bCs/>
                <w:color w:val="000000"/>
                <w:sz w:val="20"/>
              </w:rPr>
              <w:t>წერის</w:t>
            </w:r>
            <w:proofErr w:type="spellEnd"/>
            <w:proofErr w:type="gramEnd"/>
            <w:r w:rsidRPr="000C0133">
              <w:rPr>
                <w:bCs/>
                <w:color w:val="000000"/>
                <w:sz w:val="20"/>
              </w:rPr>
              <w:t xml:space="preserve"> </w:t>
            </w:r>
            <w:proofErr w:type="spellStart"/>
            <w:r w:rsidRPr="000C0133">
              <w:rPr>
                <w:rFonts w:ascii="Sylfaen" w:hAnsi="Sylfaen" w:cs="Sylfaen"/>
                <w:bCs/>
                <w:color w:val="000000"/>
                <w:sz w:val="20"/>
              </w:rPr>
              <w:t>დასრულების</w:t>
            </w:r>
            <w:proofErr w:type="spellEnd"/>
            <w:r w:rsidRPr="000C0133">
              <w:rPr>
                <w:bCs/>
                <w:color w:val="000000"/>
                <w:sz w:val="20"/>
              </w:rPr>
              <w:t xml:space="preserve"> </w:t>
            </w:r>
            <w:proofErr w:type="spellStart"/>
            <w:r w:rsidRPr="000C0133">
              <w:rPr>
                <w:rFonts w:ascii="Sylfaen" w:hAnsi="Sylfaen" w:cs="Sylfaen"/>
                <w:bCs/>
                <w:color w:val="000000"/>
                <w:sz w:val="20"/>
              </w:rPr>
              <w:t>შემდეგ</w:t>
            </w:r>
            <w:proofErr w:type="spellEnd"/>
            <w:r w:rsidRPr="000C0133">
              <w:rPr>
                <w:bCs/>
                <w:color w:val="000000"/>
                <w:sz w:val="20"/>
              </w:rPr>
              <w:t xml:space="preserve"> </w:t>
            </w:r>
            <w:proofErr w:type="spellStart"/>
            <w:r w:rsidRPr="000C0133">
              <w:rPr>
                <w:rFonts w:ascii="Sylfaen" w:hAnsi="Sylfaen" w:cs="Sylfaen"/>
                <w:bCs/>
                <w:color w:val="000000"/>
                <w:sz w:val="20"/>
              </w:rPr>
              <w:t>ფორმა</w:t>
            </w:r>
            <w:proofErr w:type="spellEnd"/>
            <w:r w:rsidRPr="000C0133">
              <w:rPr>
                <w:bCs/>
                <w:color w:val="000000"/>
                <w:sz w:val="20"/>
              </w:rPr>
              <w:t xml:space="preserve"> </w:t>
            </w:r>
            <w:proofErr w:type="spellStart"/>
            <w:r w:rsidRPr="000C0133">
              <w:rPr>
                <w:rFonts w:ascii="Sylfaen" w:hAnsi="Sylfaen" w:cs="Sylfaen"/>
                <w:bCs/>
                <w:color w:val="000000"/>
                <w:sz w:val="20"/>
              </w:rPr>
              <w:t>დანომრეთ</w:t>
            </w:r>
            <w:proofErr w:type="spellEnd"/>
            <w:r w:rsidRPr="000C0133">
              <w:rPr>
                <w:bCs/>
                <w:color w:val="000000"/>
                <w:sz w:val="20"/>
              </w:rPr>
              <w:t>.</w:t>
            </w:r>
          </w:p>
        </w:tc>
      </w:tr>
    </w:tbl>
    <w:p w:rsidR="00F305B7" w:rsidRPr="00D35819" w:rsidRDefault="00F305B7" w:rsidP="00F305B7">
      <w:pPr>
        <w:rPr>
          <w:rFonts w:ascii="Sylfaen"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597"/>
        <w:gridCol w:w="3621"/>
        <w:gridCol w:w="3582"/>
      </w:tblGrid>
      <w:tr w:rsidR="00F305B7" w:rsidRPr="000C0133" w:rsidTr="000C7251">
        <w:tc>
          <w:tcPr>
            <w:tcW w:w="11016" w:type="dxa"/>
            <w:gridSpan w:val="3"/>
            <w:tcBorders>
              <w:left w:val="nil"/>
              <w:right w:val="nil"/>
            </w:tcBorders>
            <w:shd w:val="clear" w:color="auto" w:fill="D9D9D9"/>
          </w:tcPr>
          <w:p w:rsidR="00F305B7" w:rsidRPr="000C0133" w:rsidRDefault="00F305B7" w:rsidP="000C7251">
            <w:pPr>
              <w:spacing w:before="360" w:after="360" w:line="240" w:lineRule="auto"/>
              <w:jc w:val="center"/>
              <w:rPr>
                <w:rFonts w:ascii="Sylfaen" w:hAnsi="Sylfaen"/>
                <w:b/>
                <w:color w:val="000000"/>
                <w:sz w:val="36"/>
                <w:lang w:val="ka-GE"/>
              </w:rPr>
            </w:pPr>
            <w:r w:rsidRPr="000C0133">
              <w:rPr>
                <w:b/>
                <w:color w:val="000000"/>
                <w:sz w:val="36"/>
              </w:rPr>
              <w:t xml:space="preserve">I. </w:t>
            </w:r>
            <w:proofErr w:type="spellStart"/>
            <w:r w:rsidRPr="000C0133">
              <w:rPr>
                <w:rFonts w:ascii="Sylfaen" w:hAnsi="Sylfaen" w:cs="Sylfaen"/>
                <w:b/>
                <w:color w:val="000000"/>
                <w:sz w:val="36"/>
              </w:rPr>
              <w:t>ფორმალური</w:t>
            </w:r>
            <w:proofErr w:type="spellEnd"/>
            <w:r w:rsidRPr="000C0133">
              <w:rPr>
                <w:b/>
                <w:color w:val="000000"/>
                <w:sz w:val="36"/>
              </w:rPr>
              <w:t xml:space="preserve"> </w:t>
            </w:r>
            <w:proofErr w:type="spellStart"/>
            <w:r w:rsidRPr="000C0133">
              <w:rPr>
                <w:rFonts w:ascii="Sylfaen" w:hAnsi="Sylfaen" w:cs="Sylfaen"/>
                <w:b/>
                <w:color w:val="000000"/>
                <w:sz w:val="36"/>
              </w:rPr>
              <w:t>ნაწილი</w:t>
            </w:r>
            <w:proofErr w:type="spellEnd"/>
          </w:p>
        </w:tc>
      </w:tr>
      <w:tr w:rsidR="00F305B7" w:rsidRPr="000C0133" w:rsidTr="000C7251">
        <w:tc>
          <w:tcPr>
            <w:tcW w:w="7344" w:type="dxa"/>
            <w:gridSpan w:val="2"/>
          </w:tcPr>
          <w:p w:rsidR="00F305B7" w:rsidRPr="000C0133" w:rsidRDefault="00F305B7" w:rsidP="000C7251">
            <w:pPr>
              <w:spacing w:after="0" w:line="240" w:lineRule="auto"/>
              <w:rPr>
                <w:color w:val="000000"/>
              </w:rPr>
            </w:pPr>
          </w:p>
        </w:tc>
        <w:tc>
          <w:tcPr>
            <w:tcW w:w="3672" w:type="dxa"/>
          </w:tcPr>
          <w:p w:rsidR="00F305B7" w:rsidRPr="000C0133" w:rsidRDefault="00F305B7" w:rsidP="000C7251">
            <w:pPr>
              <w:spacing w:after="0" w:line="240" w:lineRule="auto"/>
              <w:rPr>
                <w:color w:val="000000"/>
              </w:rPr>
            </w:pPr>
          </w:p>
        </w:tc>
      </w:tr>
      <w:tr w:rsidR="00F305B7" w:rsidRPr="000C0133" w:rsidTr="000C7251">
        <w:tc>
          <w:tcPr>
            <w:tcW w:w="11016" w:type="dxa"/>
            <w:gridSpan w:val="3"/>
            <w:tcBorders>
              <w:left w:val="nil"/>
              <w:right w:val="nil"/>
            </w:tcBorders>
            <w:shd w:val="clear" w:color="auto" w:fill="D9D9D9"/>
          </w:tcPr>
          <w:p w:rsidR="00F305B7" w:rsidRPr="000C0133" w:rsidRDefault="00F305B7" w:rsidP="000C7251">
            <w:pPr>
              <w:spacing w:after="0" w:line="240" w:lineRule="auto"/>
              <w:rPr>
                <w:color w:val="000000"/>
              </w:rPr>
            </w:pPr>
            <w:r w:rsidRPr="000C0133">
              <w:rPr>
                <w:color w:val="000000"/>
              </w:rPr>
              <w:t xml:space="preserve">1. </w:t>
            </w:r>
            <w:r>
              <w:rPr>
                <w:rFonts w:ascii="Sylfaen" w:hAnsi="Sylfaen" w:cs="Sylfaen"/>
                <w:color w:val="000000"/>
                <w:lang w:val="ka-GE"/>
              </w:rPr>
              <w:t>მოსაზრების ავტორის რეკვიზიტები:</w:t>
            </w:r>
          </w:p>
        </w:tc>
      </w:tr>
      <w:tr w:rsidR="00F305B7" w:rsidRPr="000C0133" w:rsidTr="000C7251">
        <w:tc>
          <w:tcPr>
            <w:tcW w:w="3672" w:type="dxa"/>
            <w:tcBorders>
              <w:right w:val="single" w:sz="4" w:space="0" w:color="auto"/>
            </w:tcBorders>
          </w:tcPr>
          <w:p w:rsidR="00F305B7" w:rsidRPr="000C0133" w:rsidRDefault="00F305B7" w:rsidP="000C7251">
            <w:pPr>
              <w:spacing w:after="0" w:line="240" w:lineRule="auto"/>
              <w:rPr>
                <w:rFonts w:ascii="Sylfaen" w:hAnsi="Sylfaen"/>
                <w:color w:val="000000"/>
                <w:lang w:val="ka-GE"/>
              </w:rPr>
            </w:pPr>
            <w:r>
              <w:rPr>
                <w:rFonts w:ascii="Sylfaen" w:hAnsi="Sylfaen"/>
                <w:color w:val="000000"/>
                <w:lang w:val="ka-GE"/>
              </w:rPr>
              <w:fldChar w:fldCharType="begin">
                <w:ffData>
                  <w:name w:val="Text2"/>
                  <w:enabled/>
                  <w:calcOnExit w:val="0"/>
                  <w:textInput/>
                </w:ffData>
              </w:fldChar>
            </w:r>
            <w:bookmarkStart w:id="0" w:name="Text2"/>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საქართველოს სახალხო დამცველი</w:t>
            </w:r>
            <w:r>
              <w:rPr>
                <w:rFonts w:ascii="Sylfaen" w:hAnsi="Sylfaen"/>
                <w:noProof/>
                <w:color w:val="000000"/>
                <w:lang w:val="ka-GE"/>
              </w:rPr>
              <w:t> </w:t>
            </w:r>
            <w:r>
              <w:rPr>
                <w:rFonts w:ascii="Sylfaen" w:hAnsi="Sylfaen"/>
                <w:color w:val="000000"/>
                <w:lang w:val="ka-GE"/>
              </w:rPr>
              <w:fldChar w:fldCharType="end"/>
            </w:r>
            <w:bookmarkEnd w:id="0"/>
          </w:p>
        </w:tc>
        <w:tc>
          <w:tcPr>
            <w:tcW w:w="3672" w:type="dxa"/>
            <w:tcBorders>
              <w:top w:val="nil"/>
              <w:left w:val="single" w:sz="4" w:space="0" w:color="auto"/>
              <w:bottom w:val="nil"/>
              <w:right w:val="single" w:sz="4" w:space="0" w:color="auto"/>
            </w:tcBorders>
          </w:tcPr>
          <w:p w:rsidR="00F305B7" w:rsidRPr="000C0133" w:rsidRDefault="00F305B7" w:rsidP="000C7251">
            <w:pPr>
              <w:spacing w:after="0" w:line="240" w:lineRule="auto"/>
              <w:rPr>
                <w:color w:val="000000"/>
              </w:rPr>
            </w:pPr>
            <w:r>
              <w:rPr>
                <w:color w:val="000000"/>
              </w:rPr>
              <w:fldChar w:fldCharType="begin">
                <w:ffData>
                  <w:name w:val="Text3"/>
                  <w:enabled/>
                  <w:calcOnExit w:val="0"/>
                  <w:textInput/>
                </w:ffData>
              </w:fldChar>
            </w:r>
            <w:bookmarkStart w:id="1" w:name="Text3"/>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
          </w:p>
        </w:tc>
        <w:tc>
          <w:tcPr>
            <w:tcW w:w="3672" w:type="dxa"/>
            <w:tcBorders>
              <w:left w:val="single" w:sz="4" w:space="0" w:color="auto"/>
            </w:tcBorders>
          </w:tcPr>
          <w:p w:rsidR="00F305B7" w:rsidRPr="000C0133" w:rsidRDefault="00F305B7" w:rsidP="000C7251">
            <w:pPr>
              <w:spacing w:after="0" w:line="240" w:lineRule="auto"/>
              <w:rPr>
                <w:color w:val="000000"/>
              </w:rPr>
            </w:pPr>
            <w:r>
              <w:rPr>
                <w:color w:val="000000"/>
              </w:rPr>
              <w:t xml:space="preserve">  </w:t>
            </w:r>
          </w:p>
        </w:tc>
      </w:tr>
      <w:tr w:rsidR="00F305B7" w:rsidRPr="000C0133" w:rsidTr="000C7251">
        <w:tc>
          <w:tcPr>
            <w:tcW w:w="3672" w:type="dxa"/>
            <w:tcBorders>
              <w:left w:val="nil"/>
              <w:right w:val="nil"/>
            </w:tcBorders>
            <w:shd w:val="clear" w:color="auto" w:fill="D9D9D9"/>
          </w:tcPr>
          <w:p w:rsidR="00F305B7" w:rsidRPr="000C0133" w:rsidRDefault="00F305B7" w:rsidP="000C7251">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F305B7" w:rsidRPr="000C0133" w:rsidRDefault="00F305B7" w:rsidP="000C7251">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F305B7" w:rsidRPr="000C0133" w:rsidRDefault="00F305B7" w:rsidP="000C7251">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F305B7" w:rsidRPr="000C0133" w:rsidTr="000C7251">
        <w:tc>
          <w:tcPr>
            <w:tcW w:w="3672" w:type="dxa"/>
            <w:tcBorders>
              <w:right w:val="single" w:sz="4" w:space="0" w:color="auto"/>
            </w:tcBorders>
          </w:tcPr>
          <w:p w:rsidR="00F305B7" w:rsidRPr="000C0133" w:rsidRDefault="00F305B7" w:rsidP="000C7251">
            <w:pPr>
              <w:spacing w:after="0" w:line="240" w:lineRule="auto"/>
              <w:rPr>
                <w:rFonts w:ascii="Sylfaen" w:hAnsi="Sylfaen"/>
                <w:color w:val="000000"/>
                <w:lang w:val="ka-GE"/>
              </w:rPr>
            </w:pPr>
            <w:r>
              <w:rPr>
                <w:rFonts w:ascii="Sylfaen" w:hAnsi="Sylfaen"/>
                <w:color w:val="000000"/>
                <w:lang w:val="ka-GE"/>
              </w:rPr>
              <w:fldChar w:fldCharType="begin">
                <w:ffData>
                  <w:name w:val="Text5"/>
                  <w:enabled/>
                  <w:calcOnExit w:val="0"/>
                  <w:textInput/>
                </w:ffData>
              </w:fldChar>
            </w:r>
            <w:bookmarkStart w:id="2" w:name="Text5"/>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color w:val="000000"/>
                <w:lang w:val="ka-GE"/>
              </w:rPr>
              <w:fldChar w:fldCharType="end"/>
            </w:r>
            <w:bookmarkEnd w:id="2"/>
          </w:p>
        </w:tc>
        <w:tc>
          <w:tcPr>
            <w:tcW w:w="3672" w:type="dxa"/>
            <w:tcBorders>
              <w:top w:val="nil"/>
              <w:left w:val="single" w:sz="4" w:space="0" w:color="auto"/>
              <w:bottom w:val="nil"/>
              <w:right w:val="single" w:sz="4" w:space="0" w:color="auto"/>
            </w:tcBorders>
          </w:tcPr>
          <w:p w:rsidR="00F305B7" w:rsidRPr="000C0133" w:rsidRDefault="00F305B7" w:rsidP="000C7251">
            <w:pPr>
              <w:spacing w:after="0" w:line="240" w:lineRule="auto"/>
              <w:rPr>
                <w:color w:val="000000"/>
              </w:rPr>
            </w:pPr>
          </w:p>
        </w:tc>
        <w:tc>
          <w:tcPr>
            <w:tcW w:w="3672" w:type="dxa"/>
            <w:tcBorders>
              <w:left w:val="single" w:sz="4" w:space="0" w:color="auto"/>
            </w:tcBorders>
          </w:tcPr>
          <w:p w:rsidR="00F305B7" w:rsidRPr="000C0133" w:rsidRDefault="00F305B7" w:rsidP="00FE792A">
            <w:pPr>
              <w:spacing w:after="0" w:line="240" w:lineRule="auto"/>
              <w:rPr>
                <w:color w:val="000000"/>
              </w:rPr>
            </w:pPr>
            <w:r>
              <w:rPr>
                <w:color w:val="000000"/>
              </w:rPr>
              <w:fldChar w:fldCharType="begin">
                <w:ffData>
                  <w:name w:val="Text7"/>
                  <w:enabled/>
                  <w:calcOnExit w:val="0"/>
                  <w:textInput/>
                </w:ffData>
              </w:fldChar>
            </w:r>
            <w:bookmarkStart w:id="3" w:name="Text7"/>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3"/>
          </w:p>
        </w:tc>
      </w:tr>
      <w:tr w:rsidR="00F305B7" w:rsidRPr="000C0133" w:rsidTr="000C7251">
        <w:tc>
          <w:tcPr>
            <w:tcW w:w="3672" w:type="dxa"/>
            <w:tcBorders>
              <w:left w:val="nil"/>
              <w:right w:val="nil"/>
            </w:tcBorders>
            <w:shd w:val="clear" w:color="auto" w:fill="D9D9D9"/>
          </w:tcPr>
          <w:p w:rsidR="00F305B7" w:rsidRPr="000C0133" w:rsidRDefault="00F305B7" w:rsidP="000C7251">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rsidR="00F305B7" w:rsidRPr="000C0133" w:rsidRDefault="00F305B7" w:rsidP="000C7251">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rsidR="00F305B7" w:rsidRPr="000C0133" w:rsidRDefault="00F305B7" w:rsidP="000C7251">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rsidR="00F305B7" w:rsidRPr="008F6EB3" w:rsidRDefault="00F305B7" w:rsidP="00F305B7">
      <w:pPr>
        <w:spacing w:after="0"/>
        <w:rPr>
          <w:rFonts w:ascii="Sylfaen" w:hAnsi="Sylfaen"/>
        </w:rPr>
      </w:pPr>
    </w:p>
    <w:tbl>
      <w:tblPr>
        <w:tblW w:w="0" w:type="auto"/>
        <w:tblLook w:val="0400" w:firstRow="0" w:lastRow="0" w:firstColumn="0" w:lastColumn="0" w:noHBand="0" w:noVBand="1"/>
      </w:tblPr>
      <w:tblGrid>
        <w:gridCol w:w="10800"/>
      </w:tblGrid>
      <w:tr w:rsidR="00F305B7" w:rsidRPr="000C0133" w:rsidTr="000C7251">
        <w:tc>
          <w:tcPr>
            <w:tcW w:w="11016" w:type="dxa"/>
            <w:shd w:val="clear" w:color="auto" w:fill="D9D9D9"/>
          </w:tcPr>
          <w:p w:rsidR="00F305B7" w:rsidRPr="000C0133" w:rsidRDefault="00F305B7" w:rsidP="000C7251">
            <w:pPr>
              <w:spacing w:after="0" w:line="240" w:lineRule="auto"/>
              <w:rPr>
                <w:color w:val="000000"/>
              </w:rPr>
            </w:pPr>
            <w:r w:rsidRPr="00D35819">
              <w:rPr>
                <w:rFonts w:ascii="Sylfaen" w:hAnsi="Sylfaen" w:cs="Sylfaen"/>
                <w:lang w:val="ka-GE"/>
              </w:rPr>
              <w:t>2.</w:t>
            </w:r>
            <w:r>
              <w:rPr>
                <w:rFonts w:ascii="Sylfaen" w:hAnsi="Sylfaen" w:cs="Sylfaen"/>
                <w:lang w:val="ka-GE"/>
              </w:rPr>
              <w:t xml:space="preserve"> საქმის დასახელება</w:t>
            </w:r>
            <w:r>
              <w:rPr>
                <w:rFonts w:ascii="Sylfaen" w:hAnsi="Sylfaen" w:cs="Sylfaen"/>
              </w:rPr>
              <w:t>,</w:t>
            </w:r>
            <w:r>
              <w:rPr>
                <w:rFonts w:ascii="Sylfaen" w:hAnsi="Sylfaen" w:cs="Sylfaen"/>
                <w:lang w:val="ka-GE"/>
              </w:rPr>
              <w:t xml:space="preserve"> რომელთან</w:t>
            </w:r>
            <w:r w:rsidRPr="00D35819">
              <w:rPr>
                <w:rFonts w:ascii="Sylfaen" w:hAnsi="Sylfaen" w:cs="Sylfaen"/>
                <w:lang w:val="ka-GE"/>
              </w:rPr>
              <w:t xml:space="preserve"> დაკავშირებით არის შედგენილი მოსაზრება</w:t>
            </w:r>
            <w:r>
              <w:rPr>
                <w:rFonts w:ascii="Sylfaen" w:hAnsi="Sylfaen" w:cs="Sylfaen"/>
                <w:lang w:val="ka-GE"/>
              </w:rPr>
              <w:t xml:space="preserve"> </w:t>
            </w:r>
            <w:r w:rsidRPr="000E68B7">
              <w:rPr>
                <w:rStyle w:val="FootnoteReference"/>
                <w:rFonts w:ascii="Sylfaen" w:hAnsi="Sylfaen" w:cs="Sylfaen"/>
                <w:b/>
                <w:color w:val="548DD4"/>
                <w:sz w:val="26"/>
                <w:szCs w:val="26"/>
                <w:lang w:val="ka-GE"/>
              </w:rPr>
              <w:footnoteReference w:customMarkFollows="1" w:id="1"/>
              <w:t>შენიშვნა 1</w:t>
            </w:r>
          </w:p>
        </w:tc>
      </w:tr>
    </w:tbl>
    <w:p w:rsidR="00F305B7" w:rsidRPr="00FF3152" w:rsidRDefault="00F305B7" w:rsidP="00F305B7">
      <w:pPr>
        <w:pBdr>
          <w:bottom w:val="single" w:sz="4" w:space="1" w:color="auto"/>
        </w:pBdr>
        <w:rPr>
          <w:rFonts w:ascii="Sylfaen" w:hAnsi="Sylfaen"/>
          <w:lang w:val="ka-GE"/>
        </w:rPr>
      </w:pPr>
      <w:r>
        <w:rPr>
          <w:rFonts w:ascii="Sylfaen" w:hAnsi="Sylfaen"/>
          <w:lang w:val="ka-GE"/>
        </w:rPr>
        <w:t>#1583-ე კონსტიტუციურ სარჩელთან დაკავშირებით - „ირაკლი მაჭუტაძე საქართველოს პარლამენტის წინააღმდეგ“</w:t>
      </w:r>
    </w:p>
    <w:p w:rsidR="00F305B7" w:rsidRDefault="00F305B7" w:rsidP="00F305B7">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800"/>
      </w:tblGrid>
      <w:tr w:rsidR="00F305B7" w:rsidRPr="000C0133" w:rsidTr="000C7251">
        <w:tc>
          <w:tcPr>
            <w:tcW w:w="11016" w:type="dxa"/>
            <w:tcBorders>
              <w:top w:val="nil"/>
              <w:left w:val="nil"/>
              <w:bottom w:val="nil"/>
              <w:right w:val="nil"/>
            </w:tcBorders>
            <w:shd w:val="clear" w:color="auto" w:fill="D9D9D9"/>
          </w:tcPr>
          <w:p w:rsidR="00F305B7" w:rsidRPr="000C0133" w:rsidRDefault="00F305B7" w:rsidP="000C7251">
            <w:pPr>
              <w:spacing w:before="120" w:after="120" w:line="240" w:lineRule="auto"/>
              <w:jc w:val="center"/>
              <w:rPr>
                <w:rFonts w:ascii="Sylfaen" w:hAnsi="Sylfaen"/>
                <w:b/>
                <w:color w:val="000000"/>
                <w:sz w:val="36"/>
                <w:lang w:val="ka-GE"/>
              </w:rPr>
            </w:pPr>
            <w:r w:rsidRPr="00124E53">
              <w:rPr>
                <w:b/>
                <w:color w:val="000000"/>
                <w:sz w:val="28"/>
                <w:szCs w:val="28"/>
                <w:lang w:val="ka-GE"/>
              </w:rPr>
              <w:lastRenderedPageBreak/>
              <w:t>II</w:t>
            </w:r>
            <w:r w:rsidRPr="00124E53">
              <w:rPr>
                <w:rFonts w:ascii="Sylfaen" w:hAnsi="Sylfaen"/>
                <w:b/>
                <w:color w:val="000000"/>
                <w:sz w:val="28"/>
                <w:szCs w:val="28"/>
                <w:lang w:val="ka-GE"/>
              </w:rPr>
              <w:t xml:space="preserve">. </w:t>
            </w:r>
            <w:r w:rsidRPr="00124E53">
              <w:rPr>
                <w:rFonts w:ascii="Sylfaen" w:hAnsi="Sylfaen" w:cs="Sylfaen"/>
                <w:b/>
                <w:sz w:val="28"/>
                <w:szCs w:val="28"/>
                <w:lang w:val="ka-GE"/>
              </w:rPr>
              <w:t xml:space="preserve">„სასამართლოს მეგობრის“ მოსაზრება </w:t>
            </w:r>
            <w:r w:rsidRPr="000E68B7">
              <w:rPr>
                <w:rStyle w:val="FootnoteReference"/>
                <w:rFonts w:ascii="Sylfaen" w:hAnsi="Sylfaen" w:cs="Sylfaen"/>
                <w:b/>
                <w:color w:val="548DD4"/>
                <w:sz w:val="26"/>
                <w:szCs w:val="26"/>
                <w:lang w:val="ka-GE"/>
              </w:rPr>
              <w:footnoteReference w:customMarkFollows="1" w:id="2"/>
              <w:t>შენიშვნა 2</w:t>
            </w:r>
          </w:p>
        </w:tc>
      </w:tr>
      <w:tr w:rsidR="00F305B7" w:rsidRPr="000C0133" w:rsidTr="000C7251">
        <w:trPr>
          <w:trHeight w:val="315"/>
        </w:trPr>
        <w:tc>
          <w:tcPr>
            <w:tcW w:w="11016" w:type="dxa"/>
            <w:tcBorders>
              <w:top w:val="nil"/>
              <w:bottom w:val="single" w:sz="4" w:space="0" w:color="auto"/>
            </w:tcBorders>
          </w:tcPr>
          <w:p w:rsidR="00F305B7" w:rsidRPr="00B67C2E" w:rsidRDefault="00F305B7" w:rsidP="000C7251">
            <w:pPr>
              <w:spacing w:after="140"/>
              <w:jc w:val="both"/>
              <w:rPr>
                <w:rFonts w:ascii="Sylfaen" w:hAnsi="Sylfaen"/>
                <w:lang w:val="ka-GE"/>
              </w:rPr>
            </w:pPr>
            <w:r w:rsidRPr="00B67C2E">
              <w:rPr>
                <w:rFonts w:ascii="Sylfaen" w:hAnsi="Sylfaen"/>
                <w:lang w:val="ka-GE"/>
              </w:rPr>
              <w:t>„საქართველოს სახალხო დამცველის შესახებ“ საქართველოს ორგანული კანონის 21-ე მუხლის „ე“ ქვეპუნქტისა და „საქართველოს საკონსტიტუციო სასამართლოს შესახებ“ საქართველოს ორგანული კანონის 21</w:t>
            </w:r>
            <w:r w:rsidRPr="00B67C2E">
              <w:rPr>
                <w:rFonts w:ascii="Sylfaen" w:hAnsi="Sylfaen"/>
                <w:vertAlign w:val="superscript"/>
                <w:lang w:val="ka-GE"/>
              </w:rPr>
              <w:t>4</w:t>
            </w:r>
            <w:r w:rsidRPr="00B67C2E">
              <w:rPr>
                <w:rFonts w:ascii="Sylfaen" w:hAnsi="Sylfaen"/>
                <w:lang w:val="ka-GE"/>
              </w:rPr>
              <w:t>-ე მუხლის პირველი პუნქტის შესაბამისად, წარმოგიდგენთ საქართველოს სახალხო დამცველის სასამართლოს მეგობრის მოსაზრებას.</w:t>
            </w:r>
          </w:p>
          <w:p w:rsidR="00F305B7" w:rsidRPr="00B67C2E" w:rsidRDefault="00F305B7" w:rsidP="000C7251">
            <w:pPr>
              <w:spacing w:after="140"/>
              <w:jc w:val="both"/>
              <w:rPr>
                <w:rFonts w:ascii="Sylfaen" w:hAnsi="Sylfaen"/>
                <w:lang w:val="ka-GE"/>
              </w:rPr>
            </w:pPr>
            <w:r w:rsidRPr="00B67C2E">
              <w:rPr>
                <w:rFonts w:ascii="Sylfaen" w:hAnsi="Sylfaen"/>
                <w:lang w:val="ka-GE"/>
              </w:rPr>
              <w:t>სასამართლო მეგობრის მოსაზრება შეეხება კონსტიტუციურ სარჩელს (რეგისტრაციის</w:t>
            </w:r>
            <w:r>
              <w:rPr>
                <w:rFonts w:ascii="Sylfaen" w:hAnsi="Sylfaen"/>
                <w:lang w:val="ka-GE"/>
              </w:rPr>
              <w:t xml:space="preserve"> №</w:t>
            </w:r>
            <w:r w:rsidRPr="00FB42E6">
              <w:rPr>
                <w:rFonts w:ascii="Sylfaen" w:hAnsi="Sylfaen"/>
                <w:lang w:val="ka-GE"/>
              </w:rPr>
              <w:t>1583</w:t>
            </w:r>
            <w:r w:rsidRPr="00B67C2E">
              <w:rPr>
                <w:rFonts w:ascii="Sylfaen" w:hAnsi="Sylfaen"/>
                <w:lang w:val="ka-GE"/>
              </w:rPr>
              <w:t xml:space="preserve">), რომლის მიხედვითაც დავის საგანია </w:t>
            </w:r>
            <w:r>
              <w:rPr>
                <w:rFonts w:ascii="Sylfaen" w:hAnsi="Sylfaen"/>
                <w:lang w:val="ka-GE"/>
              </w:rPr>
              <w:t>„</w:t>
            </w:r>
            <w:r w:rsidRPr="00FB42E6">
              <w:rPr>
                <w:rFonts w:ascii="Sylfaen" w:hAnsi="Sylfaen"/>
                <w:lang w:val="ka-GE"/>
              </w:rPr>
              <w:t>საქართველოს საკონსტიტუციო სასამართლოს შესახებ“ საქართველოს ორგანული კანონის 32</w:t>
            </w:r>
            <w:r w:rsidRPr="00FB42E6">
              <w:rPr>
                <w:rFonts w:ascii="Sylfaen" w:hAnsi="Sylfaen"/>
                <w:vertAlign w:val="superscript"/>
                <w:lang w:val="ka-GE"/>
              </w:rPr>
              <w:t>1</w:t>
            </w:r>
            <w:r>
              <w:rPr>
                <w:rFonts w:ascii="Sylfaen" w:hAnsi="Sylfaen"/>
                <w:lang w:val="ka-GE"/>
              </w:rPr>
              <w:t>-ე</w:t>
            </w:r>
            <w:r w:rsidRPr="00FB42E6">
              <w:rPr>
                <w:rFonts w:ascii="Sylfaen" w:hAnsi="Sylfaen"/>
                <w:lang w:val="ka-GE"/>
              </w:rPr>
              <w:t xml:space="preserve"> მუხლის მე-2 პუნქტის მე-3 </w:t>
            </w:r>
            <w:r>
              <w:rPr>
                <w:rFonts w:ascii="Sylfaen" w:hAnsi="Sylfaen"/>
                <w:lang w:val="ka-GE"/>
              </w:rPr>
              <w:t xml:space="preserve">წინადადების </w:t>
            </w:r>
            <w:r w:rsidRPr="00B67C2E">
              <w:rPr>
                <w:rFonts w:ascii="Sylfaen" w:hAnsi="Sylfaen"/>
                <w:lang w:val="ka-GE"/>
              </w:rPr>
              <w:t>კონსტიტუციურობა საქართველოს კონსტიტუციის მე-1</w:t>
            </w:r>
            <w:r>
              <w:rPr>
                <w:rFonts w:ascii="Sylfaen" w:hAnsi="Sylfaen"/>
                <w:lang w:val="ka-GE"/>
              </w:rPr>
              <w:t>1</w:t>
            </w:r>
            <w:r w:rsidRPr="00B67C2E">
              <w:rPr>
                <w:rFonts w:ascii="Sylfaen" w:hAnsi="Sylfaen"/>
                <w:lang w:val="ka-GE"/>
              </w:rPr>
              <w:t xml:space="preserve"> მუხლის პირველი </w:t>
            </w:r>
            <w:r>
              <w:rPr>
                <w:rFonts w:ascii="Sylfaen" w:hAnsi="Sylfaen"/>
                <w:lang w:val="ka-GE"/>
              </w:rPr>
              <w:t>პუნქტთან და 25-ე მუხლის</w:t>
            </w:r>
            <w:r w:rsidRPr="00B67C2E">
              <w:rPr>
                <w:rFonts w:ascii="Sylfaen" w:hAnsi="Sylfaen"/>
                <w:lang w:val="ka-GE"/>
              </w:rPr>
              <w:t xml:space="preserve"> პირველ </w:t>
            </w:r>
            <w:r>
              <w:rPr>
                <w:rFonts w:ascii="Sylfaen" w:hAnsi="Sylfaen"/>
                <w:lang w:val="ka-GE"/>
              </w:rPr>
              <w:t>პუნქტ</w:t>
            </w:r>
            <w:r w:rsidRPr="00B67C2E">
              <w:rPr>
                <w:rFonts w:ascii="Sylfaen" w:hAnsi="Sylfaen"/>
                <w:lang w:val="ka-GE"/>
              </w:rPr>
              <w:t xml:space="preserve">თან მიმართებით. </w:t>
            </w:r>
          </w:p>
          <w:p w:rsidR="00F305B7" w:rsidRDefault="00F305B7" w:rsidP="000C7251">
            <w:pPr>
              <w:spacing w:after="140"/>
              <w:jc w:val="both"/>
              <w:rPr>
                <w:rFonts w:ascii="Sylfaen" w:hAnsi="Sylfaen"/>
                <w:lang w:val="ka-GE"/>
              </w:rPr>
            </w:pPr>
            <w:r w:rsidRPr="00B67C2E">
              <w:rPr>
                <w:rFonts w:ascii="Sylfaen" w:hAnsi="Sylfaen"/>
                <w:lang w:val="ka-GE"/>
              </w:rPr>
              <w:t>სადავო ნორმ</w:t>
            </w:r>
            <w:r>
              <w:rPr>
                <w:rFonts w:ascii="Sylfaen" w:hAnsi="Sylfaen"/>
                <w:lang w:val="ka-GE"/>
              </w:rPr>
              <w:t>ა</w:t>
            </w:r>
            <w:r w:rsidRPr="00B67C2E">
              <w:rPr>
                <w:rFonts w:ascii="Sylfaen" w:hAnsi="Sylfaen"/>
                <w:lang w:val="ka-GE"/>
              </w:rPr>
              <w:t xml:space="preserve"> განსაზღვრავს</w:t>
            </w:r>
            <w:r>
              <w:rPr>
                <w:rFonts w:ascii="Sylfaen" w:hAnsi="Sylfaen"/>
                <w:lang w:val="ka-GE"/>
              </w:rPr>
              <w:t xml:space="preserve"> </w:t>
            </w:r>
            <w:r w:rsidRPr="009D074D">
              <w:rPr>
                <w:rFonts w:ascii="Sylfaen" w:hAnsi="Sylfaen"/>
                <w:lang w:val="ka-GE"/>
              </w:rPr>
              <w:t xml:space="preserve">საკონსტიტუციო სასამართლოს მანდატურად </w:t>
            </w:r>
            <w:r>
              <w:rPr>
                <w:rFonts w:ascii="Sylfaen" w:hAnsi="Sylfaen"/>
                <w:lang w:val="ka-GE"/>
              </w:rPr>
              <w:t>მუშაობის ზღვრულ</w:t>
            </w:r>
            <w:r w:rsidRPr="009D074D">
              <w:rPr>
                <w:rFonts w:ascii="Sylfaen" w:hAnsi="Sylfaen"/>
                <w:lang w:val="ka-GE"/>
              </w:rPr>
              <w:t xml:space="preserve"> ასაკ</w:t>
            </w:r>
            <w:r>
              <w:rPr>
                <w:rFonts w:ascii="Sylfaen" w:hAnsi="Sylfaen"/>
                <w:lang w:val="ka-GE"/>
              </w:rPr>
              <w:t xml:space="preserve">ს. კერძოდ, პირს რომელსაც შეუსრულდება 50 წლის ასაკი, აღარ აქვს უფლება დასაქმდეს ან მუშაობა გააგრძელოს </w:t>
            </w:r>
            <w:r w:rsidRPr="009D074D">
              <w:rPr>
                <w:rFonts w:ascii="Sylfaen" w:hAnsi="Sylfaen"/>
                <w:lang w:val="ka-GE"/>
              </w:rPr>
              <w:t xml:space="preserve">საკონსტიტუციო </w:t>
            </w:r>
            <w:r>
              <w:rPr>
                <w:rFonts w:ascii="Sylfaen" w:hAnsi="Sylfaen"/>
                <w:lang w:val="ka-GE"/>
              </w:rPr>
              <w:t>სასამართლოში მანდატურის თანამდებობაზე.</w:t>
            </w:r>
            <w:r w:rsidRPr="009D074D">
              <w:rPr>
                <w:rFonts w:ascii="Sylfaen" w:hAnsi="Sylfaen"/>
                <w:lang w:val="ka-GE"/>
              </w:rPr>
              <w:t xml:space="preserve"> </w:t>
            </w:r>
            <w:r w:rsidRPr="00B67C2E">
              <w:rPr>
                <w:rFonts w:ascii="Sylfaen" w:hAnsi="Sylfaen"/>
                <w:lang w:val="ka-GE"/>
              </w:rPr>
              <w:t>კონსტიტუციური სარჩელის თანახმად, მოსარჩელე</w:t>
            </w:r>
            <w:r>
              <w:rPr>
                <w:rFonts w:ascii="Sylfaen" w:hAnsi="Sylfaen"/>
                <w:lang w:val="ka-GE"/>
              </w:rPr>
              <w:t>ს</w:t>
            </w:r>
            <w:r w:rsidRPr="00B67C2E">
              <w:rPr>
                <w:rFonts w:ascii="Sylfaen" w:hAnsi="Sylfaen"/>
                <w:lang w:val="ka-GE"/>
              </w:rPr>
              <w:t xml:space="preserve"> </w:t>
            </w:r>
            <w:r w:rsidRPr="009D074D">
              <w:rPr>
                <w:rFonts w:ascii="Sylfaen" w:hAnsi="Sylfaen"/>
                <w:lang w:val="ka-GE"/>
              </w:rPr>
              <w:t>უკავია საქართველოს საკონსტიტუციო სასამართლოს მანდატურის თანამდებობა და სადავო ნორმით დადგენილ</w:t>
            </w:r>
            <w:r>
              <w:rPr>
                <w:rFonts w:ascii="Sylfaen" w:hAnsi="Sylfaen"/>
                <w:lang w:val="ka-GE"/>
              </w:rPr>
              <w:t>ი</w:t>
            </w:r>
            <w:r w:rsidRPr="009D074D">
              <w:rPr>
                <w:rFonts w:ascii="Sylfaen" w:hAnsi="Sylfaen"/>
                <w:lang w:val="ka-GE"/>
              </w:rPr>
              <w:t xml:space="preserve"> ზღვრულ</w:t>
            </w:r>
            <w:r>
              <w:rPr>
                <w:rFonts w:ascii="Sylfaen" w:hAnsi="Sylfaen"/>
                <w:lang w:val="ka-GE"/>
              </w:rPr>
              <w:t>ი</w:t>
            </w:r>
            <w:r w:rsidRPr="009D074D">
              <w:rPr>
                <w:rFonts w:ascii="Sylfaen" w:hAnsi="Sylfaen"/>
                <w:lang w:val="ka-GE"/>
              </w:rPr>
              <w:t xml:space="preserve"> ასაკ</w:t>
            </w:r>
            <w:r>
              <w:rPr>
                <w:rFonts w:ascii="Sylfaen" w:hAnsi="Sylfaen"/>
                <w:lang w:val="ka-GE"/>
              </w:rPr>
              <w:t>ი</w:t>
            </w:r>
            <w:r w:rsidRPr="009D074D">
              <w:rPr>
                <w:rFonts w:ascii="Sylfaen" w:hAnsi="Sylfaen"/>
                <w:lang w:val="ka-GE"/>
              </w:rPr>
              <w:t>ს - 50 წლის მიღწევისას ის ავტომატურად გათავისუფლდება დაკავებული თანამდებობიდან.</w:t>
            </w:r>
            <w:r>
              <w:rPr>
                <w:rFonts w:ascii="Sylfaen" w:hAnsi="Sylfaen"/>
                <w:lang w:val="ka-GE"/>
              </w:rPr>
              <w:t xml:space="preserve"> ამგვარად,</w:t>
            </w:r>
            <w:r w:rsidRPr="00011D13">
              <w:rPr>
                <w:rFonts w:ascii="Sylfaen" w:hAnsi="Sylfaen"/>
                <w:lang w:val="ka-GE"/>
              </w:rPr>
              <w:t xml:space="preserve"> სადავო </w:t>
            </w:r>
            <w:r>
              <w:rPr>
                <w:rFonts w:ascii="Sylfaen" w:hAnsi="Sylfaen"/>
                <w:lang w:val="ka-GE"/>
              </w:rPr>
              <w:t>ნორმით ირღვევა</w:t>
            </w:r>
            <w:r w:rsidRPr="00011D13">
              <w:rPr>
                <w:rFonts w:ascii="Sylfaen" w:hAnsi="Sylfaen"/>
                <w:lang w:val="ka-GE"/>
              </w:rPr>
              <w:t xml:space="preserve"> მოსარჩელის სახელმწიფო თანამდებობის დაკავებისა და თანასწორობის კონსტიტუციურ</w:t>
            </w:r>
            <w:r>
              <w:rPr>
                <w:rFonts w:ascii="Sylfaen" w:hAnsi="Sylfaen"/>
                <w:lang w:val="ka-GE"/>
              </w:rPr>
              <w:t>ი</w:t>
            </w:r>
            <w:r w:rsidRPr="00011D13">
              <w:rPr>
                <w:rFonts w:ascii="Sylfaen" w:hAnsi="Sylfaen"/>
                <w:lang w:val="ka-GE"/>
              </w:rPr>
              <w:t xml:space="preserve"> უფლებებ</w:t>
            </w:r>
            <w:r>
              <w:rPr>
                <w:rFonts w:ascii="Sylfaen" w:hAnsi="Sylfaen"/>
                <w:lang w:val="ka-GE"/>
              </w:rPr>
              <w:t>ი.</w:t>
            </w:r>
          </w:p>
          <w:p w:rsidR="00F305B7" w:rsidRDefault="00F305B7" w:rsidP="000C7251">
            <w:pPr>
              <w:jc w:val="both"/>
              <w:rPr>
                <w:rFonts w:ascii="Sylfaen" w:hAnsi="Sylfaen"/>
                <w:lang w:val="ka-GE"/>
              </w:rPr>
            </w:pPr>
            <w:r w:rsidRPr="00B67C2E">
              <w:rPr>
                <w:rFonts w:ascii="Sylfaen" w:hAnsi="Sylfaen"/>
                <w:lang w:val="ka-GE"/>
              </w:rPr>
              <w:t xml:space="preserve">სახალხო დამცველი ეთანხმება კონსტიტუციურ სარჩლში დაყენებულ მოთხოვნას და სადავო ნორმების არაკონსტიტუციურობის დასაბუთებას. ამასთან, საჭიროდ მიიჩნევს სასამართლოს მეგობრის მოსაზრებაში ყურადღება გაამახვილოს </w:t>
            </w:r>
            <w:r>
              <w:rPr>
                <w:rFonts w:ascii="Sylfaen" w:hAnsi="Sylfaen"/>
                <w:lang w:val="ka-GE"/>
              </w:rPr>
              <w:t>საკუთარი კომპეტენციის</w:t>
            </w:r>
            <w:r>
              <w:rPr>
                <w:rStyle w:val="FootnoteReference"/>
                <w:rFonts w:ascii="Sylfaen" w:hAnsi="Sylfaen"/>
                <w:lang w:val="ka-GE"/>
              </w:rPr>
              <w:footnoteReference w:id="3"/>
            </w:r>
            <w:r>
              <w:rPr>
                <w:rFonts w:ascii="Sylfaen" w:hAnsi="Sylfaen"/>
                <w:lang w:val="ka-GE"/>
              </w:rPr>
              <w:t xml:space="preserve"> ფარგლებში, ასაკის ნიშნით უთანასწორო მოპყრობასთან დაკავშირებით განხილულ არაერთ საქმეში</w:t>
            </w:r>
            <w:r w:rsidRPr="00C461F8">
              <w:rPr>
                <w:rFonts w:ascii="Sylfaen" w:hAnsi="Sylfaen" w:cs="Sylfaen"/>
                <w:color w:val="FF0000"/>
                <w:lang w:val="ka-GE"/>
              </w:rPr>
              <w:t xml:space="preserve"> </w:t>
            </w:r>
            <w:r>
              <w:rPr>
                <w:rFonts w:ascii="Sylfaen" w:hAnsi="Sylfaen"/>
                <w:lang w:val="ka-GE"/>
              </w:rPr>
              <w:t>გამოკვეთილ მსგავს პრობლემებსა და ტენდენციებზე.</w:t>
            </w:r>
          </w:p>
          <w:p w:rsidR="00F305B7" w:rsidRDefault="00F305B7" w:rsidP="000C7251">
            <w:pPr>
              <w:jc w:val="both"/>
              <w:rPr>
                <w:rFonts w:ascii="Sylfaen" w:hAnsi="Sylfaen" w:cs="Sylfaen"/>
                <w:lang w:val="ka-GE"/>
              </w:rPr>
            </w:pPr>
            <w:r w:rsidRPr="00F71A2A">
              <w:rPr>
                <w:rFonts w:ascii="Sylfaen" w:hAnsi="Sylfaen" w:cs="Sylfaen"/>
                <w:lang w:val="ka-GE"/>
              </w:rPr>
              <w:t xml:space="preserve">საქართველოს სახალხო დამცველმა ასაკის ნიშნით უთანასწორო მოპყრობასთან დაკავშირებით არაერთი განცხადება განიხილა და დისკრიმინაცია დაადგინა. მიუხედავად იმისა, რომ აღნიშნული განცხადებები სხვადასხვა სფეროში არსებულ სამართლებრივ ურთიერობებს უკავშირდება, ყველა საქმეზე დისკრიმინაციული მოპყრობა განპირობებული იყო ბლანკეტური მიდგომით. აღნიშნულს, საფუძვლად </w:t>
            </w:r>
            <w:r>
              <w:rPr>
                <w:rFonts w:ascii="Sylfaen" w:hAnsi="Sylfaen" w:cs="Sylfaen"/>
                <w:lang w:val="ka-GE"/>
              </w:rPr>
              <w:t>ედო</w:t>
            </w:r>
            <w:r w:rsidRPr="00F71A2A">
              <w:rPr>
                <w:rFonts w:ascii="Sylfaen" w:hAnsi="Sylfaen" w:cs="Sylfaen"/>
                <w:lang w:val="ka-GE"/>
              </w:rPr>
              <w:t xml:space="preserve"> ასაკთან დაკავშირებული სტერეოტიპული შეხედულებები, რაც თავის მხრივ ინდივიდუალურ მიდგომებს გამორიცხავს.</w:t>
            </w:r>
          </w:p>
          <w:p w:rsidR="00F305B7" w:rsidRPr="00E514D4" w:rsidRDefault="00F305B7" w:rsidP="000C7251">
            <w:pPr>
              <w:rPr>
                <w:rFonts w:ascii="Sylfaen" w:hAnsi="Sylfaen" w:cs="Sylfaen"/>
                <w:u w:val="single"/>
                <w:lang w:val="ka-GE"/>
              </w:rPr>
            </w:pPr>
            <w:r w:rsidRPr="00E514D4">
              <w:rPr>
                <w:rFonts w:ascii="Sylfaen" w:hAnsi="Sylfaen" w:cs="Sylfaen"/>
                <w:u w:val="single"/>
                <w:lang w:val="ka-GE"/>
              </w:rPr>
              <w:t>სახალხო დამცველის აპარატის მიერ განხილული განცხადებები:</w:t>
            </w:r>
          </w:p>
          <w:p w:rsidR="00F305B7" w:rsidRDefault="00F305B7" w:rsidP="000C7251">
            <w:pPr>
              <w:jc w:val="both"/>
              <w:rPr>
                <w:rFonts w:ascii="Sylfaen" w:hAnsi="Sylfaen"/>
                <w:lang w:val="ka-GE"/>
              </w:rPr>
            </w:pPr>
            <w:r>
              <w:rPr>
                <w:rFonts w:ascii="Sylfaen" w:hAnsi="Sylfaen" w:cs="Sylfaen"/>
                <w:lang w:val="ka-GE"/>
              </w:rPr>
              <w:t>აღსანიშნავია, რომ</w:t>
            </w:r>
            <w:r w:rsidRPr="0094484E">
              <w:rPr>
                <w:rFonts w:ascii="Sylfaen" w:hAnsi="Sylfaen" w:cs="Sylfaen"/>
                <w:lang w:val="ka-GE"/>
              </w:rPr>
              <w:t xml:space="preserve"> </w:t>
            </w:r>
            <w:r>
              <w:rPr>
                <w:rFonts w:ascii="Sylfaen" w:hAnsi="Sylfaen" w:cs="Sylfaen"/>
                <w:lang w:val="ka-GE"/>
              </w:rPr>
              <w:t xml:space="preserve">ზემოხსენებული </w:t>
            </w:r>
            <w:r w:rsidRPr="0094484E">
              <w:rPr>
                <w:rFonts w:ascii="Sylfaen" w:hAnsi="Sylfaen" w:cs="Sylfaen"/>
                <w:lang w:val="ka-GE"/>
              </w:rPr>
              <w:t xml:space="preserve">კონსტიტუციური </w:t>
            </w:r>
            <w:r>
              <w:rPr>
                <w:rFonts w:ascii="Sylfaen" w:hAnsi="Sylfaen" w:cs="Sylfaen"/>
                <w:lang w:val="ka-GE"/>
              </w:rPr>
              <w:t>სარჩელით</w:t>
            </w:r>
            <w:r w:rsidRPr="0094484E">
              <w:rPr>
                <w:rFonts w:ascii="Sylfaen" w:hAnsi="Sylfaen" w:cs="Sylfaen"/>
                <w:lang w:val="ka-GE"/>
              </w:rPr>
              <w:t xml:space="preserve"> </w:t>
            </w:r>
            <w:r>
              <w:rPr>
                <w:rFonts w:ascii="Sylfaen" w:hAnsi="Sylfaen" w:cs="Sylfaen"/>
                <w:lang w:val="ka-GE"/>
              </w:rPr>
              <w:t>სადავოდ გამხდარი წესის</w:t>
            </w:r>
            <w:r w:rsidRPr="0094484E">
              <w:rPr>
                <w:rFonts w:ascii="Sylfaen" w:hAnsi="Sylfaen" w:cs="Sylfaen"/>
                <w:lang w:val="ka-GE"/>
              </w:rPr>
              <w:t xml:space="preserve"> </w:t>
            </w:r>
            <w:r>
              <w:rPr>
                <w:rFonts w:ascii="Sylfaen" w:hAnsi="Sylfaen"/>
                <w:lang w:val="ka-GE"/>
              </w:rPr>
              <w:t>მსგავსი</w:t>
            </w:r>
            <w:r w:rsidRPr="0094484E">
              <w:rPr>
                <w:rFonts w:ascii="Sylfaen" w:hAnsi="Sylfaen"/>
                <w:lang w:val="ka-GE"/>
              </w:rPr>
              <w:t xml:space="preserve"> </w:t>
            </w:r>
            <w:r>
              <w:rPr>
                <w:rFonts w:ascii="Sylfaen" w:hAnsi="Sylfaen"/>
                <w:lang w:val="ka-GE"/>
              </w:rPr>
              <w:t>რეგულირება დადგენილია</w:t>
            </w:r>
            <w:r w:rsidRPr="0094484E">
              <w:rPr>
                <w:rFonts w:ascii="Sylfaen" w:hAnsi="Sylfaen"/>
                <w:lang w:val="ka-GE"/>
              </w:rPr>
              <w:t xml:space="preserve"> საქართველო</w:t>
            </w:r>
            <w:r w:rsidRPr="0094484E">
              <w:rPr>
                <w:rFonts w:ascii="Sylfaen" w:hAnsi="Sylfaen" w:cs="Sylfaen"/>
                <w:lang w:val="ka-GE"/>
              </w:rPr>
              <w:t>ს</w:t>
            </w:r>
            <w:r w:rsidRPr="0094484E">
              <w:rPr>
                <w:rFonts w:ascii="Sylfaen" w:hAnsi="Sylfaen"/>
                <w:lang w:val="ka-GE"/>
              </w:rPr>
              <w:t xml:space="preserve"> სასჯელაღსრულებისა და პრობაციის </w:t>
            </w:r>
            <w:r>
              <w:rPr>
                <w:rFonts w:ascii="Sylfaen" w:hAnsi="Sylfaen"/>
                <w:lang w:val="ka-GE"/>
              </w:rPr>
              <w:t>სამინისტროში დასაქმებულ კონკრეტულ პირთა წრის მიმართ.</w:t>
            </w:r>
            <w:r w:rsidRPr="0094484E">
              <w:rPr>
                <w:rFonts w:ascii="Sylfaen" w:hAnsi="Sylfaen"/>
                <w:lang w:val="ka-GE"/>
              </w:rPr>
              <w:t xml:space="preserve"> </w:t>
            </w:r>
            <w:r>
              <w:rPr>
                <w:rFonts w:ascii="Sylfaen" w:hAnsi="Sylfaen"/>
                <w:lang w:val="ka-GE"/>
              </w:rPr>
              <w:t>კერძოდ,</w:t>
            </w:r>
            <w:r w:rsidRPr="0094484E">
              <w:rPr>
                <w:rFonts w:ascii="Sylfaen" w:hAnsi="Sylfaen"/>
                <w:lang w:val="ka-GE"/>
              </w:rPr>
              <w:t xml:space="preserve"> „სპეციალური პენიტენციური სამსახურის შესახებ“ საქართველოს კანონი</w:t>
            </w:r>
            <w:r w:rsidRPr="0094484E">
              <w:rPr>
                <w:rFonts w:ascii="Sylfaen" w:hAnsi="Sylfaen" w:cs="Sylfaen"/>
                <w:lang w:val="ka-GE"/>
              </w:rPr>
              <w:t>ს</w:t>
            </w:r>
            <w:r w:rsidRPr="0094484E">
              <w:rPr>
                <w:rFonts w:ascii="Sylfaen" w:hAnsi="Sylfaen"/>
                <w:lang w:val="ka-GE"/>
              </w:rPr>
              <w:t xml:space="preserve"> 35-ე მუხლის პირველი პუნქტის საფუძველზე, მოსამსახურეს, რომელსა</w:t>
            </w:r>
            <w:r w:rsidRPr="0094484E">
              <w:rPr>
                <w:rFonts w:ascii="Sylfaen" w:hAnsi="Sylfaen" w:cs="Sylfaen"/>
                <w:lang w:val="ka-GE"/>
              </w:rPr>
              <w:t>ც</w:t>
            </w:r>
            <w:r w:rsidRPr="0094484E">
              <w:rPr>
                <w:rFonts w:ascii="Sylfaen" w:hAnsi="Sylfaen"/>
                <w:lang w:val="ka-GE"/>
              </w:rPr>
              <w:t xml:space="preserve"> უმცროსი სპეციალური წოდება აქვს, შეუძლია სამსახურში 60 წლის ჩათვლით იმსახუროს.</w:t>
            </w:r>
            <w:r>
              <w:rPr>
                <w:rFonts w:ascii="Sylfaen" w:hAnsi="Sylfaen"/>
                <w:lang w:val="ka-GE"/>
              </w:rPr>
              <w:t xml:space="preserve"> </w:t>
            </w:r>
            <w:r w:rsidRPr="0061691A">
              <w:rPr>
                <w:rFonts w:ascii="Sylfaen" w:hAnsi="Sylfaen"/>
                <w:lang w:val="ka-GE"/>
              </w:rPr>
              <w:t xml:space="preserve">სახალხო </w:t>
            </w:r>
            <w:r w:rsidRPr="0061691A">
              <w:rPr>
                <w:rFonts w:ascii="Sylfaen" w:hAnsi="Sylfaen"/>
                <w:lang w:val="ka-GE"/>
              </w:rPr>
              <w:lastRenderedPageBreak/>
              <w:t>დამცველის აპარატმა შეისწავლა</w:t>
            </w:r>
            <w:r>
              <w:rPr>
                <w:rFonts w:ascii="Sylfaen" w:hAnsi="Sylfaen"/>
                <w:lang w:val="ka-GE"/>
              </w:rPr>
              <w:t xml:space="preserve"> აღნიშნულ საკითხზე მოქალაქის განცხადება</w:t>
            </w:r>
            <w:r w:rsidRPr="0061691A">
              <w:rPr>
                <w:rFonts w:ascii="Sylfaen" w:hAnsi="Sylfaen"/>
                <w:lang w:val="ka-GE"/>
              </w:rPr>
              <w:t xml:space="preserve">, </w:t>
            </w:r>
            <w:r>
              <w:rPr>
                <w:rFonts w:ascii="Sylfaen" w:hAnsi="Sylfaen"/>
                <w:lang w:val="ka-GE"/>
              </w:rPr>
              <w:t>რომელიც</w:t>
            </w:r>
            <w:r w:rsidRPr="002B4691">
              <w:rPr>
                <w:rFonts w:ascii="Sylfaen" w:hAnsi="Sylfaen"/>
                <w:lang w:val="ka-GE"/>
              </w:rPr>
              <w:t xml:space="preserve"> მუშაობდა საქართველოს სასჯელაღსრულებისა და პრობაციის სამინისტროს პენიტენციური დეპარტამენტის გარე დაცვისა და ბადრაგირების სამმართველოს N15 განყოფილების ინსპექტორი</w:t>
            </w:r>
            <w:r w:rsidRPr="00675EF8">
              <w:rPr>
                <w:rFonts w:ascii="Sylfaen" w:hAnsi="Sylfaen"/>
                <w:lang w:val="ka-GE"/>
              </w:rPr>
              <w:t xml:space="preserve"> იუსტიციის ზემდეგის პოზიციაზე</w:t>
            </w:r>
            <w:r>
              <w:rPr>
                <w:rFonts w:ascii="Sylfaen" w:hAnsi="Sylfaen"/>
                <w:lang w:val="ka-GE"/>
              </w:rPr>
              <w:t xml:space="preserve"> და იგი </w:t>
            </w:r>
            <w:r w:rsidRPr="002B4691">
              <w:rPr>
                <w:rFonts w:ascii="Sylfaen" w:hAnsi="Sylfaen"/>
                <w:lang w:val="ka-GE"/>
              </w:rPr>
              <w:t xml:space="preserve">სამსახურიდან </w:t>
            </w:r>
            <w:r>
              <w:rPr>
                <w:rFonts w:ascii="Sylfaen" w:hAnsi="Sylfaen"/>
                <w:lang w:val="ka-GE"/>
              </w:rPr>
              <w:t>გათავისუფლდა</w:t>
            </w:r>
            <w:r w:rsidRPr="002B4691">
              <w:rPr>
                <w:rFonts w:ascii="Sylfaen" w:hAnsi="Sylfaen"/>
                <w:lang w:val="ka-GE"/>
              </w:rPr>
              <w:t xml:space="preserve"> ზღვრული ასაკის მიღწევის </w:t>
            </w:r>
            <w:r>
              <w:rPr>
                <w:rFonts w:ascii="Sylfaen" w:hAnsi="Sylfaen"/>
                <w:lang w:val="ka-GE"/>
              </w:rPr>
              <w:t>გამო</w:t>
            </w:r>
            <w:r w:rsidRPr="002B4691">
              <w:rPr>
                <w:rFonts w:ascii="Sylfaen" w:hAnsi="Sylfaen"/>
                <w:lang w:val="ka-GE"/>
              </w:rPr>
              <w:t>.</w:t>
            </w:r>
          </w:p>
          <w:p w:rsidR="00F305B7" w:rsidRDefault="00F305B7" w:rsidP="000C7251">
            <w:pPr>
              <w:jc w:val="both"/>
              <w:rPr>
                <w:rFonts w:ascii="Sylfaen" w:hAnsi="Sylfaen"/>
                <w:lang w:val="ka-GE"/>
              </w:rPr>
            </w:pPr>
            <w:r w:rsidRPr="0061691A">
              <w:rPr>
                <w:rFonts w:ascii="Sylfaen" w:hAnsi="Sylfaen"/>
                <w:lang w:val="ka-GE"/>
              </w:rPr>
              <w:t>სპეციალური პენიტენციური სამსახურის</w:t>
            </w:r>
            <w:r>
              <w:rPr>
                <w:rFonts w:ascii="Sylfaen" w:hAnsi="Sylfaen"/>
                <w:lang w:val="ka-GE"/>
              </w:rPr>
              <w:t xml:space="preserve"> მიერ წარმოდგენილი</w:t>
            </w:r>
            <w:r w:rsidRPr="0061691A">
              <w:rPr>
                <w:rFonts w:ascii="Sylfaen" w:hAnsi="Sylfaen"/>
                <w:lang w:val="ka-GE"/>
              </w:rPr>
              <w:t xml:space="preserve"> განმარტებით</w:t>
            </w:r>
            <w:r>
              <w:rPr>
                <w:rFonts w:ascii="Sylfaen" w:hAnsi="Sylfaen"/>
                <w:lang w:val="ka-GE"/>
              </w:rPr>
              <w:t>,</w:t>
            </w:r>
            <w:r w:rsidRPr="0061691A">
              <w:rPr>
                <w:rFonts w:ascii="Sylfaen" w:hAnsi="Sylfaen"/>
                <w:lang w:val="ka-GE"/>
              </w:rPr>
              <w:t xml:space="preserve"> </w:t>
            </w:r>
            <w:r>
              <w:rPr>
                <w:rFonts w:ascii="Sylfaen" w:hAnsi="Sylfaen"/>
                <w:lang w:val="ka-GE"/>
              </w:rPr>
              <w:t>ნორმა, რომელიც საფუძვლად დაედო განმცხადებლის გათავისუფლებას,</w:t>
            </w:r>
            <w:r w:rsidRPr="0061691A">
              <w:rPr>
                <w:rFonts w:ascii="Sylfaen" w:hAnsi="Sylfaen"/>
                <w:lang w:val="ka-GE"/>
              </w:rPr>
              <w:t xml:space="preserve"> ემსახურება სპეციალური პენიტენციური სამსახურის ეფექტური ფუნქციონირების საჯარო </w:t>
            </w:r>
            <w:r>
              <w:rPr>
                <w:rFonts w:ascii="Sylfaen" w:hAnsi="Sylfaen"/>
                <w:lang w:val="ka-GE"/>
              </w:rPr>
              <w:t>ინტერესს.</w:t>
            </w:r>
            <w:r w:rsidRPr="0061691A">
              <w:rPr>
                <w:rFonts w:ascii="Sylfaen" w:hAnsi="Sylfaen"/>
                <w:lang w:val="ka-GE"/>
              </w:rPr>
              <w:t xml:space="preserve"> </w:t>
            </w:r>
          </w:p>
          <w:p w:rsidR="00F305B7" w:rsidRDefault="00F305B7" w:rsidP="000C7251">
            <w:pPr>
              <w:jc w:val="both"/>
              <w:rPr>
                <w:rFonts w:ascii="Sylfaen" w:hAnsi="Sylfaen"/>
                <w:lang w:val="ka-GE"/>
              </w:rPr>
            </w:pPr>
            <w:r>
              <w:rPr>
                <w:rFonts w:ascii="Sylfaen" w:hAnsi="Sylfaen"/>
                <w:lang w:val="ka-GE"/>
              </w:rPr>
              <w:t xml:space="preserve">უნდა </w:t>
            </w:r>
            <w:r w:rsidRPr="0061691A">
              <w:rPr>
                <w:rFonts w:ascii="Sylfaen" w:hAnsi="Sylfaen"/>
                <w:lang w:val="ka-GE"/>
              </w:rPr>
              <w:t>აღინიშნ</w:t>
            </w:r>
            <w:r>
              <w:rPr>
                <w:rFonts w:ascii="Sylfaen" w:hAnsi="Sylfaen"/>
                <w:lang w:val="ka-GE"/>
              </w:rPr>
              <w:t>ოს</w:t>
            </w:r>
            <w:r w:rsidRPr="0061691A">
              <w:rPr>
                <w:rFonts w:ascii="Sylfaen" w:hAnsi="Sylfaen"/>
                <w:lang w:val="ka-GE"/>
              </w:rPr>
              <w:t>,</w:t>
            </w:r>
            <w:r>
              <w:rPr>
                <w:rFonts w:ascii="Sylfaen" w:hAnsi="Sylfaen"/>
                <w:lang w:val="ka-GE"/>
              </w:rPr>
              <w:t xml:space="preserve"> რომ</w:t>
            </w:r>
            <w:r w:rsidRPr="0061691A">
              <w:rPr>
                <w:rFonts w:ascii="Sylfaen" w:hAnsi="Sylfaen"/>
                <w:lang w:val="ka-GE"/>
              </w:rPr>
              <w:t xml:space="preserve"> ასაკის მატება ზეგავლენას ახდენს ადამიანის შრომით უნარებზე, განსაკუთრებით მის ფიზიკურ შესაძლებლობებზე. შესაბამისად, ასაკის მატებასთან ერთად, ზოგიერთი საქმიანობის განხორციელება რთულდება, გარკვეულ შემთხვევებში კი შეუძლებელიც ხდება.  ბუნებრივია, არსებობს ინტერესი, რომ ესა თუ ის სახელმწიფო ფუნქცია სათანადოდ განხორციელდეს. აღნიშნული მიზნის მისაღწევად, ზოგიერთ შემთხვევაში, შესაძლებელია, გონივრული იყოს გარკვეული პროფესიული საქმიანობის განხორციელებისა თუ თანამდებობის დაკავების შესაძლებლობის ასაკით შემოფარგვლა. </w:t>
            </w:r>
            <w:r>
              <w:rPr>
                <w:rFonts w:ascii="Sylfaen" w:hAnsi="Sylfaen"/>
                <w:lang w:val="ka-GE"/>
              </w:rPr>
              <w:t xml:space="preserve">თუმცა, </w:t>
            </w:r>
            <w:r w:rsidRPr="0061691A">
              <w:rPr>
                <w:rFonts w:ascii="Sylfaen" w:hAnsi="Sylfaen"/>
                <w:lang w:val="ka-GE"/>
              </w:rPr>
              <w:t xml:space="preserve">ამა თუ იმ დაწესებულების ეფექტური ფუნქციონირების ხელშეწყობასთან ერთად, ასევე მნიშვნელოვანია საზოგადოების მოწყვლადი ჯგუფების, მათ შორის, ასაკოვანი პირების დაცვა დისკრიმინაციისა და </w:t>
            </w:r>
            <w:proofErr w:type="spellStart"/>
            <w:r w:rsidRPr="0061691A">
              <w:rPr>
                <w:rFonts w:ascii="Sylfaen" w:hAnsi="Sylfaen"/>
                <w:lang w:val="ka-GE"/>
              </w:rPr>
              <w:t>სტიგმატიზებისგან</w:t>
            </w:r>
            <w:proofErr w:type="spellEnd"/>
            <w:r w:rsidRPr="0061691A">
              <w:rPr>
                <w:rFonts w:ascii="Sylfaen" w:hAnsi="Sylfaen"/>
                <w:lang w:val="ka-GE"/>
              </w:rPr>
              <w:t xml:space="preserve">. </w:t>
            </w:r>
            <w:r w:rsidRPr="0061691A">
              <w:rPr>
                <w:rFonts w:ascii="Sylfaen" w:hAnsi="Sylfaen"/>
                <w:b/>
                <w:lang w:val="ka-GE"/>
              </w:rPr>
              <w:t xml:space="preserve">ის ფაქტი, რომ ზოგადად ასაკის მატების თანმდევი შედეგია ადამიანის ფიზიკური ამტანობის შესუსტება და გარკვეული უნარების დაქვეითება, თავისთავად ვერ გახდება ასაკთან დაკავშირებული ნებისმიერი ბლანკეტური  შეზღუდვის დაწესების თვითკმარი საფუძველი. </w:t>
            </w:r>
            <w:r w:rsidRPr="0061691A">
              <w:rPr>
                <w:rFonts w:ascii="Sylfaen" w:hAnsi="Sylfaen"/>
                <w:lang w:val="ka-GE"/>
              </w:rPr>
              <w:t>ამგვარი მიდგომა გაუმართლებლად ფართო სივრცეს დატოვებდა ასაკის ნიშნით ადამიანების დიფერენცირებისთვის, რაც, შესაძლოა, რიგ შემთხვევებში არ იყოს განპირობებული რაციონალური და ობიექტური საჭიროებით და, შედეგად, მოახდინოს გარკვეულ ზღვრულ ასაკს მიღწეული ადამიანების თვითმიზნური დისკრიმინაცია. შესაბამისად, კანონმდებელმა ხსენებული ურთიერთობები იმგვარად უნდა დაარეგულიროს, რომ დაცული იყოს გონივრული ბალანსი ასაკოვან თანამდებობის პირთა უფლებებსა და კონკრეტული პოზიციის მახასიათებლებით განპირობებულ საჯარო ინტერესებს შორის.</w:t>
            </w:r>
            <w:r w:rsidRPr="0061691A">
              <w:rPr>
                <w:rStyle w:val="FootnoteReference"/>
                <w:rFonts w:ascii="Sylfaen" w:hAnsi="Sylfaen"/>
                <w:lang w:val="ka-GE"/>
              </w:rPr>
              <w:footnoteReference w:id="4"/>
            </w:r>
            <w:r w:rsidRPr="0061691A">
              <w:rPr>
                <w:rFonts w:ascii="Sylfaen" w:hAnsi="Sylfaen"/>
                <w:lang w:val="ka-GE"/>
              </w:rPr>
              <w:t xml:space="preserve"> </w:t>
            </w:r>
          </w:p>
          <w:p w:rsidR="00F305B7" w:rsidRDefault="00F305B7" w:rsidP="000C7251">
            <w:pPr>
              <w:jc w:val="both"/>
              <w:rPr>
                <w:rFonts w:ascii="Sylfaen" w:hAnsi="Sylfaen"/>
                <w:lang w:val="ka-GE"/>
              </w:rPr>
            </w:pPr>
            <w:r>
              <w:rPr>
                <w:rFonts w:ascii="Sylfaen" w:hAnsi="Sylfaen" w:cs="Sylfaen"/>
                <w:lang w:val="ka-GE"/>
              </w:rPr>
              <w:t xml:space="preserve">სახალხო დამცველი ხსენებულ წესთან დაკავშირებით მიიჩნევს, რომ </w:t>
            </w:r>
            <w:r w:rsidRPr="0061691A">
              <w:rPr>
                <w:rFonts w:ascii="Sylfaen" w:hAnsi="Sylfaen"/>
                <w:lang w:val="ka-GE"/>
              </w:rPr>
              <w:t>ადამიანის ფიზიკური უნარები ინდივიდუალურია და, 60 წლის ასაკს მიღწეულ პირებს შორის, შესაძლოა, მართლაც იყვნენ ისეთი ადამიანები, რომელთა ჯანმრთელობის მდგომარეობა და ფიზიკური მონაცემები არ შეესატყვისება უმცროსი სპეციალური წოდების მქონე მოსამსახურის ფუნქციებს. თუმცა, ფიზიკური მონაცემების დაქვეითება და ჯანმრთელობის გაუარესება არ არის 60 წლის ასაკ</w:t>
            </w:r>
            <w:r>
              <w:rPr>
                <w:rFonts w:ascii="Sylfaen" w:hAnsi="Sylfaen"/>
                <w:lang w:val="ka-GE"/>
              </w:rPr>
              <w:t>ი</w:t>
            </w:r>
            <w:r w:rsidRPr="0061691A">
              <w:rPr>
                <w:rFonts w:ascii="Sylfaen" w:hAnsi="Sylfaen"/>
                <w:lang w:val="ka-GE"/>
              </w:rPr>
              <w:t>ს მიღწევით გამოწვეული და პირდაპირ არ უკავშირდება ამ ასაკობრივ ჯგუფში მოხვედრას. შესაბამისად, ამ ასაკობრივი ზღვრის დაწესება არ არის ასაკიდან გამომდინარე ფიზიკური მონაცემების დაქვეითებისა თუ ჯანმრთელობის გაუარესების განსაზღვრის რაციონალური კრიტერიუმი.</w:t>
            </w:r>
          </w:p>
          <w:p w:rsidR="00F305B7" w:rsidRPr="002B4691" w:rsidRDefault="00F305B7" w:rsidP="000C7251">
            <w:pPr>
              <w:jc w:val="both"/>
              <w:rPr>
                <w:rFonts w:ascii="Sylfaen" w:hAnsi="Sylfaen"/>
                <w:lang w:val="ka-GE"/>
              </w:rPr>
            </w:pPr>
            <w:r>
              <w:rPr>
                <w:rFonts w:ascii="Sylfaen" w:hAnsi="Sylfaen"/>
                <w:lang w:val="ka-GE"/>
              </w:rPr>
              <w:t>სახალხო დამცველის პოზიციით, ამგვარი</w:t>
            </w:r>
            <w:r w:rsidRPr="0061691A">
              <w:rPr>
                <w:rFonts w:ascii="Sylfaen" w:hAnsi="Sylfaen"/>
                <w:lang w:val="ka-GE"/>
              </w:rPr>
              <w:t xml:space="preserve"> ბლანკეტური შეზღუდვა </w:t>
            </w:r>
            <w:r>
              <w:rPr>
                <w:rFonts w:ascii="Sylfaen" w:hAnsi="Sylfaen"/>
                <w:lang w:val="ka-GE"/>
              </w:rPr>
              <w:t>არ წარმოადგენს</w:t>
            </w:r>
            <w:r w:rsidRPr="0061691A">
              <w:rPr>
                <w:rFonts w:ascii="Sylfaen" w:hAnsi="Sylfaen"/>
                <w:lang w:val="ka-GE"/>
              </w:rPr>
              <w:t xml:space="preserve"> </w:t>
            </w:r>
            <w:r>
              <w:rPr>
                <w:rFonts w:ascii="Sylfaen" w:hAnsi="Sylfaen"/>
                <w:lang w:val="ka-GE"/>
              </w:rPr>
              <w:t>ლეგიტი</w:t>
            </w:r>
            <w:r w:rsidRPr="0061691A">
              <w:rPr>
                <w:rFonts w:ascii="Sylfaen" w:hAnsi="Sylfaen"/>
                <w:lang w:val="ka-GE"/>
              </w:rPr>
              <w:t>მური მიზნის მიღწევის თანაზომიერ საშუალებას, რადგან ნორმა თავისთავად გამორიცხავს განსხვავებული შემთხვევის არსებობის შესაძლებლობას და უმცროსი წოდების მქონე მოსამსახურე ზღვრული ასაკის მიღწევისთანავე კარგა</w:t>
            </w:r>
            <w:r>
              <w:rPr>
                <w:rFonts w:ascii="Sylfaen" w:hAnsi="Sylfaen"/>
                <w:lang w:val="ka-GE"/>
              </w:rPr>
              <w:t>ვს</w:t>
            </w:r>
            <w:r w:rsidRPr="0061691A">
              <w:rPr>
                <w:rFonts w:ascii="Sylfaen" w:hAnsi="Sylfaen"/>
                <w:lang w:val="ka-GE"/>
              </w:rPr>
              <w:t xml:space="preserve"> სამსახურს</w:t>
            </w:r>
            <w:r>
              <w:rPr>
                <w:rFonts w:ascii="Sylfaen" w:hAnsi="Sylfaen"/>
                <w:lang w:val="ka-GE"/>
              </w:rPr>
              <w:t xml:space="preserve">. შესაბამისად, ამგვარი შეზღუდვა </w:t>
            </w:r>
            <w:r w:rsidRPr="0061691A">
              <w:rPr>
                <w:rFonts w:ascii="Sylfaen" w:hAnsi="Sylfaen"/>
                <w:lang w:val="ka-GE"/>
              </w:rPr>
              <w:t xml:space="preserve">არ </w:t>
            </w:r>
            <w:r>
              <w:rPr>
                <w:rFonts w:ascii="Sylfaen" w:hAnsi="Sylfaen"/>
                <w:lang w:val="ka-GE"/>
              </w:rPr>
              <w:t>არის</w:t>
            </w:r>
            <w:r w:rsidRPr="0061691A">
              <w:rPr>
                <w:rFonts w:ascii="Sylfaen" w:hAnsi="Sylfaen"/>
                <w:lang w:val="ka-GE"/>
              </w:rPr>
              <w:t xml:space="preserve"> ლეგიტიმური მიზნის მიღწევის გამოსადეგ</w:t>
            </w:r>
            <w:r>
              <w:rPr>
                <w:rFonts w:ascii="Sylfaen" w:hAnsi="Sylfaen"/>
                <w:lang w:val="ka-GE"/>
              </w:rPr>
              <w:t>ი</w:t>
            </w:r>
            <w:r w:rsidRPr="0061691A">
              <w:rPr>
                <w:rFonts w:ascii="Sylfaen" w:hAnsi="Sylfaen"/>
                <w:lang w:val="ka-GE"/>
              </w:rPr>
              <w:t xml:space="preserve"> და რაციონალურ</w:t>
            </w:r>
            <w:r>
              <w:rPr>
                <w:rFonts w:ascii="Sylfaen" w:hAnsi="Sylfaen"/>
                <w:lang w:val="ka-GE"/>
              </w:rPr>
              <w:t>ი</w:t>
            </w:r>
            <w:r w:rsidRPr="0061691A">
              <w:rPr>
                <w:rFonts w:ascii="Sylfaen" w:hAnsi="Sylfaen"/>
                <w:lang w:val="ka-GE"/>
              </w:rPr>
              <w:t xml:space="preserve"> </w:t>
            </w:r>
            <w:r>
              <w:rPr>
                <w:rFonts w:ascii="Sylfaen" w:hAnsi="Sylfaen"/>
                <w:lang w:val="ka-GE"/>
              </w:rPr>
              <w:t>საშუალება</w:t>
            </w:r>
            <w:r w:rsidRPr="0061691A">
              <w:rPr>
                <w:rFonts w:ascii="Sylfaen" w:hAnsi="Sylfaen"/>
                <w:lang w:val="ka-GE"/>
              </w:rPr>
              <w:t xml:space="preserve">. </w:t>
            </w:r>
            <w:r>
              <w:rPr>
                <w:rFonts w:ascii="Sylfaen" w:hAnsi="Sylfaen"/>
                <w:lang w:val="ka-GE"/>
              </w:rPr>
              <w:t>(აღსანიშნავია, რომ სახალხო დამცველმა კონსტიტუციური სარჩელით მიმართა საკონსტიტუციო სასამართლოს ხსენებული ნორმის არაკონსტიტუციურად ცნობის მოთხოვნით)</w:t>
            </w:r>
            <w:r w:rsidRPr="0061691A">
              <w:rPr>
                <w:rFonts w:ascii="Sylfaen" w:hAnsi="Sylfaen"/>
                <w:lang w:val="ka-GE"/>
              </w:rPr>
              <w:t xml:space="preserve">. </w:t>
            </w:r>
          </w:p>
          <w:p w:rsidR="00F305B7" w:rsidRPr="00F71A2A" w:rsidRDefault="00F305B7" w:rsidP="000C7251">
            <w:pPr>
              <w:jc w:val="both"/>
              <w:rPr>
                <w:rFonts w:ascii="Sylfaen" w:hAnsi="Sylfaen"/>
                <w:lang w:val="ka-GE"/>
              </w:rPr>
            </w:pPr>
            <w:r>
              <w:rPr>
                <w:rFonts w:ascii="Sylfaen" w:hAnsi="Sylfaen" w:cs="Sylfaen"/>
                <w:lang w:val="ka-GE"/>
              </w:rPr>
              <w:lastRenderedPageBreak/>
              <w:t xml:space="preserve">სახალხო დამცველმა ზღვრული ასაკის დადგენა ბლანკეტურად და დისკრიმინაციულად მიიჩნია ასევე, </w:t>
            </w:r>
            <w:r w:rsidRPr="00B2359B">
              <w:rPr>
                <w:rFonts w:ascii="Sylfaen" w:hAnsi="Sylfaen" w:cs="Sylfaen"/>
                <w:lang w:val="ka-GE"/>
              </w:rPr>
              <w:t>ხანდაზმულთა სოციალური</w:t>
            </w:r>
            <w:r>
              <w:rPr>
                <w:rFonts w:ascii="Sylfaen" w:hAnsi="Sylfaen" w:cs="Sylfaen"/>
                <w:lang w:val="ka-GE"/>
              </w:rPr>
              <w:t xml:space="preserve"> </w:t>
            </w:r>
            <w:r w:rsidRPr="00B2359B">
              <w:rPr>
                <w:rFonts w:ascii="Sylfaen" w:hAnsi="Sylfaen" w:cs="Sylfaen"/>
                <w:lang w:val="ka-GE"/>
              </w:rPr>
              <w:t>უსაფრთხოების დაცვის მიმართულებით</w:t>
            </w:r>
            <w:r>
              <w:rPr>
                <w:rFonts w:ascii="Sylfaen" w:hAnsi="Sylfaen" w:cs="Sylfaen"/>
                <w:lang w:val="ka-GE"/>
              </w:rPr>
              <w:t xml:space="preserve"> განხილულ საქმეზე.</w:t>
            </w:r>
            <w:r w:rsidRPr="00F71A2A">
              <w:rPr>
                <w:rFonts w:ascii="Sylfaen" w:hAnsi="Sylfaen" w:cs="Sylfaen"/>
                <w:lang w:val="ka-GE"/>
              </w:rPr>
              <w:t xml:space="preserve"> </w:t>
            </w:r>
            <w:r>
              <w:rPr>
                <w:rFonts w:ascii="Sylfaen" w:hAnsi="Sylfaen" w:cs="Sylfaen"/>
                <w:lang w:val="ka-GE"/>
              </w:rPr>
              <w:t xml:space="preserve">განცხადება </w:t>
            </w:r>
            <w:r w:rsidRPr="00F71A2A">
              <w:rPr>
                <w:rFonts w:ascii="Sylfaen" w:hAnsi="Sylfaen" w:cs="Sylfaen"/>
                <w:lang w:val="ka-GE"/>
              </w:rPr>
              <w:t xml:space="preserve">შეეხებოდა </w:t>
            </w:r>
            <w:r w:rsidRPr="00B93721">
              <w:rPr>
                <w:rFonts w:ascii="Sylfaen" w:hAnsi="Sylfaen"/>
                <w:lang w:val="ka-GE"/>
              </w:rPr>
              <w:t>70 წელზე მეტი ასაკის ადამიანებისთვის სამოგზაურო დაზღვევაზე ხელმისაწვდომობის შეზღუდვას.</w:t>
            </w:r>
            <w:r w:rsidRPr="00B93721">
              <w:rPr>
                <w:rStyle w:val="FootnoteReference"/>
                <w:rFonts w:ascii="Sylfaen" w:hAnsi="Sylfaen"/>
                <w:lang w:val="ka-GE"/>
              </w:rPr>
              <w:footnoteReference w:id="5"/>
            </w:r>
            <w:r>
              <w:rPr>
                <w:rFonts w:ascii="Sylfaen" w:hAnsi="Sylfaen"/>
                <w:lang w:val="ka-GE"/>
              </w:rPr>
              <w:t xml:space="preserve"> </w:t>
            </w:r>
            <w:r w:rsidRPr="00F71A2A">
              <w:rPr>
                <w:rFonts w:ascii="Sylfaen" w:hAnsi="Sylfaen"/>
                <w:lang w:val="ka-GE"/>
              </w:rPr>
              <w:t>კერძოდ, ერთ-ერთი სადაზღვევო კომპანიის სამოგზაურო დაზღვევასთან დაკავშირებული პოლიტიკა, გარდა იმისა, რომ ბუნდოვნად აყალიბებდა ხანდაზმულთა დაზღვევის შესაძლებლობას, პრაქტიკაში, საერთოდ გამორიცხავდა 70 წელს ზემოთ ასაკის ადამიანების სამოგზაურო დაზღვევით უზრუნველყოფას. განმცხადებლის მოსაზრებით, სამოგზაურ</w:t>
            </w:r>
            <w:r w:rsidRPr="00F71A2A">
              <w:rPr>
                <w:rFonts w:ascii="Sylfaen" w:hAnsi="Sylfaen" w:cs="Sylfaen"/>
                <w:lang w:val="ka-GE"/>
              </w:rPr>
              <w:t>ო</w:t>
            </w:r>
            <w:r w:rsidRPr="00F71A2A">
              <w:rPr>
                <w:rFonts w:ascii="Sylfaen" w:hAnsi="Sylfaen"/>
                <w:lang w:val="ka-GE"/>
              </w:rPr>
              <w:t xml:space="preserve"> დაზღვევის პოლიტიკით დადგენილი პირობების შედეგად, ხანდაზმული ადამიანები იძულებულნი იყვნენ უარი ეთქვათ აქტიურ ცხოვრებაზე და მოგზაურობაზე. მისი განმარტებით, ამგვარ</w:t>
            </w:r>
            <w:r w:rsidRPr="00F71A2A">
              <w:rPr>
                <w:rFonts w:ascii="Sylfaen" w:hAnsi="Sylfaen" w:cs="Sylfaen"/>
                <w:lang w:val="ka-GE"/>
              </w:rPr>
              <w:t>ი</w:t>
            </w:r>
            <w:r w:rsidRPr="00F71A2A">
              <w:rPr>
                <w:rFonts w:ascii="Sylfaen" w:hAnsi="Sylfaen"/>
                <w:lang w:val="ka-GE"/>
              </w:rPr>
              <w:t xml:space="preserve"> დამოკიდებულება ხანდაზმულ ადამიანებს უზღუდავდა შესაძლებლობას, თავი საზოგადოები</w:t>
            </w:r>
            <w:r w:rsidRPr="00F71A2A">
              <w:rPr>
                <w:rFonts w:ascii="Sylfaen" w:hAnsi="Sylfaen" w:cs="Sylfaen"/>
                <w:lang w:val="ka-GE"/>
              </w:rPr>
              <w:t>ს</w:t>
            </w:r>
            <w:r w:rsidRPr="00F71A2A">
              <w:rPr>
                <w:rFonts w:ascii="Sylfaen" w:hAnsi="Sylfaen"/>
                <w:lang w:val="ka-GE"/>
              </w:rPr>
              <w:t xml:space="preserve"> სრულფასოვან წევრებად ეგრძნოთ.</w:t>
            </w:r>
          </w:p>
          <w:p w:rsidR="00F305B7" w:rsidRPr="00F71A2A" w:rsidRDefault="00F305B7" w:rsidP="000C7251">
            <w:pPr>
              <w:jc w:val="both"/>
              <w:rPr>
                <w:rFonts w:ascii="Sylfaen" w:hAnsi="Sylfaen"/>
                <w:lang w:val="ka-GE"/>
              </w:rPr>
            </w:pPr>
            <w:r w:rsidRPr="00F71A2A">
              <w:rPr>
                <w:rFonts w:ascii="Sylfaen" w:hAnsi="Sylfaen"/>
                <w:lang w:val="ka-GE"/>
              </w:rPr>
              <w:t xml:space="preserve">მიზეზი, </w:t>
            </w:r>
            <w:r>
              <w:rPr>
                <w:rFonts w:ascii="Sylfaen" w:hAnsi="Sylfaen"/>
                <w:lang w:val="ka-GE"/>
              </w:rPr>
              <w:t>ამგვარი სადაზღვეო პოლიტიკის შემუშავების</w:t>
            </w:r>
            <w:r w:rsidRPr="00F71A2A">
              <w:rPr>
                <w:rFonts w:ascii="Sylfaen" w:hAnsi="Sylfaen"/>
                <w:lang w:val="ka-GE"/>
              </w:rPr>
              <w:t xml:space="preserve">, ნაწილობრივ შეიძლება აიხსნას იმით, რომ </w:t>
            </w:r>
            <w:r>
              <w:rPr>
                <w:rFonts w:ascii="Sylfaen" w:hAnsi="Sylfaen"/>
                <w:lang w:val="ka-GE"/>
              </w:rPr>
              <w:t>კომპანიები</w:t>
            </w:r>
            <w:r w:rsidRPr="00F71A2A">
              <w:rPr>
                <w:rFonts w:ascii="Sylfaen" w:hAnsi="Sylfaen"/>
                <w:lang w:val="ka-GE"/>
              </w:rPr>
              <w:t xml:space="preserve"> სეგმენტაციის ტექნიკას იყენებენ, რაც ავტომატურად დისკრიმინაციას არ ნიშნავს, თუკ</w:t>
            </w:r>
            <w:r w:rsidRPr="00F71A2A">
              <w:rPr>
                <w:rFonts w:ascii="Sylfaen" w:hAnsi="Sylfaen" w:cs="Sylfaen"/>
                <w:lang w:val="ka-GE"/>
              </w:rPr>
              <w:t>ი</w:t>
            </w:r>
            <w:r w:rsidRPr="00F71A2A">
              <w:rPr>
                <w:rFonts w:ascii="Sylfaen" w:hAnsi="Sylfaen"/>
                <w:lang w:val="ka-GE"/>
              </w:rPr>
              <w:t xml:space="preserve"> მზღვეველს მისი დასაბუთება შეუძლია.</w:t>
            </w:r>
          </w:p>
          <w:p w:rsidR="00F305B7" w:rsidRPr="00F71A2A" w:rsidRDefault="00F305B7" w:rsidP="000C7251">
            <w:pPr>
              <w:spacing w:after="100"/>
              <w:rPr>
                <w:rFonts w:ascii="Sylfaen" w:hAnsi="Sylfaen"/>
                <w:lang w:val="ka-GE"/>
              </w:rPr>
            </w:pPr>
            <w:r w:rsidRPr="00F71A2A">
              <w:rPr>
                <w:rFonts w:ascii="Sylfaen" w:hAnsi="Sylfaen"/>
                <w:lang w:val="ka-GE"/>
              </w:rPr>
              <w:t>სეგმენტაციის ტექნიკის გამოყენების დროს:</w:t>
            </w:r>
          </w:p>
          <w:p w:rsidR="00F305B7" w:rsidRPr="00F71A2A" w:rsidRDefault="00F305B7" w:rsidP="00F305B7">
            <w:pPr>
              <w:pStyle w:val="ListParagraph"/>
              <w:numPr>
                <w:ilvl w:val="0"/>
                <w:numId w:val="1"/>
              </w:numPr>
              <w:spacing w:after="160"/>
              <w:jc w:val="both"/>
              <w:rPr>
                <w:rFonts w:ascii="Sylfaen" w:hAnsi="Sylfaen"/>
                <w:lang w:val="ka-GE"/>
              </w:rPr>
            </w:pPr>
            <w:r w:rsidRPr="00F71A2A">
              <w:rPr>
                <w:rFonts w:ascii="Sylfaen" w:hAnsi="Sylfaen"/>
                <w:lang w:val="ka-GE"/>
              </w:rPr>
              <w:t>უნდა არსებობდეს ზუსტი, ახალი და რელევანტური მონაცემები, რომლებიც დაადასტურებს, რომ ასაკი მომატებულ რისკთან არის დაკავშირებული;</w:t>
            </w:r>
          </w:p>
          <w:p w:rsidR="00F305B7" w:rsidRPr="00F71A2A" w:rsidRDefault="00F305B7" w:rsidP="00F305B7">
            <w:pPr>
              <w:pStyle w:val="ListParagraph"/>
              <w:numPr>
                <w:ilvl w:val="0"/>
                <w:numId w:val="1"/>
              </w:numPr>
              <w:spacing w:after="160"/>
              <w:jc w:val="both"/>
              <w:rPr>
                <w:rFonts w:ascii="Sylfaen" w:hAnsi="Sylfaen"/>
                <w:lang w:val="ka-GE"/>
              </w:rPr>
            </w:pPr>
            <w:r w:rsidRPr="00F71A2A">
              <w:rPr>
                <w:rFonts w:ascii="Sylfaen" w:hAnsi="Sylfaen"/>
                <w:lang w:val="ka-GE"/>
              </w:rPr>
              <w:t>აპლიკანტის მდგომარეობა ინდივიდუალურად უნდა შეფასდეს და შესაძლო უარი</w:t>
            </w:r>
            <w:r w:rsidRPr="00F71A2A">
              <w:rPr>
                <w:rFonts w:ascii="Sylfaen" w:hAnsi="Sylfaen"/>
                <w:b/>
                <w:bCs/>
                <w:lang w:val="ka-GE"/>
              </w:rPr>
              <w:t xml:space="preserve"> არ უნდა ემყარებოდეს მხოლოდ ასაკს;</w:t>
            </w:r>
          </w:p>
          <w:p w:rsidR="00F305B7" w:rsidRPr="00F71A2A" w:rsidRDefault="00F305B7" w:rsidP="00F305B7">
            <w:pPr>
              <w:pStyle w:val="ListParagraph"/>
              <w:numPr>
                <w:ilvl w:val="0"/>
                <w:numId w:val="1"/>
              </w:numPr>
              <w:spacing w:after="160"/>
              <w:jc w:val="both"/>
              <w:rPr>
                <w:rFonts w:ascii="Sylfaen" w:hAnsi="Sylfaen"/>
                <w:lang w:val="ka-GE"/>
              </w:rPr>
            </w:pPr>
            <w:r w:rsidRPr="00F71A2A">
              <w:rPr>
                <w:rFonts w:ascii="Sylfaen" w:hAnsi="Sylfaen"/>
                <w:lang w:val="ka-GE"/>
              </w:rPr>
              <w:t xml:space="preserve">განსხვავებულ მოპყრობას </w:t>
            </w:r>
            <w:r>
              <w:rPr>
                <w:rFonts w:ascii="Sylfaen" w:hAnsi="Sylfaen"/>
                <w:lang w:val="ka-GE"/>
              </w:rPr>
              <w:t>უნდა ჰქონდეს</w:t>
            </w:r>
            <w:r w:rsidRPr="00F71A2A">
              <w:rPr>
                <w:rFonts w:ascii="Sylfaen" w:hAnsi="Sylfaen"/>
                <w:lang w:val="ka-GE"/>
              </w:rPr>
              <w:t xml:space="preserve"> ლეგიტიმური მიზანი და მისი მიღწევისთვის საჭირო ზომები სათანადო და აუცილებელი</w:t>
            </w:r>
            <w:r>
              <w:rPr>
                <w:rFonts w:ascii="Sylfaen" w:hAnsi="Sylfaen"/>
                <w:lang w:val="ka-GE"/>
              </w:rPr>
              <w:t xml:space="preserve"> უნდა იყოს</w:t>
            </w:r>
            <w:r w:rsidRPr="00F71A2A">
              <w:rPr>
                <w:rFonts w:ascii="Sylfaen" w:hAnsi="Sylfaen"/>
                <w:lang w:val="ka-GE"/>
              </w:rPr>
              <w:t>.</w:t>
            </w:r>
            <w:r w:rsidRPr="00F71A2A">
              <w:rPr>
                <w:rStyle w:val="FootnoteReference"/>
                <w:rFonts w:ascii="Sylfaen" w:eastAsia="Calibri" w:hAnsi="Sylfaen"/>
                <w:lang w:val="ka-GE"/>
              </w:rPr>
              <w:footnoteReference w:id="6"/>
            </w:r>
          </w:p>
          <w:p w:rsidR="00F305B7" w:rsidRPr="00C36A95" w:rsidRDefault="00F305B7" w:rsidP="000C7251">
            <w:pPr>
              <w:jc w:val="both"/>
              <w:rPr>
                <w:rFonts w:ascii="Sylfaen" w:hAnsi="Sylfaen"/>
                <w:u w:val="single"/>
                <w:lang w:val="ka-GE"/>
              </w:rPr>
            </w:pPr>
            <w:r w:rsidRPr="00C36A95">
              <w:rPr>
                <w:rFonts w:ascii="Sylfaen" w:hAnsi="Sylfaen"/>
                <w:u w:val="single"/>
                <w:lang w:val="ka-GE"/>
              </w:rPr>
              <w:t>ამდენად, მხოლოდ ასაკი არ უნდა იქნას მიჩნეული ჯანმრთელობის მდგომარეობის საკმარისად ზუს</w:t>
            </w:r>
            <w:r w:rsidRPr="00C36A95">
              <w:rPr>
                <w:rFonts w:ascii="Sylfaen" w:hAnsi="Sylfaen" w:cs="Sylfaen"/>
                <w:u w:val="single"/>
                <w:lang w:val="ka-GE"/>
              </w:rPr>
              <w:t>ტ</w:t>
            </w:r>
            <w:r w:rsidRPr="00C36A95">
              <w:rPr>
                <w:rFonts w:ascii="Sylfaen" w:hAnsi="Sylfaen"/>
                <w:u w:val="single"/>
                <w:lang w:val="ka-GE"/>
              </w:rPr>
              <w:t xml:space="preserve"> ინდიკატორად. იმ შემთხვევებშიც კი, როდესაც ასაკი სტატისტიკურად არის დაკავშირებულ</w:t>
            </w:r>
            <w:r w:rsidRPr="00C36A95">
              <w:rPr>
                <w:rFonts w:ascii="Sylfaen" w:hAnsi="Sylfaen" w:cs="Sylfaen"/>
                <w:u w:val="single"/>
                <w:lang w:val="ka-GE"/>
              </w:rPr>
              <w:t>ი</w:t>
            </w:r>
            <w:r w:rsidRPr="00C36A95">
              <w:rPr>
                <w:rFonts w:ascii="Sylfaen" w:hAnsi="Sylfaen"/>
                <w:u w:val="single"/>
                <w:lang w:val="ka-GE"/>
              </w:rPr>
              <w:t xml:space="preserve"> ავადობის მაღალ მაჩვენებელთან, ადამიანის ინდივიდუალური გარემოებები შესაძლო</w:t>
            </w:r>
            <w:r w:rsidRPr="00C36A95">
              <w:rPr>
                <w:rFonts w:ascii="Sylfaen" w:hAnsi="Sylfaen" w:cs="Sylfaen"/>
                <w:u w:val="single"/>
                <w:lang w:val="ka-GE"/>
              </w:rPr>
              <w:t>ა</w:t>
            </w:r>
            <w:r w:rsidRPr="00C36A95">
              <w:rPr>
                <w:rFonts w:ascii="Sylfaen" w:hAnsi="Sylfaen"/>
                <w:u w:val="single"/>
                <w:lang w:val="ka-GE"/>
              </w:rPr>
              <w:t xml:space="preserve"> იმდენად განსხვავდებოდეს არსებული ტენდენციისგან, რომ ასაკი ამ ინდივიდზე დასკვნი</w:t>
            </w:r>
            <w:r w:rsidRPr="00C36A95">
              <w:rPr>
                <w:rFonts w:ascii="Sylfaen" w:hAnsi="Sylfaen" w:cs="Sylfaen"/>
                <w:u w:val="single"/>
                <w:lang w:val="ka-GE"/>
              </w:rPr>
              <w:t>ს</w:t>
            </w:r>
            <w:r w:rsidRPr="00C36A95">
              <w:rPr>
                <w:rFonts w:ascii="Sylfaen" w:hAnsi="Sylfaen"/>
                <w:u w:val="single"/>
                <w:lang w:val="ka-GE"/>
              </w:rPr>
              <w:t xml:space="preserve"> გასაკეთებლად არასწორი ინდიკატორი აღმოჩნდეს.</w:t>
            </w:r>
            <w:r w:rsidRPr="00C36A95">
              <w:rPr>
                <w:rStyle w:val="FootnoteReference"/>
                <w:rFonts w:ascii="Sylfaen" w:hAnsi="Sylfaen"/>
                <w:u w:val="single"/>
                <w:lang w:val="ka-GE"/>
              </w:rPr>
              <w:footnoteReference w:id="7"/>
            </w:r>
          </w:p>
          <w:p w:rsidR="00F305B7" w:rsidRPr="00F71A2A" w:rsidRDefault="00F305B7" w:rsidP="000C7251">
            <w:pPr>
              <w:jc w:val="both"/>
              <w:rPr>
                <w:rFonts w:ascii="Sylfaen" w:hAnsi="Sylfaen"/>
                <w:lang w:val="ka-GE"/>
              </w:rPr>
            </w:pPr>
            <w:r>
              <w:rPr>
                <w:rFonts w:ascii="Sylfaen" w:hAnsi="Sylfaen"/>
                <w:lang w:val="ka-GE"/>
              </w:rPr>
              <w:t>აღნიშნულ</w:t>
            </w:r>
            <w:r w:rsidRPr="00F71A2A">
              <w:rPr>
                <w:rFonts w:ascii="Sylfaen" w:hAnsi="Sylfaen"/>
                <w:lang w:val="ka-GE"/>
              </w:rPr>
              <w:t xml:space="preserve"> საქმესთან დაკავშირებით, სახალხო დამცველ</w:t>
            </w:r>
            <w:r>
              <w:rPr>
                <w:rFonts w:ascii="Sylfaen" w:hAnsi="Sylfaen"/>
                <w:lang w:val="ka-GE"/>
              </w:rPr>
              <w:t>მა</w:t>
            </w:r>
            <w:r w:rsidRPr="00F71A2A">
              <w:rPr>
                <w:rFonts w:ascii="Sylfaen" w:hAnsi="Sylfaen"/>
                <w:lang w:val="ka-GE"/>
              </w:rPr>
              <w:t xml:space="preserve"> </w:t>
            </w:r>
            <w:r>
              <w:rPr>
                <w:rFonts w:ascii="Sylfaen" w:hAnsi="Sylfaen"/>
                <w:lang w:val="ka-GE"/>
              </w:rPr>
              <w:t>განმარტა</w:t>
            </w:r>
            <w:r w:rsidRPr="00F71A2A">
              <w:rPr>
                <w:rFonts w:ascii="Sylfaen" w:hAnsi="Sylfaen"/>
                <w:lang w:val="ka-GE"/>
              </w:rPr>
              <w:t>, რომ სადაზღვევ</w:t>
            </w:r>
            <w:r w:rsidRPr="00F71A2A">
              <w:rPr>
                <w:rFonts w:ascii="Sylfaen" w:hAnsi="Sylfaen" w:cs="Sylfaen"/>
                <w:lang w:val="ka-GE"/>
              </w:rPr>
              <w:t>ო</w:t>
            </w:r>
            <w:r w:rsidRPr="00F71A2A">
              <w:rPr>
                <w:rFonts w:ascii="Sylfaen" w:hAnsi="Sylfaen"/>
                <w:lang w:val="ka-GE"/>
              </w:rPr>
              <w:t xml:space="preserve"> კომპანი</w:t>
            </w:r>
            <w:r>
              <w:rPr>
                <w:rFonts w:ascii="Sylfaen" w:hAnsi="Sylfaen"/>
                <w:lang w:val="ka-GE"/>
              </w:rPr>
              <w:t xml:space="preserve">ის </w:t>
            </w:r>
            <w:r w:rsidRPr="00F71A2A">
              <w:rPr>
                <w:rFonts w:ascii="Sylfaen" w:hAnsi="Sylfaen"/>
                <w:lang w:val="ka-GE"/>
              </w:rPr>
              <w:t>მხრიდან სამოგზაურო დაზღვევის ხელშეკრულების დადებაზ</w:t>
            </w:r>
            <w:r w:rsidRPr="00F71A2A">
              <w:rPr>
                <w:rFonts w:ascii="Sylfaen" w:hAnsi="Sylfaen" w:cs="Sylfaen"/>
                <w:lang w:val="ka-GE"/>
              </w:rPr>
              <w:t>ე</w:t>
            </w:r>
            <w:r w:rsidRPr="00F71A2A">
              <w:rPr>
                <w:rFonts w:ascii="Sylfaen" w:hAnsi="Sylfaen"/>
                <w:lang w:val="ka-GE"/>
              </w:rPr>
              <w:t xml:space="preserve"> უარი ეფუძნებოდა </w:t>
            </w:r>
            <w:r w:rsidRPr="00F71A2A">
              <w:rPr>
                <w:rFonts w:ascii="Sylfaen" w:hAnsi="Sylfaen"/>
                <w:b/>
                <w:bCs/>
                <w:lang w:val="ka-GE"/>
              </w:rPr>
              <w:t>მხოლოდ განმცხადებლების ასაკ</w:t>
            </w:r>
            <w:r w:rsidRPr="00F71A2A">
              <w:rPr>
                <w:rFonts w:ascii="Sylfaen" w:hAnsi="Sylfaen" w:cs="Sylfaen"/>
                <w:b/>
                <w:bCs/>
                <w:lang w:val="ka-GE"/>
              </w:rPr>
              <w:t>ს.</w:t>
            </w:r>
            <w:r>
              <w:rPr>
                <w:rFonts w:ascii="Sylfaen" w:hAnsi="Sylfaen" w:cs="Sylfaen"/>
                <w:b/>
                <w:bCs/>
                <w:lang w:val="ka-GE"/>
              </w:rPr>
              <w:t xml:space="preserve"> </w:t>
            </w:r>
            <w:r w:rsidRPr="00F71A2A">
              <w:rPr>
                <w:rFonts w:ascii="Sylfaen" w:hAnsi="Sylfaen"/>
                <w:lang w:val="ka-GE"/>
              </w:rPr>
              <w:t>მსგავსი მიდგომა ასაკოვანი ადამიანების მიმარ</w:t>
            </w:r>
            <w:r w:rsidRPr="00F71A2A">
              <w:rPr>
                <w:rFonts w:ascii="Sylfaen" w:hAnsi="Sylfaen" w:cs="Sylfaen"/>
                <w:lang w:val="ka-GE"/>
              </w:rPr>
              <w:t>თ</w:t>
            </w:r>
            <w:r w:rsidRPr="00F71A2A">
              <w:rPr>
                <w:rFonts w:ascii="Sylfaen" w:hAnsi="Sylfaen"/>
                <w:lang w:val="ka-GE"/>
              </w:rPr>
              <w:t xml:space="preserve"> არსებულ სტერეოტიპებს ეფუძნება და სადაზღვევო კომპანიების მსგავსმა </w:t>
            </w:r>
            <w:proofErr w:type="spellStart"/>
            <w:r w:rsidRPr="00F71A2A">
              <w:rPr>
                <w:rFonts w:ascii="Sylfaen" w:hAnsi="Sylfaen"/>
                <w:lang w:val="ka-GE"/>
              </w:rPr>
              <w:t>ბლანკეტურმ</w:t>
            </w:r>
            <w:r w:rsidRPr="00F71A2A">
              <w:rPr>
                <w:rFonts w:ascii="Sylfaen" w:hAnsi="Sylfaen" w:cs="Sylfaen"/>
                <w:lang w:val="ka-GE"/>
              </w:rPr>
              <w:t>ა</w:t>
            </w:r>
            <w:proofErr w:type="spellEnd"/>
            <w:r w:rsidRPr="00F71A2A">
              <w:rPr>
                <w:rFonts w:ascii="Sylfaen" w:hAnsi="Sylfaen"/>
                <w:lang w:val="ka-GE"/>
              </w:rPr>
              <w:t xml:space="preserve"> მიდგომამ, შესაძლოა, მიუწვდომელი გახადოს ხანდაზმული ადამიანებისთვის სამოგზაურ</w:t>
            </w:r>
            <w:r w:rsidRPr="00F71A2A">
              <w:rPr>
                <w:rFonts w:ascii="Sylfaen" w:hAnsi="Sylfaen" w:cs="Sylfaen"/>
                <w:lang w:val="ka-GE"/>
              </w:rPr>
              <w:t>ო</w:t>
            </w:r>
            <w:r w:rsidRPr="00F71A2A">
              <w:rPr>
                <w:rFonts w:ascii="Sylfaen" w:hAnsi="Sylfaen"/>
                <w:lang w:val="ka-GE"/>
              </w:rPr>
              <w:t xml:space="preserve"> დაზღვევა, რაც, თავის მხრივ, მიმოსვლის თავისუფლების უფლებაში ჩარევასაც გულისხმობს.</w:t>
            </w:r>
            <w:r>
              <w:rPr>
                <w:rFonts w:ascii="Sylfaen" w:hAnsi="Sylfaen"/>
                <w:lang w:val="ka-GE"/>
              </w:rPr>
              <w:t xml:space="preserve"> </w:t>
            </w:r>
            <w:r w:rsidRPr="00F71A2A">
              <w:rPr>
                <w:rFonts w:ascii="Sylfaen" w:hAnsi="Sylfaen"/>
                <w:lang w:val="ka-GE"/>
              </w:rPr>
              <w:t xml:space="preserve">შესაბამისად, სახალხო </w:t>
            </w:r>
            <w:r>
              <w:rPr>
                <w:rFonts w:ascii="Sylfaen" w:hAnsi="Sylfaen"/>
                <w:lang w:val="ka-GE"/>
              </w:rPr>
              <w:t xml:space="preserve">დამცველმა დაადგინა </w:t>
            </w:r>
            <w:r w:rsidRPr="00F71A2A">
              <w:rPr>
                <w:rFonts w:ascii="Sylfaen" w:hAnsi="Sylfaen"/>
                <w:lang w:val="ka-GE"/>
              </w:rPr>
              <w:t xml:space="preserve">სადაზღვევო </w:t>
            </w:r>
            <w:r>
              <w:rPr>
                <w:rFonts w:ascii="Sylfaen" w:hAnsi="Sylfaen"/>
                <w:lang w:val="ka-GE"/>
              </w:rPr>
              <w:t>კომპანიის</w:t>
            </w:r>
            <w:r w:rsidRPr="00F71A2A">
              <w:rPr>
                <w:rFonts w:ascii="Sylfaen" w:hAnsi="Sylfaen"/>
                <w:lang w:val="ka-GE"/>
              </w:rPr>
              <w:t xml:space="preserve"> მხრიდან ასაკის ნიშნი</w:t>
            </w:r>
            <w:r w:rsidRPr="00F71A2A">
              <w:rPr>
                <w:rFonts w:ascii="Sylfaen" w:hAnsi="Sylfaen" w:cs="Sylfaen"/>
                <w:lang w:val="ka-GE"/>
              </w:rPr>
              <w:t>თ</w:t>
            </w:r>
            <w:r w:rsidRPr="00F71A2A">
              <w:rPr>
                <w:rFonts w:ascii="Sylfaen" w:hAnsi="Sylfaen"/>
                <w:lang w:val="ka-GE"/>
              </w:rPr>
              <w:t xml:space="preserve"> დისკრიმინაცია</w:t>
            </w:r>
            <w:r>
              <w:rPr>
                <w:rFonts w:ascii="Sylfaen" w:hAnsi="Sylfaen"/>
                <w:lang w:val="ka-GE"/>
              </w:rPr>
              <w:t>,</w:t>
            </w:r>
            <w:r w:rsidRPr="00F71A2A">
              <w:rPr>
                <w:rFonts w:ascii="Sylfaen" w:hAnsi="Sylfaen"/>
                <w:lang w:val="ka-GE"/>
              </w:rPr>
              <w:t xml:space="preserve"> რასაც საფუძვლად დაედო სამოგზაურო დაზღვევი</w:t>
            </w:r>
            <w:r w:rsidRPr="00F71A2A">
              <w:rPr>
                <w:rFonts w:ascii="Sylfaen" w:hAnsi="Sylfaen" w:cs="Sylfaen"/>
                <w:lang w:val="ka-GE"/>
              </w:rPr>
              <w:t>ს</w:t>
            </w:r>
            <w:r w:rsidRPr="00F71A2A">
              <w:rPr>
                <w:rFonts w:ascii="Sylfaen" w:hAnsi="Sylfaen"/>
                <w:lang w:val="ka-GE"/>
              </w:rPr>
              <w:t xml:space="preserve"> ხელშეკრულებაზე უარის თქმის შესახებ გადაწყვეტილება, რომლის დასაბუთება </w:t>
            </w:r>
            <w:r w:rsidRPr="00B93721">
              <w:rPr>
                <w:rFonts w:ascii="Sylfaen" w:hAnsi="Sylfaen"/>
                <w:lang w:val="ka-GE"/>
              </w:rPr>
              <w:t>მხოლო</w:t>
            </w:r>
            <w:r w:rsidRPr="00B93721">
              <w:rPr>
                <w:rFonts w:ascii="Sylfaen" w:hAnsi="Sylfaen" w:cs="Sylfaen"/>
                <w:lang w:val="ka-GE"/>
              </w:rPr>
              <w:t>დ</w:t>
            </w:r>
            <w:r w:rsidRPr="00B93721">
              <w:rPr>
                <w:rFonts w:ascii="Sylfaen" w:hAnsi="Sylfaen"/>
                <w:lang w:val="ka-GE"/>
              </w:rPr>
              <w:t xml:space="preserve"> განმცხადებლების ასაკზე მითითებას შეიცავდა.</w:t>
            </w:r>
          </w:p>
          <w:p w:rsidR="00F305B7" w:rsidRDefault="00F305B7" w:rsidP="000C7251">
            <w:pPr>
              <w:jc w:val="both"/>
              <w:rPr>
                <w:rFonts w:ascii="Sylfaen" w:hAnsi="Sylfaen" w:cs="Sylfaen"/>
                <w:lang w:val="ka-GE"/>
              </w:rPr>
            </w:pPr>
            <w:r w:rsidRPr="00C33DE5">
              <w:rPr>
                <w:rFonts w:ascii="Sylfaen" w:hAnsi="Sylfaen"/>
                <w:lang w:val="ka-GE"/>
              </w:rPr>
              <w:lastRenderedPageBreak/>
              <w:t>სახალხო დამცველმა ბლანკეტური აკრძალვის გამო, ბარში შესვლისთვის დადგენილი ასაკობრივი ზღვარიც დისკრიმინაციად მიიჩნია.</w:t>
            </w:r>
            <w:r w:rsidRPr="00C33DE5">
              <w:rPr>
                <w:rStyle w:val="FootnoteReference"/>
                <w:rFonts w:ascii="Sylfaen" w:hAnsi="Sylfaen"/>
                <w:lang w:val="ka-GE"/>
              </w:rPr>
              <w:footnoteReference w:id="8"/>
            </w:r>
            <w:r>
              <w:rPr>
                <w:rFonts w:ascii="Sylfaen" w:hAnsi="Sylfaen"/>
                <w:b/>
                <w:bCs/>
                <w:lang w:val="ka-GE"/>
              </w:rPr>
              <w:t xml:space="preserve"> </w:t>
            </w:r>
            <w:r w:rsidRPr="00132B16">
              <w:rPr>
                <w:rFonts w:ascii="Sylfaen" w:hAnsi="Sylfaen"/>
                <w:lang w:val="ka-GE"/>
              </w:rPr>
              <w:t xml:space="preserve">კერძოდ, </w:t>
            </w:r>
            <w:r>
              <w:rPr>
                <w:rFonts w:ascii="Sylfaen" w:hAnsi="Sylfaen"/>
                <w:lang w:val="ka-GE"/>
              </w:rPr>
              <w:t>ერთ-ერთ</w:t>
            </w:r>
            <w:r>
              <w:rPr>
                <w:rFonts w:ascii="Sylfaen" w:hAnsi="Sylfaen" w:cs="Sylfaen"/>
                <w:lang w:val="ka-GE"/>
              </w:rPr>
              <w:t xml:space="preserve"> </w:t>
            </w:r>
            <w:r w:rsidRPr="00945B81">
              <w:rPr>
                <w:rFonts w:ascii="Sylfaen" w:hAnsi="Sylfaen" w:cs="Sylfaen"/>
                <w:lang w:val="ka-GE"/>
              </w:rPr>
              <w:t xml:space="preserve">დაწესებულებაში სრულწლოვან პირთა გარკვეულ ჯგუფს (18-21 წლამდე მამაკაცებს) გაუმართლებლად </w:t>
            </w:r>
            <w:r>
              <w:rPr>
                <w:rFonts w:ascii="Sylfaen" w:hAnsi="Sylfaen" w:cs="Sylfaen"/>
                <w:lang w:val="ka-GE"/>
              </w:rPr>
              <w:t>ეზღუდებოდა</w:t>
            </w:r>
            <w:r w:rsidRPr="00945B81">
              <w:rPr>
                <w:rFonts w:ascii="Sylfaen" w:hAnsi="Sylfaen" w:cs="Sylfaen"/>
                <w:lang w:val="ka-GE"/>
              </w:rPr>
              <w:t xml:space="preserve"> საჯაროდ შეთავაზებულ სერვისზე ხელმისაწვდომობა მათი სქესისა და ასაკის გამო. დაწესებულების მიდგომა </w:t>
            </w:r>
            <w:r>
              <w:rPr>
                <w:rFonts w:ascii="Sylfaen" w:hAnsi="Sylfaen" w:cs="Sylfaen"/>
                <w:lang w:val="ka-GE"/>
              </w:rPr>
              <w:t>იყო</w:t>
            </w:r>
            <w:r w:rsidRPr="00945B81">
              <w:rPr>
                <w:rFonts w:ascii="Sylfaen" w:hAnsi="Sylfaen" w:cs="Sylfaen"/>
                <w:lang w:val="ka-GE"/>
              </w:rPr>
              <w:t xml:space="preserve"> სუბიექტური მოსაზრებებით განპირობებული და არ </w:t>
            </w:r>
            <w:r>
              <w:rPr>
                <w:rFonts w:ascii="Sylfaen" w:hAnsi="Sylfaen" w:cs="Sylfaen"/>
                <w:lang w:val="ka-GE"/>
              </w:rPr>
              <w:t>ჰქონდა</w:t>
            </w:r>
            <w:r w:rsidRPr="00945B81">
              <w:rPr>
                <w:rFonts w:ascii="Sylfaen" w:hAnsi="Sylfaen" w:cs="Sylfaen"/>
                <w:lang w:val="ka-GE"/>
              </w:rPr>
              <w:t xml:space="preserve"> არანაირი ობიექტურად დადგენილი საფუძველი, გარდა კონკრეტული ასაკის ადამიანების განვითარებას, ჩამოყალიბებასა და ქცევებთან დაკავშირებული სტერეოტიპული და მცდარი შეხედულებებისა.</w:t>
            </w:r>
            <w:r>
              <w:rPr>
                <w:rFonts w:ascii="Sylfaen" w:hAnsi="Sylfaen" w:cs="Sylfaen"/>
                <w:lang w:val="ka-GE"/>
              </w:rPr>
              <w:t xml:space="preserve"> </w:t>
            </w:r>
            <w:r>
              <w:rPr>
                <w:rFonts w:ascii="Sylfaen" w:hAnsi="Sylfaen"/>
                <w:lang w:val="ka-GE"/>
              </w:rPr>
              <w:t xml:space="preserve">შესაბამისად, </w:t>
            </w:r>
            <w:r w:rsidRPr="00F71A2A">
              <w:rPr>
                <w:rFonts w:ascii="Sylfaen" w:hAnsi="Sylfaen"/>
                <w:lang w:val="ka-GE"/>
              </w:rPr>
              <w:t xml:space="preserve">შეზღუდვა </w:t>
            </w:r>
            <w:r>
              <w:rPr>
                <w:rFonts w:ascii="Sylfaen" w:hAnsi="Sylfaen"/>
                <w:lang w:val="ka-GE"/>
              </w:rPr>
              <w:t>არ</w:t>
            </w:r>
            <w:r w:rsidRPr="00F71A2A">
              <w:rPr>
                <w:rFonts w:ascii="Sylfaen" w:hAnsi="Sylfaen"/>
                <w:lang w:val="ka-GE"/>
              </w:rPr>
              <w:t xml:space="preserve"> </w:t>
            </w:r>
            <w:r>
              <w:rPr>
                <w:rFonts w:ascii="Sylfaen" w:hAnsi="Sylfaen"/>
                <w:lang w:val="ka-GE"/>
              </w:rPr>
              <w:t>იქნ</w:t>
            </w:r>
            <w:r w:rsidRPr="00F71A2A">
              <w:rPr>
                <w:rFonts w:ascii="Sylfaen" w:hAnsi="Sylfaen"/>
                <w:lang w:val="ka-GE"/>
              </w:rPr>
              <w:t>ა მიჩნეული დაწესებულებაში უსაფრთხოებისა და კონფლიქტი</w:t>
            </w:r>
            <w:r w:rsidRPr="00F71A2A">
              <w:rPr>
                <w:rFonts w:ascii="Sylfaen" w:hAnsi="Sylfaen" w:cs="Sylfaen"/>
                <w:lang w:val="ka-GE"/>
              </w:rPr>
              <w:t>ს</w:t>
            </w:r>
            <w:r w:rsidRPr="00F71A2A">
              <w:rPr>
                <w:rFonts w:ascii="Sylfaen" w:hAnsi="Sylfaen"/>
                <w:lang w:val="ka-GE"/>
              </w:rPr>
              <w:t xml:space="preserve"> პრევენციის ლეგიტიმური მიზნის მიღწევის გამოსადეგ საშუალება</w:t>
            </w:r>
            <w:r w:rsidRPr="00F71A2A">
              <w:rPr>
                <w:rFonts w:ascii="Sylfaen" w:hAnsi="Sylfaen" w:cs="Sylfaen"/>
                <w:lang w:val="ka-GE"/>
              </w:rPr>
              <w:t>დ.</w:t>
            </w:r>
          </w:p>
          <w:p w:rsidR="00F305B7" w:rsidRDefault="00F305B7" w:rsidP="000C7251">
            <w:pPr>
              <w:jc w:val="both"/>
              <w:rPr>
                <w:rFonts w:ascii="Sylfaen" w:hAnsi="Sylfaen"/>
                <w:lang w:val="ka-GE"/>
              </w:rPr>
            </w:pPr>
            <w:r>
              <w:rPr>
                <w:rFonts w:ascii="Sylfaen" w:hAnsi="Sylfaen"/>
                <w:lang w:val="ka-GE"/>
              </w:rPr>
              <w:t>ზემოთ განხილული შემთხვევების მსგავსად, №</w:t>
            </w:r>
            <w:r w:rsidRPr="00FB42E6">
              <w:rPr>
                <w:rFonts w:ascii="Sylfaen" w:hAnsi="Sylfaen"/>
                <w:lang w:val="ka-GE"/>
              </w:rPr>
              <w:t>1583</w:t>
            </w:r>
            <w:r>
              <w:rPr>
                <w:rFonts w:ascii="Sylfaen" w:hAnsi="Sylfaen"/>
                <w:lang w:val="ka-GE"/>
              </w:rPr>
              <w:t xml:space="preserve"> </w:t>
            </w:r>
            <w:r w:rsidRPr="00B67C2E">
              <w:rPr>
                <w:rFonts w:ascii="Sylfaen" w:hAnsi="Sylfaen"/>
                <w:lang w:val="ka-GE"/>
              </w:rPr>
              <w:t>კონსტიტუციურ</w:t>
            </w:r>
            <w:r>
              <w:rPr>
                <w:rFonts w:ascii="Sylfaen" w:hAnsi="Sylfaen"/>
                <w:lang w:val="ka-GE"/>
              </w:rPr>
              <w:t>ი</w:t>
            </w:r>
            <w:r w:rsidRPr="00B67C2E">
              <w:rPr>
                <w:rFonts w:ascii="Sylfaen" w:hAnsi="Sylfaen"/>
                <w:lang w:val="ka-GE"/>
              </w:rPr>
              <w:t xml:space="preserve"> სარჩელ</w:t>
            </w:r>
            <w:r>
              <w:rPr>
                <w:rFonts w:ascii="Sylfaen" w:hAnsi="Sylfaen"/>
                <w:lang w:val="ka-GE"/>
              </w:rPr>
              <w:t>ის დავის საგანს წარმოადგენს ზღვრული ასაკის დადგენის გზით ბლანკეტური აკრძალვის დაწესება. კერძო</w:t>
            </w:r>
            <w:r w:rsidRPr="0044164C">
              <w:rPr>
                <w:rFonts w:ascii="Sylfaen" w:hAnsi="Sylfaen"/>
                <w:lang w:val="ka-GE"/>
              </w:rPr>
              <w:t>დ, სადავო ნორმის საფუძველზე პირს, 50 წლის შესრულების შემდგომ,</w:t>
            </w:r>
            <w:r>
              <w:rPr>
                <w:rFonts w:ascii="Sylfaen" w:hAnsi="Sylfaen"/>
                <w:lang w:val="ka-GE"/>
              </w:rPr>
              <w:t xml:space="preserve"> მიუხედავად მისი ფიზიკური მონაცემებისა და ჯანმრთელობის მდგომარეობისა,</w:t>
            </w:r>
            <w:r w:rsidRPr="0044164C">
              <w:rPr>
                <w:rFonts w:ascii="Sylfaen" w:hAnsi="Sylfaen"/>
                <w:lang w:val="ka-GE"/>
              </w:rPr>
              <w:t xml:space="preserve"> ერთი მხრივ, კანონმდებლობით ეკრძალება </w:t>
            </w:r>
            <w:r>
              <w:rPr>
                <w:rFonts w:ascii="Sylfaen" w:hAnsi="Sylfaen"/>
                <w:lang w:val="ka-GE"/>
              </w:rPr>
              <w:t xml:space="preserve">საკონსტიტუციო </w:t>
            </w:r>
            <w:r w:rsidRPr="0044164C">
              <w:rPr>
                <w:rFonts w:ascii="Sylfaen" w:hAnsi="Sylfaen"/>
                <w:lang w:val="ka-GE"/>
              </w:rPr>
              <w:t>სასამართლოს მანდატურის თანამდებობის დაკავების უფლება, ხოლო, მეორე მხრივ, აღნიშნული ასაკის მიღწევა არის მანდატურის თანამდებობიდან გათავისუფლების საფუძველ</w:t>
            </w:r>
            <w:r>
              <w:rPr>
                <w:rFonts w:ascii="Sylfaen" w:hAnsi="Sylfaen"/>
                <w:lang w:val="ka-GE"/>
              </w:rPr>
              <w:t>ი.</w:t>
            </w:r>
          </w:p>
          <w:p w:rsidR="00F305B7" w:rsidRDefault="00F305B7" w:rsidP="000C7251">
            <w:pPr>
              <w:jc w:val="both"/>
              <w:rPr>
                <w:rFonts w:ascii="Sylfaen" w:hAnsi="Sylfaen"/>
                <w:lang w:val="ka-GE"/>
              </w:rPr>
            </w:pPr>
            <w:r>
              <w:rPr>
                <w:rFonts w:ascii="Sylfaen" w:hAnsi="Sylfaen"/>
                <w:lang w:val="ka-GE"/>
              </w:rPr>
              <w:t xml:space="preserve">საქართველოს საკონსტიტუციო სასამართლომ 2018 წლის 14 დეკემბრის </w:t>
            </w:r>
            <w:r w:rsidRPr="00FA40C0">
              <w:rPr>
                <w:rFonts w:ascii="Sylfaen" w:hAnsi="Sylfaen"/>
                <w:lang w:val="ka-GE"/>
              </w:rPr>
              <w:t>N3/2/767,1272</w:t>
            </w:r>
            <w:r>
              <w:rPr>
                <w:rFonts w:ascii="Sylfaen" w:hAnsi="Sylfaen"/>
                <w:lang w:val="ka-GE"/>
              </w:rPr>
              <w:t xml:space="preserve"> გადაწყვეტილებით არაკონსტიტუციურად ცნო ანალოგიური შინაარსის ნორმა, რომელიც </w:t>
            </w:r>
            <w:r w:rsidRPr="00FA40C0">
              <w:rPr>
                <w:rFonts w:ascii="Sylfaen" w:hAnsi="Sylfaen"/>
                <w:lang w:val="ka-GE"/>
              </w:rPr>
              <w:t xml:space="preserve">საერთო </w:t>
            </w:r>
            <w:r>
              <w:rPr>
                <w:rFonts w:ascii="Sylfaen" w:hAnsi="Sylfaen"/>
                <w:lang w:val="ka-GE"/>
              </w:rPr>
              <w:t xml:space="preserve">სასამართლოებში </w:t>
            </w:r>
            <w:r w:rsidRPr="00FA40C0">
              <w:rPr>
                <w:rFonts w:ascii="Sylfaen" w:hAnsi="Sylfaen"/>
                <w:lang w:val="ka-GE"/>
              </w:rPr>
              <w:t xml:space="preserve">მანდატურის თანამდებობაზე </w:t>
            </w:r>
            <w:r>
              <w:rPr>
                <w:rFonts w:ascii="Sylfaen" w:hAnsi="Sylfaen"/>
                <w:lang w:val="ka-GE"/>
              </w:rPr>
              <w:t>მუშაობისთვის განსაზღვრავდა ზღვრულ ასაკს - 50 წელს. სადავო ნორმა,</w:t>
            </w:r>
            <w:r w:rsidRPr="00FA40C0">
              <w:rPr>
                <w:rFonts w:ascii="Sylfaen" w:hAnsi="Sylfaen"/>
                <w:lang w:val="ka-GE"/>
              </w:rPr>
              <w:t xml:space="preserve"> ისე რომ არ ხდებ</w:t>
            </w:r>
            <w:r>
              <w:rPr>
                <w:rFonts w:ascii="Sylfaen" w:hAnsi="Sylfaen"/>
                <w:lang w:val="ka-GE"/>
              </w:rPr>
              <w:t>ოდა</w:t>
            </w:r>
            <w:r w:rsidRPr="00FA40C0">
              <w:rPr>
                <w:rFonts w:ascii="Sylfaen" w:hAnsi="Sylfaen"/>
                <w:lang w:val="ka-GE"/>
              </w:rPr>
              <w:t xml:space="preserve"> ჯანმრთელობის მდგომარეობის შემოწმება, ავტომატურად </w:t>
            </w:r>
            <w:r>
              <w:rPr>
                <w:rFonts w:ascii="Sylfaen" w:hAnsi="Sylfaen"/>
                <w:lang w:val="ka-GE"/>
              </w:rPr>
              <w:t>ითვალისწინებდა</w:t>
            </w:r>
            <w:r w:rsidRPr="00FA40C0">
              <w:rPr>
                <w:rFonts w:ascii="Sylfaen" w:hAnsi="Sylfaen"/>
                <w:lang w:val="ka-GE"/>
              </w:rPr>
              <w:t xml:space="preserve"> პირის დაკავებული თანამდებობიდან გათავისუფლებას.</w:t>
            </w:r>
          </w:p>
          <w:p w:rsidR="00F305B7" w:rsidRDefault="00F305B7" w:rsidP="000C7251">
            <w:pPr>
              <w:jc w:val="both"/>
              <w:rPr>
                <w:rFonts w:ascii="Sylfaen" w:hAnsi="Sylfaen" w:cs="Sylfaen"/>
                <w:lang w:val="ka-GE"/>
              </w:rPr>
            </w:pPr>
            <w:r>
              <w:rPr>
                <w:rFonts w:ascii="Sylfaen" w:hAnsi="Sylfaen" w:cs="Sylfaen"/>
                <w:lang w:val="ka-GE"/>
              </w:rPr>
              <w:t>აღნიშნულ საქმეზე, მოპასუხე მხარემ</w:t>
            </w:r>
            <w:r w:rsidRPr="00713A7E">
              <w:rPr>
                <w:rFonts w:ascii="Sylfaen" w:hAnsi="Sylfaen" w:cs="Sylfaen"/>
                <w:lang w:val="ka-GE"/>
              </w:rPr>
              <w:t xml:space="preserve"> სადავო ნორმის ლეგიტიმურ მიზნად დაასახელა სასამართლოს მანდატურის სამსახურის ეფექტური და შეუფერხებელი საქმიანობის უზრუნველყოფა</w:t>
            </w:r>
            <w:r>
              <w:rPr>
                <w:rFonts w:ascii="Sylfaen" w:hAnsi="Sylfaen" w:cs="Sylfaen"/>
                <w:lang w:val="ka-GE"/>
              </w:rPr>
              <w:t>, რაც საკონსტიტუციო სასამართლომ მნიშვნელოვან</w:t>
            </w:r>
            <w:r w:rsidRPr="00713A7E">
              <w:rPr>
                <w:rFonts w:ascii="Sylfaen" w:hAnsi="Sylfaen" w:cs="Sylfaen"/>
                <w:lang w:val="ka-GE"/>
              </w:rPr>
              <w:t xml:space="preserve"> საჯარო </w:t>
            </w:r>
            <w:r>
              <w:rPr>
                <w:rFonts w:ascii="Sylfaen" w:hAnsi="Sylfaen" w:cs="Sylfaen"/>
                <w:lang w:val="ka-GE"/>
              </w:rPr>
              <w:t>ინტერესად მიიჩნია</w:t>
            </w:r>
            <w:r w:rsidRPr="00713A7E">
              <w:rPr>
                <w:rFonts w:ascii="Sylfaen" w:hAnsi="Sylfaen" w:cs="Sylfaen"/>
                <w:lang w:val="ka-GE"/>
              </w:rPr>
              <w:t xml:space="preserve">. </w:t>
            </w:r>
          </w:p>
          <w:p w:rsidR="00F305B7" w:rsidRDefault="00F305B7" w:rsidP="000C7251">
            <w:pPr>
              <w:jc w:val="both"/>
              <w:rPr>
                <w:rFonts w:ascii="Sylfaen" w:hAnsi="Sylfaen" w:cs="Sylfaen"/>
                <w:lang w:val="ka-GE"/>
              </w:rPr>
            </w:pPr>
            <w:r>
              <w:rPr>
                <w:rFonts w:ascii="Sylfaen" w:hAnsi="Sylfaen" w:cs="Sylfaen"/>
                <w:lang w:val="ka-GE"/>
              </w:rPr>
              <w:t>როგორც საერთო სასამართლოებში, ისე საკონსტიტუციო სასამართლოში</w:t>
            </w:r>
            <w:r w:rsidRPr="00713A7E">
              <w:rPr>
                <w:rFonts w:ascii="Sylfaen" w:hAnsi="Sylfaen" w:cs="Sylfaen"/>
                <w:lang w:val="ka-GE"/>
              </w:rPr>
              <w:t xml:space="preserve"> მანდატურის უფლებამოსილებების სრულყოფილად განხორციელება, მნიშვნელოვნად არის დაკავშირებული პირის ფიზიკურ მომზადებასა და ჯანმრთელობის მდგომარეობასთან</w:t>
            </w:r>
            <w:r>
              <w:rPr>
                <w:rFonts w:ascii="Sylfaen" w:hAnsi="Sylfaen" w:cs="Sylfaen"/>
                <w:lang w:val="ka-GE"/>
              </w:rPr>
              <w:t>.</w:t>
            </w:r>
            <w:r>
              <w:rPr>
                <w:rStyle w:val="FootnoteReference"/>
                <w:rFonts w:ascii="Sylfaen" w:hAnsi="Sylfaen" w:cs="Sylfaen"/>
                <w:lang w:val="ka-GE"/>
              </w:rPr>
              <w:footnoteReference w:id="9"/>
            </w:r>
            <w:r>
              <w:rPr>
                <w:rFonts w:ascii="Sylfaen" w:hAnsi="Sylfaen" w:cs="Sylfaen"/>
                <w:lang w:val="ka-GE"/>
              </w:rPr>
              <w:t xml:space="preserve"> თუმცა, სასამართლოს განმარტებით,</w:t>
            </w:r>
            <w:r w:rsidRPr="00713A7E">
              <w:rPr>
                <w:rFonts w:ascii="Sylfaen" w:hAnsi="Sylfaen" w:cs="Sylfaen"/>
                <w:lang w:val="ka-GE"/>
              </w:rPr>
              <w:t xml:space="preserve"> 50 წლის ასაკის მიღწევა, თავისთავად, არ განაპირობებს პირის ფიზიკური მონაცემებისა და ჯანმრთელობის მდგომარეობის იმგვარ გაუარესებას, </w:t>
            </w:r>
            <w:r>
              <w:rPr>
                <w:rFonts w:ascii="Sylfaen" w:hAnsi="Sylfaen" w:cs="Sylfaen"/>
                <w:lang w:val="ka-GE"/>
              </w:rPr>
              <w:t xml:space="preserve">რომ </w:t>
            </w:r>
            <w:r w:rsidRPr="00713A7E">
              <w:rPr>
                <w:rFonts w:ascii="Sylfaen" w:hAnsi="Sylfaen" w:cs="Sylfaen"/>
                <w:lang w:val="ka-GE"/>
              </w:rPr>
              <w:t>მან ვერ შეძლოს სასამართლოს მანდატურის ფუნქციების სრულფასოვნად შესრულება.</w:t>
            </w:r>
            <w:r>
              <w:rPr>
                <w:rStyle w:val="FootnoteReference"/>
                <w:rFonts w:ascii="Sylfaen" w:hAnsi="Sylfaen" w:cs="Sylfaen"/>
                <w:lang w:val="ka-GE"/>
              </w:rPr>
              <w:footnoteReference w:id="10"/>
            </w:r>
            <w:r>
              <w:rPr>
                <w:rFonts w:ascii="Sylfaen" w:hAnsi="Sylfaen" w:cs="Sylfaen"/>
                <w:lang w:val="ka-GE"/>
              </w:rPr>
              <w:t xml:space="preserve"> </w:t>
            </w:r>
          </w:p>
          <w:p w:rsidR="00F305B7" w:rsidRDefault="00F305B7" w:rsidP="000C7251">
            <w:pPr>
              <w:jc w:val="both"/>
              <w:rPr>
                <w:rFonts w:ascii="Sylfaen" w:hAnsi="Sylfaen" w:cs="Sylfaen"/>
                <w:lang w:val="ka-GE"/>
              </w:rPr>
            </w:pPr>
            <w:r w:rsidRPr="00BC19ED">
              <w:rPr>
                <w:rFonts w:ascii="Sylfaen" w:hAnsi="Sylfaen" w:cs="Sylfaen"/>
                <w:lang w:val="ka-GE"/>
              </w:rPr>
              <w:t xml:space="preserve">აღნიშნულიდან გამომდინარე, 50 წლის ასაკის მიღწევა თავისთავად არ მიუთითებს იმაზე, რომ პირს დაქვეითებული აქვს სასამართლოს მანდატურისათვის საჭირო ფიზიკური მონაცემები. </w:t>
            </w:r>
            <w:r>
              <w:rPr>
                <w:rFonts w:ascii="Sylfaen" w:hAnsi="Sylfaen" w:cs="Sylfaen"/>
                <w:lang w:val="ka-GE"/>
              </w:rPr>
              <w:t>სასამართლოს განმარტებით,</w:t>
            </w:r>
            <w:r w:rsidRPr="00BC19ED">
              <w:rPr>
                <w:rFonts w:ascii="Sylfaen" w:hAnsi="Sylfaen" w:cs="Sylfaen"/>
                <w:lang w:val="ka-GE"/>
              </w:rPr>
              <w:t xml:space="preserve"> 50 წლის ასაკის მიღწევა არ არის ის თავისთავადი გარემოება, რომელიც დააქვეითებს პირის ჯანმრთელობის მდგომარეობას, შეასუსტებს ფიზიკურ მონაცემებს და შეუძლებელს გახდის მის მიერ </w:t>
            </w:r>
            <w:r w:rsidRPr="00BC19ED">
              <w:rPr>
                <w:rFonts w:ascii="Sylfaen" w:hAnsi="Sylfaen" w:cs="Sylfaen"/>
                <w:lang w:val="ka-GE"/>
              </w:rPr>
              <w:lastRenderedPageBreak/>
              <w:t xml:space="preserve">მანდატურის საქმიანობის სრულყოფილად განხორციელებას. შესაბამისად, </w:t>
            </w:r>
            <w:r>
              <w:rPr>
                <w:rFonts w:ascii="Sylfaen" w:hAnsi="Sylfaen" w:cs="Sylfaen"/>
                <w:lang w:val="ka-GE"/>
              </w:rPr>
              <w:t xml:space="preserve">სასამართლომ დაადგინა, რომ </w:t>
            </w:r>
            <w:r w:rsidRPr="00BC19ED">
              <w:rPr>
                <w:rFonts w:ascii="Sylfaen" w:hAnsi="Sylfaen" w:cs="Sylfaen"/>
                <w:lang w:val="ka-GE"/>
              </w:rPr>
              <w:t xml:space="preserve">50 წელს მიღწეულ და მიუღწეველ მოქალაქეებს შორის დადგენილი დიფერენცირება არ </w:t>
            </w:r>
            <w:r>
              <w:rPr>
                <w:rFonts w:ascii="Sylfaen" w:hAnsi="Sylfaen" w:cs="Sylfaen"/>
                <w:lang w:val="ka-GE"/>
              </w:rPr>
              <w:t>იყო</w:t>
            </w:r>
            <w:r w:rsidRPr="00BC19ED">
              <w:rPr>
                <w:rFonts w:ascii="Sylfaen" w:hAnsi="Sylfaen" w:cs="Sylfaen"/>
                <w:lang w:val="ka-GE"/>
              </w:rPr>
              <w:t xml:space="preserve"> რაციონალურ კავშირში დასახელებულ ლეგიტიმურ მიზნებთან. ამგვარად, არ </w:t>
            </w:r>
            <w:r>
              <w:rPr>
                <w:rFonts w:ascii="Sylfaen" w:hAnsi="Sylfaen" w:cs="Sylfaen"/>
                <w:lang w:val="ka-GE"/>
              </w:rPr>
              <w:t>არსებობდა</w:t>
            </w:r>
            <w:r w:rsidRPr="00BC19ED">
              <w:rPr>
                <w:rFonts w:ascii="Sylfaen" w:hAnsi="Sylfaen" w:cs="Sylfaen"/>
                <w:lang w:val="ka-GE"/>
              </w:rPr>
              <w:t xml:space="preserve"> ასაკობრივი ნიშნით დაწესებული განსხვავებული მოპყრობის ობიექტური და გონივრული გამართლება</w:t>
            </w:r>
            <w:r>
              <w:rPr>
                <w:rFonts w:ascii="Sylfaen" w:hAnsi="Sylfaen" w:cs="Sylfaen"/>
                <w:lang w:val="ka-GE"/>
              </w:rPr>
              <w:t xml:space="preserve"> და ნორმა არაკონსტიტუციურად ცნო.</w:t>
            </w:r>
          </w:p>
          <w:p w:rsidR="00F305B7" w:rsidRPr="00C36A95" w:rsidRDefault="00F305B7" w:rsidP="000C7251">
            <w:pPr>
              <w:jc w:val="both"/>
              <w:rPr>
                <w:rFonts w:ascii="Sylfaen" w:hAnsi="Sylfaen"/>
                <w:lang w:val="ka-GE"/>
              </w:rPr>
            </w:pPr>
            <w:r w:rsidRPr="00C36A95">
              <w:rPr>
                <w:rFonts w:ascii="Sylfaen" w:hAnsi="Sylfaen"/>
                <w:lang w:val="ka-GE"/>
              </w:rPr>
              <w:t>ასაკის ნიშნით განსხვავებული მოპყრობა, შესაძლოა, რაციონალურ ფაქტორებსა</w:t>
            </w:r>
            <w:r w:rsidRPr="00C36A95">
              <w:rPr>
                <w:rFonts w:ascii="Sylfaen" w:hAnsi="Sylfaen" w:cs="Sylfaen"/>
                <w:lang w:val="ka-GE"/>
              </w:rPr>
              <w:t>ც</w:t>
            </w:r>
            <w:r w:rsidRPr="00C36A95">
              <w:rPr>
                <w:rFonts w:ascii="Sylfaen" w:hAnsi="Sylfaen"/>
                <w:lang w:val="ka-GE"/>
              </w:rPr>
              <w:t xml:space="preserve"> ემყარებოდეს და სოციალურ, ეკონომიკურ მიზნებს ემსახურებოდეს. თუმცა, ასევე შესაძლოა, ასეთი მიდგომა განზოგადებულ დასკვნებს და სტერეოტიპებს ეფუძნებოდეს. ასაკთა</w:t>
            </w:r>
            <w:r w:rsidRPr="00C36A95">
              <w:rPr>
                <w:rFonts w:ascii="Sylfaen" w:hAnsi="Sylfaen" w:cs="Sylfaen"/>
                <w:lang w:val="ka-GE"/>
              </w:rPr>
              <w:t>ნ</w:t>
            </w:r>
            <w:r w:rsidRPr="00C36A95">
              <w:rPr>
                <w:rFonts w:ascii="Sylfaen" w:hAnsi="Sylfaen"/>
                <w:lang w:val="ka-GE"/>
              </w:rPr>
              <w:t xml:space="preserve"> დაკავშირებული სტერეოტიპების მსხვერპლი შესაძლოა გახდნენ როგორც ახალგაზრდები, ისე ხანდაზმული ადამიანები. ეს ვარაუდები და დასკვნები ხშირად შეცდომაში შემყვანია დ</w:t>
            </w:r>
            <w:r w:rsidRPr="00C36A95">
              <w:rPr>
                <w:rFonts w:ascii="Sylfaen" w:hAnsi="Sylfaen" w:cs="Sylfaen"/>
                <w:lang w:val="ka-GE"/>
              </w:rPr>
              <w:t>ა</w:t>
            </w:r>
            <w:r w:rsidRPr="00C36A95">
              <w:rPr>
                <w:rFonts w:ascii="Sylfaen" w:hAnsi="Sylfaen"/>
                <w:lang w:val="ka-GE"/>
              </w:rPr>
              <w:t xml:space="preserve"> ვერ ასახავს ადამიანების ინდივიდუალურ მრავალფეროვნებას. ასაკის ნიშნით დისკრიმინაცი</w:t>
            </w:r>
            <w:r w:rsidRPr="00C36A95">
              <w:rPr>
                <w:rFonts w:ascii="Sylfaen" w:hAnsi="Sylfaen" w:cs="Sylfaen"/>
                <w:lang w:val="ka-GE"/>
              </w:rPr>
              <w:t>ა</w:t>
            </w:r>
            <w:r w:rsidRPr="00C36A95">
              <w:rPr>
                <w:rFonts w:ascii="Sylfaen" w:hAnsi="Sylfaen"/>
                <w:lang w:val="ka-GE"/>
              </w:rPr>
              <w:t xml:space="preserve"> ნეგატიურ სოციალურ შედეგებსაც იწვევს, როგორიცაა საზოგადოებისგან გარკვეული ასაკის ადამიანების გარიყვა და საბაზისო სერვისებსა და პროდუქტებზე მიუწვდომლობა.</w:t>
            </w:r>
            <w:r w:rsidRPr="00C36A95">
              <w:rPr>
                <w:rStyle w:val="FootnoteReference"/>
                <w:rFonts w:ascii="Sylfaen" w:hAnsi="Sylfaen"/>
                <w:lang w:val="ka-GE"/>
              </w:rPr>
              <w:footnoteReference w:id="11"/>
            </w:r>
          </w:p>
          <w:p w:rsidR="00F305B7" w:rsidRPr="006A6757" w:rsidRDefault="00F305B7" w:rsidP="000C7251">
            <w:pPr>
              <w:jc w:val="both"/>
              <w:rPr>
                <w:rFonts w:ascii="Sylfaen" w:hAnsi="Sylfaen"/>
                <w:lang w:val="ka-GE"/>
              </w:rPr>
            </w:pPr>
            <w:r>
              <w:rPr>
                <w:rFonts w:ascii="Sylfaen" w:hAnsi="Sylfaen"/>
                <w:lang w:val="ka-GE"/>
              </w:rPr>
              <w:t xml:space="preserve">ზემოაღნიშნულიდან გამომდინარე და იმის გათვალისწინებით, რომ როგორც საერთო სასამართლოების, ისე საკონსტიტუციო სასამართლოს შემთხვევაში, დადგენილი მზღუდავი ნორმა და </w:t>
            </w:r>
            <w:r w:rsidRPr="006A6757">
              <w:rPr>
                <w:rFonts w:ascii="Sylfaen" w:hAnsi="Sylfaen"/>
                <w:lang w:val="ka-GE"/>
              </w:rPr>
              <w:t>მანდატურის უფლება-</w:t>
            </w:r>
            <w:r>
              <w:rPr>
                <w:rFonts w:ascii="Sylfaen" w:hAnsi="Sylfaen"/>
                <w:lang w:val="ka-GE"/>
              </w:rPr>
              <w:t>მოვალეობები</w:t>
            </w:r>
            <w:r w:rsidRPr="006A6757">
              <w:rPr>
                <w:rFonts w:ascii="Sylfaen" w:hAnsi="Sylfaen"/>
                <w:lang w:val="ka-GE"/>
              </w:rPr>
              <w:t xml:space="preserve"> არსებითად ერთნაირი </w:t>
            </w:r>
            <w:r>
              <w:rPr>
                <w:rFonts w:ascii="Sylfaen" w:hAnsi="Sylfaen"/>
                <w:lang w:val="ka-GE"/>
              </w:rPr>
              <w:t>შინაარსს ატარებს, მიგვაჩნია, რომ „საკონსტიტუციო სასამართლოს შესახებ“ საქართველოს ორგანული კანონის 25-ე მუხლის მე-4</w:t>
            </w:r>
            <w:r>
              <w:rPr>
                <w:rFonts w:ascii="Sylfaen" w:hAnsi="Sylfaen"/>
                <w:vertAlign w:val="superscript"/>
                <w:lang w:val="ka-GE"/>
              </w:rPr>
              <w:t>1</w:t>
            </w:r>
            <w:r>
              <w:rPr>
                <w:rFonts w:ascii="Sylfaen" w:hAnsi="Sylfaen"/>
                <w:lang w:val="ka-GE"/>
              </w:rPr>
              <w:t xml:space="preserve"> პუნქტის შესაბამისად, კონსტიტუციური სარჩელით გასაჩივრებული ნორმა ს</w:t>
            </w:r>
            <w:r w:rsidRPr="00574DF4">
              <w:rPr>
                <w:rFonts w:ascii="Sylfaen" w:hAnsi="Sylfaen"/>
                <w:lang w:val="ka-GE"/>
              </w:rPr>
              <w:t xml:space="preserve">აკონსტიტუციო სასამართლომ ძალადაკარგულად </w:t>
            </w:r>
            <w:r>
              <w:rPr>
                <w:rFonts w:ascii="Sylfaen" w:hAnsi="Sylfaen"/>
                <w:lang w:val="ka-GE"/>
              </w:rPr>
              <w:t xml:space="preserve">უნდა </w:t>
            </w:r>
            <w:r w:rsidRPr="00574DF4">
              <w:rPr>
                <w:rFonts w:ascii="Sylfaen" w:hAnsi="Sylfaen"/>
                <w:lang w:val="ka-GE"/>
              </w:rPr>
              <w:t>ცნოს განმწესრიგებელ</w:t>
            </w:r>
            <w:r>
              <w:rPr>
                <w:rFonts w:ascii="Sylfaen" w:hAnsi="Sylfaen"/>
                <w:lang w:val="ka-GE"/>
              </w:rPr>
              <w:t>ი</w:t>
            </w:r>
            <w:r w:rsidRPr="00574DF4">
              <w:rPr>
                <w:rFonts w:ascii="Sylfaen" w:hAnsi="Sylfaen"/>
                <w:lang w:val="ka-GE"/>
              </w:rPr>
              <w:t xml:space="preserve"> სხდომის ეტაპზე, არსებითად განხილვის გარეშე.</w:t>
            </w:r>
          </w:p>
          <w:p w:rsidR="00F305B7" w:rsidRPr="00124E53" w:rsidRDefault="00F305B7" w:rsidP="000C7251">
            <w:pPr>
              <w:spacing w:after="0" w:line="240" w:lineRule="auto"/>
              <w:rPr>
                <w:rFonts w:ascii="Sylfaen" w:hAnsi="Sylfaen"/>
                <w:color w:val="000000"/>
                <w:lang w:val="ka-GE"/>
              </w:rPr>
            </w:pPr>
          </w:p>
        </w:tc>
      </w:tr>
    </w:tbl>
    <w:p w:rsidR="00F305B7" w:rsidRDefault="00F305B7" w:rsidP="00F305B7">
      <w:pPr>
        <w:rPr>
          <w:rFonts w:ascii="Sylfaen" w:hAnsi="Sylfaen"/>
          <w:lang w:val="ka-GE"/>
        </w:rPr>
      </w:pPr>
    </w:p>
    <w:p w:rsidR="00F305B7" w:rsidRDefault="00F305B7" w:rsidP="00F305B7">
      <w:pPr>
        <w:rPr>
          <w:rFonts w:ascii="Sylfaen" w:hAnsi="Sylfaen"/>
          <w:lang w:val="ka-GE"/>
        </w:rPr>
      </w:pPr>
    </w:p>
    <w:p w:rsidR="00F305B7" w:rsidRDefault="00F305B7" w:rsidP="00F305B7">
      <w:pPr>
        <w:rPr>
          <w:rFonts w:ascii="Sylfaen" w:hAnsi="Sylfaen"/>
          <w:lang w:val="ka-GE"/>
        </w:rPr>
      </w:pPr>
    </w:p>
    <w:p w:rsidR="00F305B7" w:rsidRDefault="00F305B7" w:rsidP="00F305B7">
      <w:pPr>
        <w:rPr>
          <w:rFonts w:ascii="Sylfaen" w:hAnsi="Sylfaen"/>
          <w:lang w:val="ka-GE"/>
        </w:rPr>
      </w:pPr>
    </w:p>
    <w:p w:rsidR="00F305B7" w:rsidRDefault="00F305B7" w:rsidP="00F305B7">
      <w:pPr>
        <w:rPr>
          <w:rFonts w:ascii="Sylfaen" w:hAnsi="Sylfaen"/>
          <w:lang w:val="ka-GE"/>
        </w:rPr>
      </w:pPr>
    </w:p>
    <w:p w:rsidR="00F305B7" w:rsidRDefault="00F305B7" w:rsidP="00F305B7">
      <w:pPr>
        <w:rPr>
          <w:rFonts w:ascii="Sylfaen" w:hAnsi="Sylfaen"/>
          <w:lang w:val="ka-GE"/>
        </w:rPr>
      </w:pPr>
    </w:p>
    <w:p w:rsidR="00F305B7" w:rsidRDefault="00F305B7" w:rsidP="00F305B7">
      <w:pPr>
        <w:rPr>
          <w:rFonts w:ascii="Sylfaen" w:hAnsi="Sylfaen"/>
          <w:lang w:val="ka-GE"/>
        </w:rPr>
      </w:pPr>
    </w:p>
    <w:p w:rsidR="00F305B7" w:rsidRDefault="00F305B7" w:rsidP="00F305B7">
      <w:pPr>
        <w:rPr>
          <w:rFonts w:ascii="Sylfaen" w:hAnsi="Sylfaen"/>
          <w:lang w:val="ka-GE"/>
        </w:rPr>
      </w:pPr>
    </w:p>
    <w:p w:rsidR="00F305B7" w:rsidRDefault="00F305B7" w:rsidP="00F305B7">
      <w:pPr>
        <w:rPr>
          <w:rFonts w:ascii="Sylfaen" w:hAnsi="Sylfaen"/>
          <w:lang w:val="ka-GE"/>
        </w:rPr>
      </w:pPr>
    </w:p>
    <w:p w:rsidR="00F305B7" w:rsidRDefault="00F305B7" w:rsidP="00F305B7">
      <w:pPr>
        <w:rPr>
          <w:rFonts w:ascii="Sylfaen" w:hAnsi="Sylfaen"/>
          <w:lang w:val="ka-GE"/>
        </w:rPr>
      </w:pPr>
    </w:p>
    <w:p w:rsidR="00F305B7" w:rsidRDefault="00F305B7" w:rsidP="00F305B7">
      <w:pPr>
        <w:rPr>
          <w:rFonts w:ascii="Sylfaen" w:hAnsi="Sylfaen"/>
          <w:lang w:val="ka-GE"/>
        </w:rPr>
      </w:pPr>
    </w:p>
    <w:p w:rsidR="00F305B7" w:rsidRDefault="00F305B7" w:rsidP="00F305B7">
      <w:pPr>
        <w:rPr>
          <w:rFonts w:ascii="Sylfaen" w:hAnsi="Sylfaen"/>
          <w:lang w:val="ka-GE"/>
        </w:rPr>
      </w:pPr>
    </w:p>
    <w:p w:rsidR="00F305B7" w:rsidRDefault="00F305B7" w:rsidP="00F305B7">
      <w:pPr>
        <w:rPr>
          <w:rFonts w:ascii="Sylfaen" w:hAnsi="Sylfaen"/>
          <w:lang w:val="ka-GE"/>
        </w:rPr>
      </w:pPr>
    </w:p>
    <w:p w:rsidR="00F305B7" w:rsidRDefault="00F305B7" w:rsidP="00F305B7">
      <w:pPr>
        <w:rPr>
          <w:rFonts w:ascii="Sylfaen" w:hAnsi="Sylfaen"/>
          <w:lang w:val="ka-GE"/>
        </w:rPr>
      </w:pPr>
    </w:p>
    <w:p w:rsidR="00F305B7" w:rsidRDefault="00F305B7" w:rsidP="00F305B7">
      <w:pPr>
        <w:rPr>
          <w:rFonts w:ascii="Sylfaen" w:hAnsi="Sylfaen"/>
          <w:lang w:val="ka-GE"/>
        </w:rPr>
      </w:pPr>
    </w:p>
    <w:p w:rsidR="00F305B7" w:rsidRDefault="00F305B7" w:rsidP="00F305B7">
      <w:pPr>
        <w:rPr>
          <w:rFonts w:ascii="Sylfaen" w:hAnsi="Sylfaen"/>
          <w:lang w:val="ka-GE"/>
        </w:rPr>
      </w:pPr>
    </w:p>
    <w:p w:rsidR="00F305B7" w:rsidRDefault="00F305B7" w:rsidP="00F305B7">
      <w:pPr>
        <w:rPr>
          <w:rFonts w:ascii="Sylfaen" w:hAnsi="Sylfaen"/>
          <w:lang w:val="ka-GE"/>
        </w:rPr>
      </w:pPr>
    </w:p>
    <w:p w:rsidR="00F305B7" w:rsidRPr="00124E53" w:rsidRDefault="00F305B7" w:rsidP="00F305B7">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315"/>
        <w:gridCol w:w="485"/>
      </w:tblGrid>
      <w:tr w:rsidR="00F305B7" w:rsidRPr="000C0133" w:rsidTr="000C7251">
        <w:tc>
          <w:tcPr>
            <w:tcW w:w="11016" w:type="dxa"/>
            <w:gridSpan w:val="2"/>
            <w:tcBorders>
              <w:left w:val="nil"/>
              <w:right w:val="nil"/>
            </w:tcBorders>
            <w:shd w:val="clear" w:color="auto" w:fill="D9D9D9"/>
          </w:tcPr>
          <w:p w:rsidR="00F305B7" w:rsidRPr="000C0133" w:rsidRDefault="00F305B7" w:rsidP="000C7251">
            <w:pPr>
              <w:spacing w:before="360" w:after="360" w:line="240" w:lineRule="auto"/>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F305B7" w:rsidRPr="000C0133" w:rsidTr="000C7251">
        <w:trPr>
          <w:trHeight w:val="378"/>
        </w:trPr>
        <w:tc>
          <w:tcPr>
            <w:tcW w:w="11016" w:type="dxa"/>
            <w:gridSpan w:val="2"/>
          </w:tcPr>
          <w:p w:rsidR="00F305B7" w:rsidRPr="000C0133" w:rsidRDefault="00F305B7" w:rsidP="000C7251">
            <w:pPr>
              <w:spacing w:after="0" w:line="240" w:lineRule="auto"/>
              <w:rPr>
                <w:rFonts w:ascii="Sylfaen" w:hAnsi="Sylfaen" w:cs="Sylfaen"/>
                <w:i/>
                <w:color w:val="000000"/>
                <w:lang w:val="ka-GE"/>
              </w:rPr>
            </w:pPr>
          </w:p>
        </w:tc>
      </w:tr>
      <w:tr w:rsidR="00F305B7" w:rsidRPr="000C0133" w:rsidTr="000C7251">
        <w:tc>
          <w:tcPr>
            <w:tcW w:w="11016" w:type="dxa"/>
            <w:gridSpan w:val="2"/>
            <w:tcBorders>
              <w:left w:val="nil"/>
              <w:bottom w:val="nil"/>
              <w:right w:val="nil"/>
            </w:tcBorders>
            <w:shd w:val="clear" w:color="auto" w:fill="D9D9D9"/>
          </w:tcPr>
          <w:p w:rsidR="00F305B7" w:rsidRPr="000C0133" w:rsidRDefault="00F305B7" w:rsidP="000C7251">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 xml:space="preserve">დოკუმენტები, რომლებიც </w:t>
            </w:r>
            <w:r>
              <w:rPr>
                <w:rFonts w:ascii="Sylfaen" w:hAnsi="Sylfaen"/>
                <w:i/>
                <w:iCs/>
                <w:color w:val="000000"/>
                <w:lang w:val="ka-GE"/>
              </w:rPr>
              <w:t>სასურველია</w:t>
            </w:r>
            <w:r w:rsidRPr="000C0133">
              <w:rPr>
                <w:rFonts w:ascii="Sylfaen" w:hAnsi="Sylfaen"/>
                <w:i/>
                <w:iCs/>
                <w:color w:val="000000"/>
                <w:lang w:val="ka-GE"/>
              </w:rPr>
              <w:t xml:space="preserve">  ერთვოდეს  </w:t>
            </w:r>
            <w:r>
              <w:rPr>
                <w:rFonts w:ascii="Sylfaen" w:hAnsi="Sylfaen"/>
                <w:i/>
                <w:iCs/>
                <w:color w:val="000000"/>
                <w:lang w:val="ka-GE"/>
              </w:rPr>
              <w:t>მოსაზრებას</w:t>
            </w:r>
            <w:r w:rsidRPr="000C0133">
              <w:rPr>
                <w:rFonts w:ascii="Sylfaen" w:hAnsi="Sylfaen"/>
                <w:i/>
                <w:iCs/>
                <w:color w:val="000000"/>
                <w:lang w:val="ka-GE"/>
              </w:rPr>
              <w:t xml:space="preserve"> (გთხოვთ, მონიშნოთ შესაბამისი უჯრა)</w:t>
            </w:r>
          </w:p>
        </w:tc>
      </w:tr>
      <w:tr w:rsidR="00F305B7" w:rsidRPr="000C0133" w:rsidTr="000C7251">
        <w:tc>
          <w:tcPr>
            <w:tcW w:w="10531" w:type="dxa"/>
            <w:tcBorders>
              <w:top w:val="nil"/>
              <w:left w:val="nil"/>
              <w:bottom w:val="nil"/>
              <w:right w:val="nil"/>
            </w:tcBorders>
            <w:shd w:val="clear" w:color="auto" w:fill="auto"/>
          </w:tcPr>
          <w:p w:rsidR="00F305B7" w:rsidRPr="000C0133" w:rsidRDefault="00F305B7" w:rsidP="000C7251">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w:t>
            </w:r>
            <w:proofErr w:type="spellStart"/>
            <w:proofErr w:type="gramStart"/>
            <w:r w:rsidRPr="000C0133">
              <w:rPr>
                <w:rFonts w:ascii="Sylfaen" w:hAnsi="Sylfaen" w:cs="Sylfaen"/>
                <w:color w:val="000000"/>
              </w:rPr>
              <w:t>სადავო</w:t>
            </w:r>
            <w:proofErr w:type="spellEnd"/>
            <w:proofErr w:type="gramEnd"/>
            <w:r w:rsidRPr="000C0133">
              <w:rPr>
                <w:color w:val="000000"/>
              </w:rPr>
              <w:t xml:space="preserve"> </w:t>
            </w:r>
            <w:proofErr w:type="spellStart"/>
            <w:r w:rsidRPr="000C0133">
              <w:rPr>
                <w:rFonts w:ascii="Sylfaen" w:hAnsi="Sylfaen" w:cs="Sylfaen"/>
                <w:color w:val="000000"/>
              </w:rPr>
              <w:t>ნორმატიული</w:t>
            </w:r>
            <w:proofErr w:type="spellEnd"/>
            <w:r w:rsidRPr="000C0133">
              <w:rPr>
                <w:color w:val="000000"/>
              </w:rPr>
              <w:t xml:space="preserve"> </w:t>
            </w:r>
            <w:proofErr w:type="spellStart"/>
            <w:r w:rsidRPr="000C0133">
              <w:rPr>
                <w:rFonts w:ascii="Sylfaen" w:hAnsi="Sylfaen" w:cs="Sylfaen"/>
                <w:color w:val="000000"/>
              </w:rPr>
              <w:t>აქტის</w:t>
            </w:r>
            <w:proofErr w:type="spellEnd"/>
            <w:r w:rsidRPr="000C0133">
              <w:rPr>
                <w:color w:val="000000"/>
              </w:rPr>
              <w:t xml:space="preserve"> </w:t>
            </w:r>
            <w:proofErr w:type="spellStart"/>
            <w:r w:rsidRPr="000C0133">
              <w:rPr>
                <w:rFonts w:ascii="Sylfaen" w:hAnsi="Sylfaen" w:cs="Sylfaen"/>
                <w:color w:val="000000"/>
              </w:rPr>
              <w:t>ტექსტი</w:t>
            </w:r>
            <w:proofErr w:type="spellEnd"/>
            <w:r w:rsidRPr="000C0133">
              <w:rPr>
                <w:rFonts w:ascii="Sylfaen" w:hAnsi="Sylfaen" w:cs="Sylfaen"/>
                <w:color w:val="000000"/>
              </w:rPr>
              <w:t>.</w:t>
            </w:r>
            <w:r w:rsidRPr="000C0133">
              <w:rPr>
                <w:color w:val="000000"/>
              </w:rPr>
              <w:tab/>
            </w:r>
          </w:p>
        </w:tc>
        <w:tc>
          <w:tcPr>
            <w:tcW w:w="485" w:type="dxa"/>
            <w:tcBorders>
              <w:top w:val="nil"/>
              <w:left w:val="nil"/>
              <w:bottom w:val="nil"/>
              <w:right w:val="nil"/>
            </w:tcBorders>
            <w:shd w:val="clear" w:color="auto" w:fill="auto"/>
            <w:vAlign w:val="center"/>
          </w:tcPr>
          <w:p w:rsidR="00F305B7" w:rsidRPr="000C0133" w:rsidRDefault="00F305B7" w:rsidP="000C7251">
            <w:pPr>
              <w:spacing w:after="0" w:line="240" w:lineRule="auto"/>
              <w:jc w:val="center"/>
              <w:rPr>
                <w:rFonts w:ascii="Sylfaen" w:hAnsi="Sylfaen"/>
                <w:color w:val="000000"/>
              </w:rPr>
            </w:pPr>
            <w:r>
              <w:rPr>
                <w:color w:val="000000"/>
              </w:rPr>
              <w:fldChar w:fldCharType="begin">
                <w:ffData>
                  <w:name w:val="Check1"/>
                  <w:enabled/>
                  <w:calcOnExit w:val="0"/>
                  <w:checkBox>
                    <w:sizeAuto/>
                    <w:default w:val="1"/>
                  </w:checkBox>
                </w:ffData>
              </w:fldChar>
            </w:r>
            <w:bookmarkStart w:id="4" w:name="Check1"/>
            <w:r>
              <w:rPr>
                <w:color w:val="000000"/>
              </w:rPr>
              <w:instrText xml:space="preserve"> FORMCHECKBOX </w:instrText>
            </w:r>
            <w:r w:rsidR="0028313C">
              <w:rPr>
                <w:color w:val="000000"/>
              </w:rPr>
            </w:r>
            <w:r w:rsidR="0028313C">
              <w:rPr>
                <w:color w:val="000000"/>
              </w:rPr>
              <w:fldChar w:fldCharType="separate"/>
            </w:r>
            <w:r>
              <w:rPr>
                <w:color w:val="000000"/>
              </w:rPr>
              <w:fldChar w:fldCharType="end"/>
            </w:r>
            <w:bookmarkEnd w:id="4"/>
          </w:p>
        </w:tc>
      </w:tr>
      <w:tr w:rsidR="00F305B7" w:rsidRPr="000C0133" w:rsidTr="000C7251">
        <w:trPr>
          <w:trHeight w:val="477"/>
        </w:trPr>
        <w:tc>
          <w:tcPr>
            <w:tcW w:w="10531" w:type="dxa"/>
            <w:tcBorders>
              <w:top w:val="nil"/>
              <w:left w:val="nil"/>
              <w:bottom w:val="nil"/>
              <w:right w:val="nil"/>
            </w:tcBorders>
            <w:shd w:val="clear" w:color="auto" w:fill="auto"/>
          </w:tcPr>
          <w:p w:rsidR="00F305B7" w:rsidRPr="000C0133" w:rsidRDefault="00F305B7" w:rsidP="000C7251">
            <w:pPr>
              <w:spacing w:after="0" w:line="240" w:lineRule="auto"/>
              <w:rPr>
                <w:rFonts w:ascii="Sylfaen" w:hAnsi="Sylfaen"/>
                <w:color w:val="000000"/>
                <w:lang w:val="ka-GE"/>
              </w:rPr>
            </w:pPr>
            <w:r>
              <w:rPr>
                <w:rFonts w:ascii="Sylfaen" w:hAnsi="Sylfaen"/>
                <w:color w:val="000000"/>
                <w:lang w:val="ka-GE"/>
              </w:rPr>
              <w:t>2</w:t>
            </w:r>
            <w:r w:rsidRPr="000C0133">
              <w:rPr>
                <w:color w:val="000000"/>
              </w:rPr>
              <w:t>.</w:t>
            </w:r>
            <w:r w:rsidRPr="000C0133">
              <w:rPr>
                <w:rFonts w:ascii="Sylfaen" w:hAnsi="Sylfaen" w:cs="Sylfaen"/>
                <w:color w:val="000000"/>
              </w:rPr>
              <w:t xml:space="preserve"> </w:t>
            </w:r>
            <w:r>
              <w:rPr>
                <w:rFonts w:ascii="Sylfaen" w:hAnsi="Sylfaen" w:cs="Sylfaen"/>
                <w:color w:val="000000"/>
                <w:lang w:val="ka-GE"/>
              </w:rPr>
              <w:t>„სასამართლოს მეგობრის“ მოსაზრების</w:t>
            </w:r>
            <w:r w:rsidRPr="000C0133">
              <w:rPr>
                <w:color w:val="000000"/>
              </w:rPr>
              <w:t xml:space="preserve"> </w:t>
            </w:r>
            <w:proofErr w:type="spellStart"/>
            <w:r w:rsidRPr="000C0133">
              <w:rPr>
                <w:rFonts w:ascii="Sylfaen" w:hAnsi="Sylfaen" w:cs="Sylfaen"/>
                <w:color w:val="000000"/>
              </w:rPr>
              <w:t>ელექტრონული</w:t>
            </w:r>
            <w:proofErr w:type="spellEnd"/>
            <w:r w:rsidRPr="000C0133">
              <w:rPr>
                <w:color w:val="000000"/>
              </w:rPr>
              <w:t xml:space="preserve"> </w:t>
            </w:r>
            <w:proofErr w:type="spellStart"/>
            <w:r w:rsidRPr="000C0133">
              <w:rPr>
                <w:rFonts w:ascii="Sylfaen" w:hAnsi="Sylfaen" w:cs="Sylfaen"/>
                <w:color w:val="000000"/>
              </w:rPr>
              <w:t>ვერსია</w:t>
            </w:r>
            <w:proofErr w:type="spellEnd"/>
            <w:r w:rsidRPr="000C0133">
              <w:rPr>
                <w:color w:val="000000"/>
              </w:rPr>
              <w:t xml:space="preserve">.   </w:t>
            </w:r>
          </w:p>
        </w:tc>
        <w:tc>
          <w:tcPr>
            <w:tcW w:w="485" w:type="dxa"/>
            <w:tcBorders>
              <w:top w:val="nil"/>
              <w:left w:val="nil"/>
              <w:bottom w:val="nil"/>
              <w:right w:val="nil"/>
            </w:tcBorders>
            <w:shd w:val="clear" w:color="auto" w:fill="auto"/>
            <w:vAlign w:val="center"/>
          </w:tcPr>
          <w:p w:rsidR="00F305B7" w:rsidRPr="00124E53" w:rsidRDefault="00F305B7" w:rsidP="000C7251">
            <w:pPr>
              <w:spacing w:after="0" w:line="240" w:lineRule="auto"/>
              <w:jc w:val="center"/>
              <w:rPr>
                <w:rFonts w:ascii="Sylfaen" w:hAnsi="Sylfaen"/>
                <w:color w:val="000000"/>
                <w:lang w:val="ka-GE"/>
              </w:rPr>
            </w:pPr>
            <w:r>
              <w:rPr>
                <w:color w:val="000000"/>
              </w:rPr>
              <w:fldChar w:fldCharType="begin">
                <w:ffData>
                  <w:name w:val=""/>
                  <w:enabled/>
                  <w:calcOnExit w:val="0"/>
                  <w:checkBox>
                    <w:sizeAuto/>
                    <w:default w:val="1"/>
                  </w:checkBox>
                </w:ffData>
              </w:fldChar>
            </w:r>
            <w:r>
              <w:rPr>
                <w:color w:val="000000"/>
              </w:rPr>
              <w:instrText xml:space="preserve"> FORMCHECKBOX </w:instrText>
            </w:r>
            <w:r w:rsidR="0028313C">
              <w:rPr>
                <w:color w:val="000000"/>
              </w:rPr>
            </w:r>
            <w:r w:rsidR="0028313C">
              <w:rPr>
                <w:color w:val="000000"/>
              </w:rPr>
              <w:fldChar w:fldCharType="separate"/>
            </w:r>
            <w:r>
              <w:rPr>
                <w:color w:val="000000"/>
              </w:rPr>
              <w:fldChar w:fldCharType="end"/>
            </w:r>
          </w:p>
        </w:tc>
      </w:tr>
      <w:tr w:rsidR="00F305B7" w:rsidRPr="000C0133" w:rsidTr="000C7251">
        <w:trPr>
          <w:trHeight w:val="423"/>
        </w:trPr>
        <w:tc>
          <w:tcPr>
            <w:tcW w:w="11016" w:type="dxa"/>
            <w:gridSpan w:val="2"/>
            <w:tcBorders>
              <w:top w:val="nil"/>
              <w:left w:val="nil"/>
              <w:bottom w:val="nil"/>
              <w:right w:val="nil"/>
            </w:tcBorders>
            <w:shd w:val="clear" w:color="auto" w:fill="C0C0C0"/>
          </w:tcPr>
          <w:p w:rsidR="00F305B7" w:rsidRPr="000C0133" w:rsidRDefault="00F305B7" w:rsidP="000C7251">
            <w:pPr>
              <w:spacing w:after="0" w:line="240" w:lineRule="auto"/>
              <w:rPr>
                <w:rFonts w:ascii="Sylfaen" w:hAnsi="Sylfaen"/>
                <w:i/>
                <w:color w:val="000000"/>
                <w:lang w:val="ka-GE"/>
              </w:rPr>
            </w:pPr>
            <w:r>
              <w:rPr>
                <w:rFonts w:ascii="Sylfaen" w:hAnsi="Sylfaen"/>
                <w:i/>
                <w:color w:val="000000"/>
                <w:lang w:val="ka-GE"/>
              </w:rPr>
              <w:t>ბ. სხვა</w:t>
            </w:r>
            <w:r w:rsidRPr="000C0133">
              <w:rPr>
                <w:rFonts w:ascii="Sylfaen" w:hAnsi="Sylfaen"/>
                <w:i/>
                <w:color w:val="000000"/>
                <w:lang w:val="ka-GE"/>
              </w:rPr>
              <w:t xml:space="preserve"> დოკუმენტები:</w:t>
            </w:r>
          </w:p>
        </w:tc>
      </w:tr>
      <w:tr w:rsidR="00F305B7" w:rsidRPr="000C0133" w:rsidTr="000C7251">
        <w:trPr>
          <w:trHeight w:val="197"/>
        </w:trPr>
        <w:tc>
          <w:tcPr>
            <w:tcW w:w="11016" w:type="dxa"/>
            <w:gridSpan w:val="2"/>
            <w:tcBorders>
              <w:top w:val="nil"/>
              <w:left w:val="nil"/>
              <w:bottom w:val="nil"/>
              <w:right w:val="nil"/>
            </w:tcBorders>
            <w:shd w:val="clear" w:color="auto" w:fill="FFFFFF"/>
          </w:tcPr>
          <w:p w:rsidR="00F305B7" w:rsidRPr="00124E53" w:rsidRDefault="00F305B7" w:rsidP="000C7251">
            <w:pPr>
              <w:spacing w:after="0" w:line="240" w:lineRule="auto"/>
              <w:rPr>
                <w:rFonts w:ascii="Sylfaen" w:hAnsi="Sylfaen"/>
                <w:color w:val="000000"/>
                <w:sz w:val="12"/>
                <w:szCs w:val="12"/>
                <w:lang w:val="ka-GE"/>
              </w:rPr>
            </w:pPr>
          </w:p>
        </w:tc>
      </w:tr>
      <w:tr w:rsidR="00F305B7" w:rsidRPr="000C0133" w:rsidTr="000C7251">
        <w:trPr>
          <w:trHeight w:val="423"/>
        </w:trPr>
        <w:tc>
          <w:tcPr>
            <w:tcW w:w="11016" w:type="dxa"/>
            <w:gridSpan w:val="2"/>
            <w:tcBorders>
              <w:top w:val="nil"/>
              <w:bottom w:val="single" w:sz="4" w:space="0" w:color="auto"/>
            </w:tcBorders>
          </w:tcPr>
          <w:p w:rsidR="00F305B7" w:rsidRPr="000C0133" w:rsidRDefault="00F305B7" w:rsidP="000C7251">
            <w:pPr>
              <w:spacing w:after="0" w:line="240" w:lineRule="auto"/>
              <w:rPr>
                <w:rFonts w:ascii="Sylfaen" w:hAnsi="Sylfaen"/>
                <w:color w:val="000000"/>
                <w:lang w:val="ka-GE"/>
              </w:rPr>
            </w:pPr>
            <w:r w:rsidRPr="000C0133">
              <w:rPr>
                <w:rFonts w:ascii="Sylfaen" w:hAnsi="Sylfaen"/>
                <w:color w:val="000000"/>
                <w:lang w:val="ka-GE"/>
              </w:rPr>
              <w:t>1.</w:t>
            </w:r>
            <w:r>
              <w:rPr>
                <w:rFonts w:ascii="Sylfaen" w:hAnsi="Sylfaen"/>
                <w:color w:val="000000"/>
                <w:lang w:val="ka-GE"/>
              </w:rPr>
              <w:t xml:space="preserve"> </w:t>
            </w:r>
            <w:r>
              <w:rPr>
                <w:rFonts w:ascii="Sylfaen" w:hAnsi="Sylfaen"/>
                <w:color w:val="000000"/>
                <w:lang w:val="ka-GE"/>
              </w:rPr>
              <w:fldChar w:fldCharType="begin">
                <w:ffData>
                  <w:name w:val="Text9"/>
                  <w:enabled/>
                  <w:calcOnExit w:val="0"/>
                  <w:textInput/>
                </w:ffData>
              </w:fldChar>
            </w:r>
            <w:bookmarkStart w:id="5" w:name="Text9"/>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color w:val="000000"/>
                <w:lang w:val="ka-GE"/>
              </w:rPr>
              <w:fldChar w:fldCharType="end"/>
            </w:r>
            <w:bookmarkEnd w:id="5"/>
          </w:p>
          <w:p w:rsidR="00F305B7" w:rsidRPr="000C0133" w:rsidRDefault="00F305B7" w:rsidP="000C7251">
            <w:pPr>
              <w:spacing w:after="0" w:line="240" w:lineRule="auto"/>
              <w:rPr>
                <w:rFonts w:ascii="Sylfaen" w:hAnsi="Sylfaen"/>
                <w:color w:val="000000"/>
                <w:lang w:val="ka-GE"/>
              </w:rPr>
            </w:pPr>
            <w:r w:rsidRPr="000C0133">
              <w:rPr>
                <w:rFonts w:ascii="Sylfaen" w:hAnsi="Sylfaen"/>
                <w:color w:val="000000"/>
                <w:lang w:val="ka-GE"/>
              </w:rPr>
              <w:t>2.</w:t>
            </w:r>
            <w:r>
              <w:rPr>
                <w:rFonts w:ascii="Sylfaen" w:hAnsi="Sylfaen"/>
                <w:color w:val="000000"/>
                <w:lang w:val="ka-GE"/>
              </w:rPr>
              <w:t xml:space="preserve"> </w:t>
            </w:r>
            <w:r>
              <w:rPr>
                <w:rFonts w:ascii="Sylfaen" w:hAnsi="Sylfaen"/>
                <w:color w:val="000000"/>
                <w:lang w:val="ka-GE"/>
              </w:rPr>
              <w:fldChar w:fldCharType="begin">
                <w:ffData>
                  <w:name w:val="Text10"/>
                  <w:enabled/>
                  <w:calcOnExit w:val="0"/>
                  <w:textInput/>
                </w:ffData>
              </w:fldChar>
            </w:r>
            <w:bookmarkStart w:id="6" w:name="Text10"/>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color w:val="000000"/>
                <w:lang w:val="ka-GE"/>
              </w:rPr>
              <w:fldChar w:fldCharType="end"/>
            </w:r>
            <w:bookmarkEnd w:id="6"/>
          </w:p>
        </w:tc>
      </w:tr>
      <w:tr w:rsidR="00F305B7" w:rsidRPr="000C0133" w:rsidTr="000C7251">
        <w:trPr>
          <w:trHeight w:val="423"/>
        </w:trPr>
        <w:tc>
          <w:tcPr>
            <w:tcW w:w="11016" w:type="dxa"/>
            <w:gridSpan w:val="2"/>
            <w:tcBorders>
              <w:top w:val="single" w:sz="4" w:space="0" w:color="auto"/>
              <w:bottom w:val="nil"/>
            </w:tcBorders>
          </w:tcPr>
          <w:p w:rsidR="00F305B7" w:rsidRPr="000C0133" w:rsidRDefault="00F305B7" w:rsidP="000C7251">
            <w:pPr>
              <w:spacing w:after="0" w:line="240" w:lineRule="auto"/>
              <w:rPr>
                <w:color w:val="000000"/>
              </w:rPr>
            </w:pPr>
          </w:p>
        </w:tc>
      </w:tr>
    </w:tbl>
    <w:p w:rsidR="00F305B7" w:rsidRDefault="00F305B7" w:rsidP="00F305B7">
      <w:pPr>
        <w:rPr>
          <w:rFonts w:ascii="Sylfaen" w:hAnsi="Sylfaen"/>
          <w:lang w:val="ka-GE"/>
        </w:rPr>
      </w:pPr>
      <w:bookmarkStart w:id="7" w:name="_GoBack"/>
      <w:bookmarkEnd w:id="7"/>
    </w:p>
    <w:p w:rsidR="00F305B7" w:rsidRDefault="00F305B7" w:rsidP="00F305B7">
      <w:pPr>
        <w:rPr>
          <w:rFonts w:ascii="Sylfaen" w:hAnsi="Sylfaen"/>
          <w:lang w:val="ka-GE"/>
        </w:rPr>
      </w:pPr>
    </w:p>
    <w:p w:rsidR="00F305B7" w:rsidRDefault="00F305B7" w:rsidP="00F305B7">
      <w:pPr>
        <w:rPr>
          <w:rFonts w:ascii="Sylfaen" w:hAnsi="Sylfaen"/>
          <w:lang w:val="ka-GE"/>
        </w:rPr>
      </w:pPr>
    </w:p>
    <w:p w:rsidR="00F305B7" w:rsidRDefault="00F305B7" w:rsidP="00F305B7">
      <w:pPr>
        <w:rPr>
          <w:rFonts w:ascii="Sylfaen" w:hAnsi="Sylfaen"/>
          <w:lang w:val="ka-GE"/>
        </w:rPr>
      </w:pPr>
    </w:p>
    <w:p w:rsidR="00F305B7" w:rsidRDefault="00F305B7" w:rsidP="00F305B7">
      <w:pPr>
        <w:rPr>
          <w:rFonts w:ascii="Sylfaen" w:hAnsi="Sylfaen"/>
          <w:lang w:val="ka-GE"/>
        </w:rPr>
      </w:pPr>
    </w:p>
    <w:p w:rsidR="00F305B7" w:rsidRDefault="00F305B7" w:rsidP="00F305B7">
      <w:pPr>
        <w:rPr>
          <w:rFonts w:ascii="Sylfaen" w:hAnsi="Sylfaen"/>
          <w:lang w:val="ka-GE"/>
        </w:rPr>
      </w:pPr>
    </w:p>
    <w:p w:rsidR="00F305B7" w:rsidRDefault="00F305B7" w:rsidP="00F305B7">
      <w:pPr>
        <w:rPr>
          <w:rFonts w:ascii="Sylfaen" w:hAnsi="Sylfaen"/>
          <w:lang w:val="ka-GE"/>
        </w:rPr>
      </w:pPr>
    </w:p>
    <w:p w:rsidR="00F305B7" w:rsidRDefault="00F305B7" w:rsidP="00F305B7">
      <w:pPr>
        <w:rPr>
          <w:rFonts w:ascii="Sylfaen" w:hAnsi="Sylfaen"/>
          <w:lang w:val="ka-GE"/>
        </w:rPr>
      </w:pPr>
    </w:p>
    <w:p w:rsidR="00F305B7" w:rsidRDefault="00F305B7" w:rsidP="00F305B7">
      <w:pPr>
        <w:rPr>
          <w:rFonts w:ascii="Sylfaen" w:hAnsi="Sylfaen"/>
          <w:lang w:val="ka-GE"/>
        </w:rPr>
      </w:pPr>
    </w:p>
    <w:p w:rsidR="00F305B7" w:rsidRDefault="00F305B7" w:rsidP="00F305B7">
      <w:pPr>
        <w:rPr>
          <w:rFonts w:ascii="Sylfaen" w:hAnsi="Sylfaen"/>
          <w:lang w:val="ka-GE"/>
        </w:rPr>
      </w:pPr>
    </w:p>
    <w:p w:rsidR="00F305B7" w:rsidRDefault="00F305B7" w:rsidP="00F305B7">
      <w:pPr>
        <w:rPr>
          <w:rFonts w:ascii="Sylfaen" w:hAnsi="Sylfaen"/>
          <w:lang w:val="ka-GE"/>
        </w:rPr>
      </w:pPr>
    </w:p>
    <w:p w:rsidR="00F305B7" w:rsidRDefault="00F305B7" w:rsidP="00F305B7">
      <w:pPr>
        <w:rPr>
          <w:rFonts w:ascii="Sylfaen" w:hAnsi="Sylfaen"/>
          <w:lang w:val="ka-GE"/>
        </w:rPr>
      </w:pPr>
    </w:p>
    <w:p w:rsidR="00F305B7" w:rsidRDefault="00F305B7" w:rsidP="00F305B7">
      <w:pPr>
        <w:rPr>
          <w:rFonts w:ascii="Sylfaen" w:hAnsi="Sylfaen"/>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327"/>
        <w:gridCol w:w="3463"/>
      </w:tblGrid>
      <w:tr w:rsidR="00F305B7" w:rsidRPr="000C0133" w:rsidTr="000C7251">
        <w:trPr>
          <w:trHeight w:val="423"/>
        </w:trPr>
        <w:tc>
          <w:tcPr>
            <w:tcW w:w="7488" w:type="dxa"/>
          </w:tcPr>
          <w:p w:rsidR="00F305B7" w:rsidRPr="0050240A" w:rsidRDefault="00F305B7" w:rsidP="000C7251">
            <w:pPr>
              <w:spacing w:after="0" w:line="240" w:lineRule="auto"/>
              <w:rPr>
                <w:rFonts w:ascii="Sylfaen" w:hAnsi="Sylfaen"/>
                <w:color w:val="000000"/>
              </w:rPr>
            </w:pPr>
            <w:r>
              <w:rPr>
                <w:rFonts w:ascii="Sylfaen" w:hAnsi="Sylfaen"/>
                <w:color w:val="000000"/>
                <w:lang w:val="ka-GE"/>
              </w:rPr>
              <w:t>მოსაზრების ავტორის</w:t>
            </w:r>
            <w:r w:rsidRPr="000C0133">
              <w:rPr>
                <w:rFonts w:ascii="Sylfaen" w:hAnsi="Sylfaen"/>
                <w:color w:val="000000"/>
                <w:lang w:val="ka-GE"/>
              </w:rPr>
              <w:t xml:space="preserve"> ხელმოწერა</w:t>
            </w:r>
            <w:r w:rsidRPr="000C0133">
              <w:rPr>
                <w:color w:val="000000"/>
                <w:lang w:val="ka-GE"/>
              </w:rPr>
              <w:t>:</w:t>
            </w:r>
            <w:r>
              <w:rPr>
                <w:rFonts w:ascii="Sylfaen" w:hAnsi="Sylfaen"/>
                <w:color w:val="000000"/>
                <w:lang w:val="ka-GE"/>
              </w:rPr>
              <w:t xml:space="preserve"> </w:t>
            </w:r>
          </w:p>
        </w:tc>
        <w:tc>
          <w:tcPr>
            <w:tcW w:w="3528" w:type="dxa"/>
          </w:tcPr>
          <w:p w:rsidR="00F305B7" w:rsidRPr="000C0133" w:rsidRDefault="00F305B7" w:rsidP="000C7251">
            <w:pPr>
              <w:spacing w:after="0" w:line="240" w:lineRule="auto"/>
              <w:rPr>
                <w:color w:val="000000"/>
              </w:rPr>
            </w:pPr>
            <w:r w:rsidRPr="000C0133">
              <w:rPr>
                <w:rFonts w:ascii="Sylfaen" w:hAnsi="Sylfaen"/>
                <w:color w:val="000000"/>
                <w:lang w:val="ka-GE"/>
              </w:rPr>
              <w:t>თარიღი:</w:t>
            </w:r>
          </w:p>
        </w:tc>
      </w:tr>
    </w:tbl>
    <w:p w:rsidR="00F305B7" w:rsidRPr="007B5F62" w:rsidRDefault="00F305B7" w:rsidP="00F305B7">
      <w:pPr>
        <w:rPr>
          <w:rFonts w:ascii="Sylfaen" w:hAnsi="Sylfaen"/>
        </w:rPr>
      </w:pPr>
    </w:p>
    <w:p w:rsidR="00696A55" w:rsidRDefault="0028313C"/>
    <w:sectPr w:rsidR="00696A55" w:rsidSect="007F70A8">
      <w:pgSz w:w="12240" w:h="15840"/>
      <w:pgMar w:top="81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13C" w:rsidRDefault="0028313C" w:rsidP="00F305B7">
      <w:pPr>
        <w:spacing w:after="0" w:line="240" w:lineRule="auto"/>
      </w:pPr>
      <w:r>
        <w:separator/>
      </w:r>
    </w:p>
  </w:endnote>
  <w:endnote w:type="continuationSeparator" w:id="0">
    <w:p w:rsidR="0028313C" w:rsidRDefault="0028313C" w:rsidP="00F30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13C" w:rsidRDefault="0028313C" w:rsidP="00F305B7">
      <w:pPr>
        <w:spacing w:after="0" w:line="240" w:lineRule="auto"/>
      </w:pPr>
      <w:r>
        <w:separator/>
      </w:r>
    </w:p>
  </w:footnote>
  <w:footnote w:type="continuationSeparator" w:id="0">
    <w:p w:rsidR="0028313C" w:rsidRDefault="0028313C" w:rsidP="00F305B7">
      <w:pPr>
        <w:spacing w:after="0" w:line="240" w:lineRule="auto"/>
      </w:pPr>
      <w:r>
        <w:continuationSeparator/>
      </w:r>
    </w:p>
  </w:footnote>
  <w:footnote w:id="1">
    <w:p w:rsidR="00F305B7" w:rsidRPr="00FF3152" w:rsidRDefault="00F305B7" w:rsidP="00F305B7">
      <w:pPr>
        <w:pStyle w:val="FootnoteText"/>
        <w:jc w:val="both"/>
        <w:rPr>
          <w:rFonts w:ascii="Sylfaen" w:hAnsi="Sylfaen"/>
          <w:lang w:val="ka-GE"/>
        </w:rPr>
      </w:pPr>
      <w:r w:rsidRPr="00266DFA">
        <w:rPr>
          <w:rFonts w:ascii="Sylfaen" w:hAnsi="Sylfaen"/>
          <w:lang w:val="ka-GE"/>
        </w:rPr>
        <w:t>შენიშვნა 1</w:t>
      </w:r>
      <w:r>
        <w:rPr>
          <w:rFonts w:ascii="Sylfaen" w:hAnsi="Sylfaen"/>
        </w:rPr>
        <w:t xml:space="preserve"> -</w:t>
      </w:r>
      <w:r>
        <w:t xml:space="preserve"> </w:t>
      </w:r>
      <w:r>
        <w:rPr>
          <w:rFonts w:ascii="Sylfaen" w:hAnsi="Sylfaen"/>
          <w:lang w:val="ka-GE"/>
        </w:rPr>
        <w:t>ქვემოთ მოცემულ ველში უნდა მიეთითოს კონსტიტუციური სარჩელის ნომერი, მოსარჩელისა და მოპასუხის დასახელება ან/და სხვა ინფორმაცია, რომლის საფუძველზეც სასამართლოსთვის ცხადი გახდება</w:t>
      </w:r>
      <w:r>
        <w:rPr>
          <w:rFonts w:ascii="Sylfaen" w:hAnsi="Sylfaen"/>
        </w:rPr>
        <w:t>,</w:t>
      </w:r>
      <w:r>
        <w:rPr>
          <w:rFonts w:ascii="Sylfaen" w:hAnsi="Sylfaen"/>
          <w:lang w:val="ka-GE"/>
        </w:rPr>
        <w:t xml:space="preserve"> თუ რომელ საქმესთან დაკავშირებითაა მომზადებული მოსაზრება.</w:t>
      </w:r>
    </w:p>
  </w:footnote>
  <w:footnote w:id="2">
    <w:p w:rsidR="00F305B7" w:rsidRPr="00FF3152" w:rsidRDefault="00F305B7" w:rsidP="00F305B7">
      <w:pPr>
        <w:pStyle w:val="FootnoteText"/>
        <w:jc w:val="both"/>
        <w:rPr>
          <w:rFonts w:ascii="Sylfaen" w:hAnsi="Sylfaen"/>
          <w:lang w:val="ka-GE"/>
        </w:rPr>
      </w:pPr>
      <w:r w:rsidRPr="00266DFA">
        <w:rPr>
          <w:rFonts w:ascii="Sylfaen" w:hAnsi="Sylfaen"/>
          <w:lang w:val="ka-GE"/>
        </w:rPr>
        <w:t xml:space="preserve">შენიშვნა 2 </w:t>
      </w:r>
      <w:r>
        <w:rPr>
          <w:rFonts w:ascii="Sylfaen" w:hAnsi="Sylfaen"/>
          <w:lang w:val="ka-GE"/>
        </w:rPr>
        <w:t xml:space="preserve">- ქვემოთ მოცემულ ველში უნდა მიეთითოს „სასამართლოს მეგობრის“ არგუმენტები და მის მიერ მოყვანილი მტკიცებულებები რომლებითაც ის ასაბუთებს საქმესთან დაკავშირებით გამოთქმულ მოსაზრებას. </w:t>
      </w:r>
    </w:p>
  </w:footnote>
  <w:footnote w:id="3">
    <w:p w:rsidR="00F305B7" w:rsidRPr="003B7706" w:rsidRDefault="00F305B7" w:rsidP="00F305B7">
      <w:pPr>
        <w:pStyle w:val="FootnoteText"/>
        <w:jc w:val="both"/>
        <w:rPr>
          <w:rFonts w:ascii="Sylfaen" w:hAnsi="Sylfaen"/>
          <w:sz w:val="18"/>
          <w:szCs w:val="18"/>
          <w:lang w:val="ka-GE"/>
        </w:rPr>
      </w:pPr>
      <w:r>
        <w:rPr>
          <w:rStyle w:val="FootnoteReference"/>
        </w:rPr>
        <w:footnoteRef/>
      </w:r>
      <w:r>
        <w:t xml:space="preserve"> </w:t>
      </w:r>
      <w:r w:rsidRPr="003B7706">
        <w:rPr>
          <w:rFonts w:ascii="Sylfaen" w:hAnsi="Sylfaen"/>
          <w:sz w:val="18"/>
          <w:szCs w:val="18"/>
          <w:lang w:val="ka-GE"/>
        </w:rPr>
        <w:t>„დისკრიმინაციის ყველა ფორმის აღმოფხვრის შესახებ“ საქართველოს კანონის</w:t>
      </w:r>
      <w:r>
        <w:rPr>
          <w:rFonts w:ascii="Sylfaen" w:hAnsi="Sylfaen"/>
          <w:sz w:val="18"/>
          <w:szCs w:val="18"/>
          <w:lang w:val="ka-GE"/>
        </w:rPr>
        <w:t xml:space="preserve"> მე-6 და მე-9 მუხლების შესაბამისად, </w:t>
      </w:r>
      <w:r w:rsidRPr="003B7706">
        <w:rPr>
          <w:rFonts w:ascii="Sylfaen" w:hAnsi="Sylfaen"/>
          <w:sz w:val="18"/>
          <w:szCs w:val="18"/>
          <w:lang w:val="ka-GE"/>
        </w:rPr>
        <w:t xml:space="preserve">დისკრიმინაციის აღმოფხვრისა და თანასწორობის უზრუნველყოფაზე ზედამხედველობას ახორციელებს საქართველოს სახალხო დამცველი. </w:t>
      </w:r>
      <w:r>
        <w:rPr>
          <w:rFonts w:ascii="Sylfaen" w:hAnsi="Sylfaen"/>
          <w:sz w:val="18"/>
          <w:szCs w:val="18"/>
          <w:lang w:val="ka-GE"/>
        </w:rPr>
        <w:t xml:space="preserve">აღნიშნული </w:t>
      </w:r>
      <w:r w:rsidRPr="003B7706">
        <w:rPr>
          <w:rFonts w:ascii="Sylfaen" w:hAnsi="Sylfaen"/>
          <w:sz w:val="18"/>
          <w:szCs w:val="18"/>
          <w:lang w:val="ka-GE"/>
        </w:rPr>
        <w:t>უფლებამოსილებების განსახორციელებლად</w:t>
      </w:r>
      <w:r>
        <w:rPr>
          <w:rFonts w:ascii="Sylfaen" w:hAnsi="Sylfaen"/>
          <w:sz w:val="18"/>
          <w:szCs w:val="18"/>
          <w:lang w:val="ka-GE"/>
        </w:rPr>
        <w:t xml:space="preserve"> სახალხო დამცველი შეისწავლის და განიხილავს </w:t>
      </w:r>
      <w:r w:rsidRPr="003B7706">
        <w:rPr>
          <w:rFonts w:ascii="Sylfaen" w:hAnsi="Sylfaen"/>
          <w:sz w:val="18"/>
          <w:szCs w:val="18"/>
          <w:lang w:val="ka-GE"/>
        </w:rPr>
        <w:t>იმ ფიზიკური ან იურიდიული პირის ან პირთა ჯგუფის განცხადებას და საჩივარს, რომელიც თავს დისკრიმინაციის მსხვერპლად მიიჩნევს</w:t>
      </w:r>
      <w:r>
        <w:rPr>
          <w:rFonts w:ascii="Sylfaen" w:hAnsi="Sylfaen"/>
          <w:sz w:val="18"/>
          <w:szCs w:val="18"/>
          <w:lang w:val="ka-GE"/>
        </w:rPr>
        <w:t xml:space="preserve"> და შეიმუშავებს რეკომენდაციებს;</w:t>
      </w:r>
    </w:p>
  </w:footnote>
  <w:footnote w:id="4">
    <w:p w:rsidR="00F305B7" w:rsidRPr="00B92BEA" w:rsidRDefault="00F305B7" w:rsidP="00F305B7">
      <w:pPr>
        <w:pStyle w:val="FootnoteText"/>
        <w:jc w:val="both"/>
        <w:rPr>
          <w:rFonts w:ascii="Sylfaen" w:hAnsi="Sylfaen"/>
          <w:sz w:val="18"/>
          <w:szCs w:val="18"/>
          <w:lang w:val="ka-GE"/>
        </w:rPr>
      </w:pPr>
      <w:r w:rsidRPr="00B92BEA">
        <w:rPr>
          <w:rStyle w:val="FootnoteReference"/>
          <w:rFonts w:ascii="Sylfaen" w:hAnsi="Sylfaen"/>
          <w:sz w:val="18"/>
          <w:szCs w:val="18"/>
          <w:lang w:val="ka-GE"/>
        </w:rPr>
        <w:footnoteRef/>
      </w:r>
      <w:r w:rsidRPr="00B92BEA">
        <w:rPr>
          <w:rFonts w:ascii="Sylfaen" w:hAnsi="Sylfaen"/>
          <w:sz w:val="18"/>
          <w:szCs w:val="18"/>
          <w:lang w:val="ka-GE"/>
        </w:rPr>
        <w:t xml:space="preserve"> </w:t>
      </w:r>
      <w:r w:rsidRPr="00B92BEA">
        <w:rPr>
          <w:rFonts w:ascii="Sylfaen" w:hAnsi="Sylfaen"/>
          <w:sz w:val="18"/>
          <w:szCs w:val="18"/>
          <w:lang w:val="ka-GE"/>
        </w:rPr>
        <w:t>საქართველოს საკონსტიტუციო სასამართლოს 2018 წლის 22 თებერვლის №2/2/863 გადაწყვეტილება</w:t>
      </w:r>
      <w:r>
        <w:rPr>
          <w:rFonts w:ascii="Sylfaen" w:hAnsi="Sylfaen"/>
          <w:sz w:val="18"/>
          <w:szCs w:val="18"/>
          <w:lang w:val="ka-GE"/>
        </w:rPr>
        <w:t>, II-22;</w:t>
      </w:r>
    </w:p>
  </w:footnote>
  <w:footnote w:id="5">
    <w:p w:rsidR="00F305B7" w:rsidRPr="00EF5B9F" w:rsidRDefault="00F305B7" w:rsidP="00F305B7">
      <w:pPr>
        <w:pStyle w:val="FootnoteText"/>
        <w:jc w:val="both"/>
        <w:rPr>
          <w:rFonts w:ascii="Sylfaen" w:hAnsi="Sylfaen"/>
          <w:lang w:val="ka-GE"/>
        </w:rPr>
      </w:pPr>
      <w:r w:rsidRPr="006B0ABF">
        <w:rPr>
          <w:rStyle w:val="FootnoteReference"/>
          <w:rFonts w:ascii="Sylfaen" w:hAnsi="Sylfaen"/>
          <w:sz w:val="18"/>
          <w:szCs w:val="18"/>
        </w:rPr>
        <w:footnoteRef/>
      </w:r>
      <w:r w:rsidRPr="006B0ABF">
        <w:rPr>
          <w:rFonts w:ascii="Sylfaen" w:hAnsi="Sylfaen"/>
          <w:sz w:val="18"/>
          <w:szCs w:val="18"/>
          <w:lang w:val="ka-GE"/>
        </w:rPr>
        <w:t xml:space="preserve"> </w:t>
      </w:r>
      <w:r w:rsidRPr="006B0ABF">
        <w:rPr>
          <w:rFonts w:ascii="Sylfaen" w:hAnsi="Sylfaen"/>
          <w:sz w:val="18"/>
          <w:szCs w:val="18"/>
          <w:lang w:val="ka-GE"/>
        </w:rPr>
        <w:t xml:space="preserve">საქართველოს სახალხო დამცველის 2019 წლის 2 სექტემბერის რეკომენდაცია </w:t>
      </w:r>
      <w:r>
        <w:rPr>
          <w:rFonts w:ascii="Sylfaen" w:hAnsi="Sylfaen"/>
          <w:sz w:val="18"/>
          <w:szCs w:val="18"/>
          <w:lang w:val="ka-GE"/>
        </w:rPr>
        <w:t>(</w:t>
      </w:r>
      <w:r w:rsidRPr="006B0ABF">
        <w:rPr>
          <w:rFonts w:ascii="Sylfaen" w:hAnsi="Sylfaen"/>
          <w:sz w:val="18"/>
          <w:szCs w:val="18"/>
          <w:lang w:val="ka-GE"/>
        </w:rPr>
        <w:t xml:space="preserve">იხ.: </w:t>
      </w:r>
      <w:hyperlink r:id="rId1" w:history="1">
        <w:r w:rsidRPr="006B0ABF">
          <w:rPr>
            <w:rStyle w:val="Hyperlink"/>
            <w:rFonts w:ascii="Sylfaen" w:hAnsi="Sylfaen"/>
            <w:sz w:val="18"/>
            <w:szCs w:val="18"/>
            <w:lang w:val="ka-GE"/>
          </w:rPr>
          <w:t>https://www.ombudsman.ge/geo/191127024245skhva-nishani/sakhalkho-damtsvelma-samogzauro-dazghvevaze-khelmisatsvdomobis-shezghudva-khandazmuli-adamianebis-mimart-diskriminatsiad-miichnia</w:t>
        </w:r>
      </w:hyperlink>
      <w:r w:rsidRPr="006B0ABF">
        <w:rPr>
          <w:rFonts w:ascii="Sylfaen" w:hAnsi="Sylfaen"/>
          <w:sz w:val="18"/>
          <w:szCs w:val="18"/>
          <w:lang w:val="ka-GE"/>
        </w:rPr>
        <w:t xml:space="preserve"> </w:t>
      </w:r>
      <w:r>
        <w:rPr>
          <w:rFonts w:ascii="Sylfaen" w:hAnsi="Sylfaen"/>
          <w:sz w:val="18"/>
          <w:szCs w:val="18"/>
          <w:lang w:val="ka-GE"/>
        </w:rPr>
        <w:t>);</w:t>
      </w:r>
    </w:p>
  </w:footnote>
  <w:footnote w:id="6">
    <w:p w:rsidR="00F305B7" w:rsidRPr="00A256EC" w:rsidRDefault="00F305B7" w:rsidP="00F305B7">
      <w:pPr>
        <w:pStyle w:val="FootnoteText"/>
        <w:jc w:val="both"/>
        <w:rPr>
          <w:rFonts w:ascii="Sylfaen" w:hAnsi="Sylfaen"/>
          <w:sz w:val="18"/>
          <w:szCs w:val="18"/>
          <w:lang w:val="ka-GE"/>
        </w:rPr>
      </w:pPr>
      <w:r w:rsidRPr="00A256EC">
        <w:rPr>
          <w:rStyle w:val="FootnoteReference"/>
          <w:rFonts w:ascii="Sylfaen" w:hAnsi="Sylfaen"/>
          <w:sz w:val="18"/>
          <w:szCs w:val="18"/>
        </w:rPr>
        <w:footnoteRef/>
      </w:r>
      <w:r w:rsidRPr="00A256EC">
        <w:rPr>
          <w:rFonts w:ascii="Sylfaen" w:hAnsi="Sylfaen"/>
          <w:sz w:val="18"/>
          <w:szCs w:val="18"/>
        </w:rPr>
        <w:t xml:space="preserve"> </w:t>
      </w:r>
      <w:proofErr w:type="spellStart"/>
      <w:r w:rsidRPr="00A256EC">
        <w:rPr>
          <w:rFonts w:ascii="Sylfaen" w:hAnsi="Sylfaen"/>
          <w:sz w:val="18"/>
          <w:szCs w:val="18"/>
        </w:rPr>
        <w:t>Equinet</w:t>
      </w:r>
      <w:proofErr w:type="spellEnd"/>
      <w:r w:rsidRPr="00A256EC">
        <w:rPr>
          <w:rFonts w:ascii="Sylfaen" w:hAnsi="Sylfaen"/>
          <w:sz w:val="18"/>
          <w:szCs w:val="18"/>
        </w:rPr>
        <w:t xml:space="preserve"> European network of equality bodies, “Fighting Discrimination on the Ground of Age”, </w:t>
      </w:r>
      <w:proofErr w:type="spellStart"/>
      <w:r w:rsidRPr="00A256EC">
        <w:rPr>
          <w:rFonts w:ascii="Sylfaen" w:hAnsi="Sylfaen"/>
          <w:sz w:val="18"/>
          <w:szCs w:val="18"/>
        </w:rPr>
        <w:t>p.g</w:t>
      </w:r>
      <w:proofErr w:type="spellEnd"/>
      <w:r w:rsidRPr="00A256EC">
        <w:rPr>
          <w:rFonts w:ascii="Sylfaen" w:hAnsi="Sylfaen"/>
          <w:sz w:val="18"/>
          <w:szCs w:val="18"/>
        </w:rPr>
        <w:t>. 35-36</w:t>
      </w:r>
      <w:r w:rsidRPr="00A256EC">
        <w:rPr>
          <w:rFonts w:ascii="Sylfaen" w:hAnsi="Sylfaen"/>
          <w:sz w:val="18"/>
          <w:szCs w:val="18"/>
          <w:lang w:val="ka-GE"/>
        </w:rPr>
        <w:t>;</w:t>
      </w:r>
    </w:p>
  </w:footnote>
  <w:footnote w:id="7">
    <w:p w:rsidR="00F305B7" w:rsidRPr="00F37D91" w:rsidRDefault="00F305B7" w:rsidP="00F305B7">
      <w:pPr>
        <w:pStyle w:val="FootnoteText"/>
        <w:jc w:val="both"/>
        <w:rPr>
          <w:lang w:val="ka-GE"/>
        </w:rPr>
      </w:pPr>
      <w:r w:rsidRPr="00A256EC">
        <w:rPr>
          <w:rStyle w:val="FootnoteReference"/>
          <w:rFonts w:ascii="Sylfaen" w:hAnsi="Sylfaen"/>
          <w:sz w:val="18"/>
          <w:szCs w:val="18"/>
        </w:rPr>
        <w:footnoteRef/>
      </w:r>
      <w:r w:rsidRPr="00A256EC">
        <w:rPr>
          <w:rFonts w:ascii="Sylfaen" w:hAnsi="Sylfaen"/>
          <w:sz w:val="18"/>
          <w:szCs w:val="18"/>
        </w:rPr>
        <w:t xml:space="preserve"> European Commission, age discrimination and </w:t>
      </w:r>
      <w:proofErr w:type="spellStart"/>
      <w:r w:rsidRPr="00A256EC">
        <w:rPr>
          <w:rFonts w:ascii="Sylfaen" w:hAnsi="Sylfaen"/>
          <w:sz w:val="18"/>
          <w:szCs w:val="18"/>
        </w:rPr>
        <w:t>european</w:t>
      </w:r>
      <w:proofErr w:type="spellEnd"/>
      <w:r w:rsidRPr="00A256EC">
        <w:rPr>
          <w:rFonts w:ascii="Sylfaen" w:hAnsi="Sylfaen"/>
          <w:sz w:val="18"/>
          <w:szCs w:val="18"/>
        </w:rPr>
        <w:t xml:space="preserve"> law - Employment &amp; social affairs, Fundamental rights and anti-discrimination; 2005, </w:t>
      </w:r>
      <w:proofErr w:type="spellStart"/>
      <w:r w:rsidRPr="00A256EC">
        <w:rPr>
          <w:rFonts w:ascii="Sylfaen" w:hAnsi="Sylfaen"/>
          <w:sz w:val="18"/>
          <w:szCs w:val="18"/>
        </w:rPr>
        <w:t>p.g</w:t>
      </w:r>
      <w:proofErr w:type="spellEnd"/>
      <w:r w:rsidRPr="00A256EC">
        <w:rPr>
          <w:rFonts w:ascii="Sylfaen" w:hAnsi="Sylfaen"/>
          <w:sz w:val="18"/>
          <w:szCs w:val="18"/>
        </w:rPr>
        <w:t>. 35- 37</w:t>
      </w:r>
      <w:r w:rsidRPr="00A256EC">
        <w:rPr>
          <w:rFonts w:ascii="Sylfaen" w:hAnsi="Sylfaen"/>
          <w:sz w:val="18"/>
          <w:szCs w:val="18"/>
          <w:lang w:val="ka-GE"/>
        </w:rPr>
        <w:t xml:space="preserve">; </w:t>
      </w:r>
    </w:p>
  </w:footnote>
  <w:footnote w:id="8">
    <w:p w:rsidR="00F305B7" w:rsidRPr="005D1D3C" w:rsidRDefault="00F305B7" w:rsidP="00F305B7">
      <w:pPr>
        <w:pStyle w:val="FootnoteText"/>
        <w:jc w:val="both"/>
        <w:rPr>
          <w:lang w:val="ka-GE"/>
        </w:rPr>
      </w:pPr>
      <w:r>
        <w:rPr>
          <w:rStyle w:val="FootnoteReference"/>
        </w:rPr>
        <w:footnoteRef/>
      </w:r>
      <w:r w:rsidRPr="005D1D3C">
        <w:rPr>
          <w:lang w:val="ka-GE"/>
        </w:rPr>
        <w:t xml:space="preserve"> </w:t>
      </w:r>
      <w:r w:rsidRPr="009A68B2">
        <w:rPr>
          <w:rFonts w:ascii="Sylfaen" w:hAnsi="Sylfaen"/>
          <w:lang w:val="ka-GE"/>
        </w:rPr>
        <w:t>საქართველოს სახალხო დამცველის</w:t>
      </w:r>
      <w:r>
        <w:rPr>
          <w:rFonts w:ascii="Sylfaen" w:hAnsi="Sylfaen"/>
          <w:lang w:val="ka-GE"/>
        </w:rPr>
        <w:t xml:space="preserve"> 2020</w:t>
      </w:r>
      <w:r w:rsidRPr="009A68B2">
        <w:rPr>
          <w:rFonts w:ascii="Sylfaen" w:hAnsi="Sylfaen"/>
          <w:lang w:val="ka-GE"/>
        </w:rPr>
        <w:t xml:space="preserve"> წლის 2</w:t>
      </w:r>
      <w:r>
        <w:rPr>
          <w:rFonts w:ascii="Sylfaen" w:hAnsi="Sylfaen"/>
          <w:lang w:val="ka-GE"/>
        </w:rPr>
        <w:t>2</w:t>
      </w:r>
      <w:r w:rsidRPr="009A68B2">
        <w:rPr>
          <w:rFonts w:ascii="Sylfaen" w:hAnsi="Sylfaen"/>
          <w:lang w:val="ka-GE"/>
        </w:rPr>
        <w:t xml:space="preserve"> </w:t>
      </w:r>
      <w:r>
        <w:rPr>
          <w:rFonts w:ascii="Sylfaen" w:hAnsi="Sylfaen"/>
          <w:lang w:val="ka-GE"/>
        </w:rPr>
        <w:t>იანვრის</w:t>
      </w:r>
      <w:r w:rsidRPr="009A68B2">
        <w:rPr>
          <w:rFonts w:ascii="Sylfaen" w:hAnsi="Sylfaen"/>
          <w:lang w:val="ka-GE"/>
        </w:rPr>
        <w:t xml:space="preserve"> რეკომენდაცია, იხ.:</w:t>
      </w:r>
      <w:r>
        <w:rPr>
          <w:rFonts w:ascii="Sylfaen" w:hAnsi="Sylfaen"/>
          <w:lang w:val="ka-GE"/>
        </w:rPr>
        <w:t xml:space="preserve"> </w:t>
      </w:r>
      <w:hyperlink r:id="rId2" w:history="1">
        <w:r w:rsidRPr="00ED5E33">
          <w:rPr>
            <w:rStyle w:val="Hyperlink"/>
            <w:rFonts w:ascii="Sylfaen" w:hAnsi="Sylfaen"/>
            <w:lang w:val="ka-GE"/>
          </w:rPr>
          <w:t>https://www.ombudsman.ge/geo/191127024245skhva-nishani/sakhalkho-damtsvelma-barshi-shesvlistvis-dadgenili-asakobrivi-zghvari-diskriminatsiad-miichnia</w:t>
        </w:r>
      </w:hyperlink>
      <w:r>
        <w:rPr>
          <w:rFonts w:ascii="Sylfaen" w:hAnsi="Sylfaen"/>
          <w:lang w:val="ka-GE"/>
        </w:rPr>
        <w:t xml:space="preserve"> </w:t>
      </w:r>
    </w:p>
  </w:footnote>
  <w:footnote w:id="9">
    <w:p w:rsidR="00F305B7" w:rsidRPr="00AF7D06" w:rsidRDefault="00F305B7" w:rsidP="00F305B7">
      <w:pPr>
        <w:pStyle w:val="FootnoteText"/>
        <w:jc w:val="both"/>
        <w:rPr>
          <w:rFonts w:ascii="Sylfaen" w:hAnsi="Sylfaen"/>
          <w:sz w:val="18"/>
          <w:szCs w:val="18"/>
          <w:lang w:val="ka-GE"/>
        </w:rPr>
      </w:pPr>
      <w:r w:rsidRPr="00AF7D06">
        <w:rPr>
          <w:rStyle w:val="FootnoteReference"/>
          <w:rFonts w:ascii="Sylfaen" w:hAnsi="Sylfaen"/>
          <w:sz w:val="18"/>
          <w:szCs w:val="18"/>
          <w:lang w:val="ka-GE"/>
        </w:rPr>
        <w:footnoteRef/>
      </w:r>
      <w:r w:rsidRPr="00AF7D06">
        <w:rPr>
          <w:rFonts w:ascii="Sylfaen" w:hAnsi="Sylfaen"/>
          <w:sz w:val="18"/>
          <w:szCs w:val="18"/>
          <w:lang w:val="ka-GE"/>
        </w:rPr>
        <w:t xml:space="preserve"> </w:t>
      </w:r>
      <w:r w:rsidRPr="00AF7D06">
        <w:rPr>
          <w:rFonts w:ascii="Sylfaen" w:hAnsi="Sylfaen"/>
          <w:sz w:val="18"/>
          <w:szCs w:val="18"/>
          <w:lang w:val="ka-GE"/>
        </w:rPr>
        <w:t>„საერთო სასამართლოების შესახებ“ საქართველოს ორგანული კანონის 61-ე მუხლით და „საკონსტიტუციო სასამართლოს შესახებ“ საქართველოს ორგანული კანონის 32</w:t>
      </w:r>
      <w:r w:rsidRPr="00AF7D06">
        <w:rPr>
          <w:rFonts w:ascii="Sylfaen" w:hAnsi="Sylfaen"/>
          <w:sz w:val="18"/>
          <w:szCs w:val="18"/>
          <w:vertAlign w:val="superscript"/>
          <w:lang w:val="ka-GE"/>
        </w:rPr>
        <w:t>1</w:t>
      </w:r>
      <w:r w:rsidRPr="00AF7D06">
        <w:rPr>
          <w:rFonts w:ascii="Sylfaen" w:hAnsi="Sylfaen"/>
          <w:sz w:val="18"/>
          <w:szCs w:val="18"/>
          <w:lang w:val="ka-GE"/>
        </w:rPr>
        <w:t xml:space="preserve">-ე მუხლით </w:t>
      </w:r>
      <w:r>
        <w:rPr>
          <w:rFonts w:ascii="Sylfaen" w:hAnsi="Sylfaen"/>
          <w:sz w:val="18"/>
          <w:szCs w:val="18"/>
          <w:lang w:val="ka-GE"/>
        </w:rPr>
        <w:t>დადგენილი</w:t>
      </w:r>
      <w:r w:rsidRPr="00AF7D06">
        <w:rPr>
          <w:rFonts w:ascii="Sylfaen" w:hAnsi="Sylfaen"/>
          <w:sz w:val="18"/>
          <w:szCs w:val="18"/>
          <w:lang w:val="ka-GE"/>
        </w:rPr>
        <w:t xml:space="preserve"> მანდატურის </w:t>
      </w:r>
      <w:r>
        <w:rPr>
          <w:rFonts w:ascii="Sylfaen" w:hAnsi="Sylfaen"/>
          <w:sz w:val="18"/>
          <w:szCs w:val="18"/>
          <w:lang w:val="ka-GE"/>
        </w:rPr>
        <w:t>უფლე</w:t>
      </w:r>
      <w:r w:rsidRPr="00AF7D06">
        <w:rPr>
          <w:rFonts w:ascii="Sylfaen" w:hAnsi="Sylfaen"/>
          <w:sz w:val="18"/>
          <w:szCs w:val="18"/>
          <w:lang w:val="ka-GE"/>
        </w:rPr>
        <w:t>ბა</w:t>
      </w:r>
      <w:r>
        <w:rPr>
          <w:rFonts w:ascii="Sylfaen" w:hAnsi="Sylfaen"/>
          <w:sz w:val="18"/>
          <w:szCs w:val="18"/>
          <w:lang w:val="ka-GE"/>
        </w:rPr>
        <w:t>-მოსილებები</w:t>
      </w:r>
      <w:r w:rsidRPr="00AF7D06">
        <w:rPr>
          <w:rFonts w:ascii="Sylfaen" w:hAnsi="Sylfaen"/>
          <w:sz w:val="18"/>
          <w:szCs w:val="18"/>
          <w:lang w:val="ka-GE"/>
        </w:rPr>
        <w:t xml:space="preserve"> არსებითად ერთნაირი შინაარსი </w:t>
      </w:r>
      <w:r>
        <w:rPr>
          <w:rFonts w:ascii="Sylfaen" w:hAnsi="Sylfaen"/>
          <w:sz w:val="18"/>
          <w:szCs w:val="18"/>
          <w:lang w:val="ka-GE"/>
        </w:rPr>
        <w:t>არის</w:t>
      </w:r>
      <w:r w:rsidRPr="00AF7D06">
        <w:rPr>
          <w:rFonts w:ascii="Sylfaen" w:hAnsi="Sylfaen"/>
          <w:sz w:val="18"/>
          <w:szCs w:val="18"/>
          <w:lang w:val="ka-GE"/>
        </w:rPr>
        <w:t>;</w:t>
      </w:r>
    </w:p>
  </w:footnote>
  <w:footnote w:id="10">
    <w:p w:rsidR="00F305B7" w:rsidRPr="00590C4D" w:rsidRDefault="00F305B7" w:rsidP="00F305B7">
      <w:pPr>
        <w:pStyle w:val="FootnoteText"/>
        <w:jc w:val="both"/>
        <w:rPr>
          <w:lang w:val="ka-GE"/>
        </w:rPr>
      </w:pPr>
      <w:r>
        <w:rPr>
          <w:rStyle w:val="FootnoteReference"/>
        </w:rPr>
        <w:footnoteRef/>
      </w:r>
      <w:r w:rsidRPr="00D3660C">
        <w:rPr>
          <w:lang w:val="ka-GE"/>
        </w:rPr>
        <w:t xml:space="preserve"> </w:t>
      </w:r>
      <w:r w:rsidRPr="00590C4D">
        <w:rPr>
          <w:rFonts w:ascii="Sylfaen" w:hAnsi="Sylfaen"/>
          <w:sz w:val="18"/>
          <w:szCs w:val="18"/>
          <w:lang w:val="ka-GE"/>
        </w:rPr>
        <w:t>საქართველოს საკონსტიტუციო სასამართლომ 2018 წლის 14 დეკემბრის N3/2/767,1272 გადაწყვეტილებ</w:t>
      </w:r>
      <w:r>
        <w:rPr>
          <w:rFonts w:ascii="Sylfaen" w:hAnsi="Sylfaen"/>
          <w:sz w:val="18"/>
          <w:szCs w:val="18"/>
          <w:lang w:val="ka-GE"/>
        </w:rPr>
        <w:t xml:space="preserve">ა, </w:t>
      </w:r>
      <w:r w:rsidRPr="00D41AFE">
        <w:rPr>
          <w:rFonts w:ascii="Sylfaen" w:hAnsi="Sylfaen"/>
          <w:sz w:val="18"/>
          <w:szCs w:val="18"/>
          <w:lang w:val="ka-GE"/>
        </w:rPr>
        <w:t>II-</w:t>
      </w:r>
      <w:r>
        <w:rPr>
          <w:rFonts w:ascii="Sylfaen" w:hAnsi="Sylfaen"/>
          <w:sz w:val="18"/>
          <w:szCs w:val="18"/>
          <w:lang w:val="ka-GE"/>
        </w:rPr>
        <w:t>24;</w:t>
      </w:r>
    </w:p>
  </w:footnote>
  <w:footnote w:id="11">
    <w:p w:rsidR="00F305B7" w:rsidRPr="00D576E5" w:rsidRDefault="00F305B7" w:rsidP="00F305B7">
      <w:pPr>
        <w:pStyle w:val="FootnoteText"/>
        <w:jc w:val="both"/>
        <w:rPr>
          <w:rFonts w:ascii="Sylfaen" w:hAnsi="Sylfaen"/>
          <w:sz w:val="18"/>
          <w:szCs w:val="18"/>
          <w:lang w:val="ka-GE"/>
        </w:rPr>
      </w:pPr>
      <w:r w:rsidRPr="003F19C4">
        <w:rPr>
          <w:rStyle w:val="FootnoteReference"/>
          <w:rFonts w:ascii="Sylfaen" w:hAnsi="Sylfaen"/>
          <w:sz w:val="18"/>
          <w:szCs w:val="18"/>
        </w:rPr>
        <w:footnoteRef/>
      </w:r>
      <w:r w:rsidRPr="00D576E5">
        <w:rPr>
          <w:rFonts w:ascii="Sylfaen" w:hAnsi="Sylfaen"/>
          <w:sz w:val="18"/>
          <w:szCs w:val="18"/>
          <w:lang w:val="ka-GE"/>
        </w:rPr>
        <w:t xml:space="preserve"> </w:t>
      </w:r>
      <w:proofErr w:type="spellStart"/>
      <w:r w:rsidRPr="00D576E5">
        <w:rPr>
          <w:rFonts w:ascii="Sylfaen" w:hAnsi="Sylfaen"/>
          <w:sz w:val="18"/>
          <w:szCs w:val="18"/>
          <w:lang w:val="ka-GE"/>
        </w:rPr>
        <w:t>European</w:t>
      </w:r>
      <w:proofErr w:type="spellEnd"/>
      <w:r w:rsidRPr="00D576E5">
        <w:rPr>
          <w:rFonts w:ascii="Sylfaen" w:hAnsi="Sylfaen"/>
          <w:sz w:val="18"/>
          <w:szCs w:val="18"/>
          <w:lang w:val="ka-GE"/>
        </w:rPr>
        <w:t xml:space="preserve"> </w:t>
      </w:r>
      <w:proofErr w:type="spellStart"/>
      <w:r w:rsidRPr="00D576E5">
        <w:rPr>
          <w:rFonts w:ascii="Sylfaen" w:hAnsi="Sylfaen"/>
          <w:sz w:val="18"/>
          <w:szCs w:val="18"/>
          <w:lang w:val="ka-GE"/>
        </w:rPr>
        <w:t>Commission</w:t>
      </w:r>
      <w:proofErr w:type="spellEnd"/>
      <w:r w:rsidRPr="00D576E5">
        <w:rPr>
          <w:rFonts w:ascii="Sylfaen" w:hAnsi="Sylfaen"/>
          <w:sz w:val="18"/>
          <w:szCs w:val="18"/>
          <w:lang w:val="ka-GE"/>
        </w:rPr>
        <w:t xml:space="preserve">, </w:t>
      </w:r>
      <w:proofErr w:type="spellStart"/>
      <w:r w:rsidRPr="00D576E5">
        <w:rPr>
          <w:rFonts w:ascii="Sylfaen" w:hAnsi="Sylfaen"/>
          <w:sz w:val="18"/>
          <w:szCs w:val="18"/>
          <w:lang w:val="ka-GE"/>
        </w:rPr>
        <w:t>age</w:t>
      </w:r>
      <w:proofErr w:type="spellEnd"/>
      <w:r w:rsidRPr="00D576E5">
        <w:rPr>
          <w:rFonts w:ascii="Sylfaen" w:hAnsi="Sylfaen"/>
          <w:sz w:val="18"/>
          <w:szCs w:val="18"/>
          <w:lang w:val="ka-GE"/>
        </w:rPr>
        <w:t xml:space="preserve"> </w:t>
      </w:r>
      <w:proofErr w:type="spellStart"/>
      <w:r w:rsidRPr="00D576E5">
        <w:rPr>
          <w:rFonts w:ascii="Sylfaen" w:hAnsi="Sylfaen"/>
          <w:sz w:val="18"/>
          <w:szCs w:val="18"/>
          <w:lang w:val="ka-GE"/>
        </w:rPr>
        <w:t>discrimination</w:t>
      </w:r>
      <w:proofErr w:type="spellEnd"/>
      <w:r w:rsidRPr="00D576E5">
        <w:rPr>
          <w:rFonts w:ascii="Sylfaen" w:hAnsi="Sylfaen"/>
          <w:sz w:val="18"/>
          <w:szCs w:val="18"/>
          <w:lang w:val="ka-GE"/>
        </w:rPr>
        <w:t xml:space="preserve"> and </w:t>
      </w:r>
      <w:proofErr w:type="spellStart"/>
      <w:r w:rsidRPr="00D576E5">
        <w:rPr>
          <w:rFonts w:ascii="Sylfaen" w:hAnsi="Sylfaen"/>
          <w:sz w:val="18"/>
          <w:szCs w:val="18"/>
          <w:lang w:val="ka-GE"/>
        </w:rPr>
        <w:t>european</w:t>
      </w:r>
      <w:proofErr w:type="spellEnd"/>
      <w:r w:rsidRPr="00D576E5">
        <w:rPr>
          <w:rFonts w:ascii="Sylfaen" w:hAnsi="Sylfaen"/>
          <w:sz w:val="18"/>
          <w:szCs w:val="18"/>
          <w:lang w:val="ka-GE"/>
        </w:rPr>
        <w:t xml:space="preserve"> </w:t>
      </w:r>
      <w:proofErr w:type="spellStart"/>
      <w:r w:rsidRPr="00D576E5">
        <w:rPr>
          <w:rFonts w:ascii="Sylfaen" w:hAnsi="Sylfaen"/>
          <w:sz w:val="18"/>
          <w:szCs w:val="18"/>
          <w:lang w:val="ka-GE"/>
        </w:rPr>
        <w:t>law</w:t>
      </w:r>
      <w:proofErr w:type="spellEnd"/>
      <w:r w:rsidRPr="00D576E5">
        <w:rPr>
          <w:rFonts w:ascii="Sylfaen" w:hAnsi="Sylfaen"/>
          <w:sz w:val="18"/>
          <w:szCs w:val="18"/>
          <w:lang w:val="ka-GE"/>
        </w:rPr>
        <w:t xml:space="preserve"> - </w:t>
      </w:r>
      <w:proofErr w:type="spellStart"/>
      <w:r w:rsidRPr="00D576E5">
        <w:rPr>
          <w:rFonts w:ascii="Sylfaen" w:hAnsi="Sylfaen"/>
          <w:sz w:val="18"/>
          <w:szCs w:val="18"/>
          <w:lang w:val="ka-GE"/>
        </w:rPr>
        <w:t>Employment</w:t>
      </w:r>
      <w:proofErr w:type="spellEnd"/>
      <w:r w:rsidRPr="00D576E5">
        <w:rPr>
          <w:rFonts w:ascii="Sylfaen" w:hAnsi="Sylfaen"/>
          <w:sz w:val="18"/>
          <w:szCs w:val="18"/>
          <w:lang w:val="ka-GE"/>
        </w:rPr>
        <w:t xml:space="preserve"> &amp; </w:t>
      </w:r>
      <w:proofErr w:type="spellStart"/>
      <w:r w:rsidRPr="00D576E5">
        <w:rPr>
          <w:rFonts w:ascii="Sylfaen" w:hAnsi="Sylfaen"/>
          <w:sz w:val="18"/>
          <w:szCs w:val="18"/>
          <w:lang w:val="ka-GE"/>
        </w:rPr>
        <w:t>social</w:t>
      </w:r>
      <w:proofErr w:type="spellEnd"/>
      <w:r w:rsidRPr="00D576E5">
        <w:rPr>
          <w:rFonts w:ascii="Sylfaen" w:hAnsi="Sylfaen"/>
          <w:sz w:val="18"/>
          <w:szCs w:val="18"/>
          <w:lang w:val="ka-GE"/>
        </w:rPr>
        <w:t xml:space="preserve"> </w:t>
      </w:r>
      <w:proofErr w:type="spellStart"/>
      <w:r w:rsidRPr="00D576E5">
        <w:rPr>
          <w:rFonts w:ascii="Sylfaen" w:hAnsi="Sylfaen"/>
          <w:sz w:val="18"/>
          <w:szCs w:val="18"/>
          <w:lang w:val="ka-GE"/>
        </w:rPr>
        <w:t>affairs</w:t>
      </w:r>
      <w:proofErr w:type="spellEnd"/>
      <w:r w:rsidRPr="00D576E5">
        <w:rPr>
          <w:rFonts w:ascii="Sylfaen" w:hAnsi="Sylfaen"/>
          <w:sz w:val="18"/>
          <w:szCs w:val="18"/>
          <w:lang w:val="ka-GE"/>
        </w:rPr>
        <w:t xml:space="preserve">, </w:t>
      </w:r>
      <w:proofErr w:type="spellStart"/>
      <w:r w:rsidRPr="00D576E5">
        <w:rPr>
          <w:rFonts w:ascii="Sylfaen" w:hAnsi="Sylfaen"/>
          <w:sz w:val="18"/>
          <w:szCs w:val="18"/>
          <w:lang w:val="ka-GE"/>
        </w:rPr>
        <w:t>Fundamental</w:t>
      </w:r>
      <w:proofErr w:type="spellEnd"/>
      <w:r w:rsidRPr="00D576E5">
        <w:rPr>
          <w:rFonts w:ascii="Sylfaen" w:hAnsi="Sylfaen"/>
          <w:sz w:val="18"/>
          <w:szCs w:val="18"/>
          <w:lang w:val="ka-GE"/>
        </w:rPr>
        <w:t xml:space="preserve"> </w:t>
      </w:r>
      <w:proofErr w:type="spellStart"/>
      <w:r w:rsidRPr="00D576E5">
        <w:rPr>
          <w:rFonts w:ascii="Sylfaen" w:hAnsi="Sylfaen"/>
          <w:sz w:val="18"/>
          <w:szCs w:val="18"/>
          <w:lang w:val="ka-GE"/>
        </w:rPr>
        <w:t>rights</w:t>
      </w:r>
      <w:proofErr w:type="spellEnd"/>
      <w:r w:rsidRPr="00D576E5">
        <w:rPr>
          <w:rFonts w:ascii="Sylfaen" w:hAnsi="Sylfaen"/>
          <w:sz w:val="18"/>
          <w:szCs w:val="18"/>
          <w:lang w:val="ka-GE"/>
        </w:rPr>
        <w:t xml:space="preserve"> and </w:t>
      </w:r>
      <w:proofErr w:type="spellStart"/>
      <w:r w:rsidRPr="00D576E5">
        <w:rPr>
          <w:rFonts w:ascii="Sylfaen" w:hAnsi="Sylfaen"/>
          <w:sz w:val="18"/>
          <w:szCs w:val="18"/>
          <w:lang w:val="ka-GE"/>
        </w:rPr>
        <w:t>anti-discrimination</w:t>
      </w:r>
      <w:proofErr w:type="spellEnd"/>
      <w:r w:rsidRPr="00D576E5">
        <w:rPr>
          <w:rFonts w:ascii="Sylfaen" w:hAnsi="Sylfaen"/>
          <w:sz w:val="18"/>
          <w:szCs w:val="18"/>
          <w:lang w:val="ka-GE"/>
        </w:rPr>
        <w:t xml:space="preserve">; 2005, </w:t>
      </w:r>
      <w:proofErr w:type="spellStart"/>
      <w:r w:rsidRPr="00D576E5">
        <w:rPr>
          <w:rFonts w:ascii="Sylfaen" w:hAnsi="Sylfaen"/>
          <w:sz w:val="18"/>
          <w:szCs w:val="18"/>
          <w:lang w:val="ka-GE"/>
        </w:rPr>
        <w:t>p.g</w:t>
      </w:r>
      <w:proofErr w:type="spellEnd"/>
      <w:r w:rsidRPr="00D576E5">
        <w:rPr>
          <w:rFonts w:ascii="Sylfaen" w:hAnsi="Sylfaen"/>
          <w:sz w:val="18"/>
          <w:szCs w:val="18"/>
          <w:lang w:val="ka-GE"/>
        </w:rPr>
        <w:t xml:space="preserve">. 12;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2911FF"/>
    <w:multiLevelType w:val="hybridMultilevel"/>
    <w:tmpl w:val="02024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5B7"/>
    <w:rsid w:val="00212D66"/>
    <w:rsid w:val="0028313C"/>
    <w:rsid w:val="003637C2"/>
    <w:rsid w:val="007126B3"/>
    <w:rsid w:val="00920A25"/>
    <w:rsid w:val="00F305B7"/>
    <w:rsid w:val="00F369D0"/>
    <w:rsid w:val="00FE7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A73E6-30B6-48F4-AFB4-34597C91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5B7"/>
    <w:pPr>
      <w:spacing w:after="200" w:line="276"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305B7"/>
    <w:rPr>
      <w:color w:val="0000FF"/>
      <w:u w:val="single"/>
    </w:rPr>
  </w:style>
  <w:style w:type="paragraph" w:styleId="FootnoteText">
    <w:name w:val="footnote text"/>
    <w:basedOn w:val="Normal"/>
    <w:link w:val="FootnoteTextChar"/>
    <w:uiPriority w:val="99"/>
    <w:semiHidden/>
    <w:unhideWhenUsed/>
    <w:rsid w:val="00F305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05B7"/>
    <w:rPr>
      <w:rFonts w:ascii="Calibri" w:eastAsia="Calibri" w:hAnsi="Calibri" w:cs="Times New Roman"/>
      <w:sz w:val="20"/>
      <w:szCs w:val="20"/>
    </w:rPr>
  </w:style>
  <w:style w:type="character" w:styleId="FootnoteReference">
    <w:name w:val="footnote reference"/>
    <w:uiPriority w:val="99"/>
    <w:semiHidden/>
    <w:unhideWhenUsed/>
    <w:rsid w:val="00F305B7"/>
    <w:rPr>
      <w:vertAlign w:val="superscript"/>
    </w:rPr>
  </w:style>
  <w:style w:type="paragraph" w:styleId="ListParagraph">
    <w:name w:val="List Paragraph"/>
    <w:basedOn w:val="Normal"/>
    <w:uiPriority w:val="34"/>
    <w:qFormat/>
    <w:rsid w:val="00F305B7"/>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t@constcourt.g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tcourt.g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ombudsman.ge/geo/191127024245skhva-nishani/sakhalkho-damtsvelma-barshi-shesvlistvis-dadgenili-asakobrivi-zghvari-diskriminatsiad-miichnia" TargetMode="External"/><Relationship Id="rId1" Type="http://schemas.openxmlformats.org/officeDocument/2006/relationships/hyperlink" Target="https://www.ombudsman.ge/geo/191127024245skhva-nishani/sakhalkho-damtsvelma-samogzauro-dazghvevaze-khelmisatsvdomobis-shezghudva-khandazmuli-adamianebis-mimart-diskriminatsiad-miich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2104</Words>
  <Characters>11997</Characters>
  <Application>Microsoft Office Word</Application>
  <DocSecurity>0</DocSecurity>
  <Lines>99</Lines>
  <Paragraphs>28</Paragraphs>
  <ScaleCrop>false</ScaleCrop>
  <Company/>
  <LinksUpToDate>false</LinksUpToDate>
  <CharactersWithSpaces>14073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Mikheil Sharashidze</dc:creator>
  <cp:keywords/>
  <dc:description/>
  <cp:lastModifiedBy>Windows User</cp:lastModifiedBy>
  <cp:revision>2</cp:revision>
  <dcterms:created xsi:type="dcterms:W3CDTF">2021-04-23T07:00:00Z</dcterms:created>
  <dcterms:modified xsi:type="dcterms:W3CDTF">2021-06-03T12:48:00Z</dcterms:modified>
</cp:coreProperties>
</file>