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AA32" w14:textId="77777777" w:rsidR="00B27AB0" w:rsidRPr="00B27AB0" w:rsidRDefault="00B27AB0" w:rsidP="004D34B6">
      <w:pPr>
        <w:spacing w:before="100" w:beforeAutospacing="1" w:after="100" w:afterAutospacing="1" w:line="276" w:lineRule="auto"/>
        <w:jc w:val="left"/>
        <w:rPr>
          <w:rFonts w:ascii="Calibri" w:eastAsia="Calibri" w:hAnsi="Calibri" w:cs="Times New Roman"/>
        </w:rPr>
      </w:pPr>
    </w:p>
    <w:p w14:paraId="5D542624" w14:textId="77777777" w:rsidR="00B27AB0" w:rsidRPr="00B27AB0" w:rsidRDefault="00B27AB0" w:rsidP="004D34B6">
      <w:pPr>
        <w:spacing w:before="100" w:beforeAutospacing="1" w:after="100" w:afterAutospacing="1" w:line="276" w:lineRule="auto"/>
        <w:rPr>
          <w:rFonts w:ascii="Sylfaen" w:eastAsia="Calibri" w:hAnsi="Sylfaen" w:cs="Times New Roman"/>
          <w:sz w:val="18"/>
          <w:szCs w:val="18"/>
          <w:lang w:val="ka-GE"/>
        </w:rPr>
      </w:pPr>
      <w:r w:rsidRPr="00B27AB0">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7"/>
        <w:gridCol w:w="3575"/>
        <w:gridCol w:w="3968"/>
      </w:tblGrid>
      <w:tr w:rsidR="00B27AB0" w:rsidRPr="00B27AB0" w14:paraId="1D911804" w14:textId="77777777" w:rsidTr="00FC75A0">
        <w:trPr>
          <w:trHeight w:val="2203"/>
        </w:trPr>
        <w:tc>
          <w:tcPr>
            <w:tcW w:w="3258" w:type="dxa"/>
            <w:shd w:val="clear" w:color="auto" w:fill="C0C0C0"/>
          </w:tcPr>
          <w:p w14:paraId="0048152A" w14:textId="77777777" w:rsidR="00B27AB0" w:rsidRPr="00B27AB0" w:rsidRDefault="00B27AB0" w:rsidP="004D34B6">
            <w:pPr>
              <w:spacing w:before="100" w:beforeAutospacing="1" w:after="100" w:afterAutospacing="1"/>
              <w:jc w:val="left"/>
              <w:rPr>
                <w:rFonts w:ascii="Calibri" w:eastAsia="Calibri" w:hAnsi="Calibri" w:cs="Times New Roman"/>
                <w:b/>
                <w:bCs/>
                <w:color w:val="000000"/>
              </w:rPr>
            </w:pPr>
            <w:r w:rsidRPr="00B27AB0">
              <w:rPr>
                <w:rFonts w:ascii="Calibri" w:eastAsia="Calibri" w:hAnsi="Calibri" w:cs="Times New Roman"/>
                <w:b/>
                <w:bCs/>
                <w:noProof/>
                <w:color w:val="000000"/>
              </w:rPr>
              <w:drawing>
                <wp:anchor distT="0" distB="0" distL="114300" distR="114300" simplePos="0" relativeHeight="251659264" behindDoc="0" locked="0" layoutInCell="1" allowOverlap="1" wp14:anchorId="15E234E7" wp14:editId="2214505F">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14:paraId="686096D1" w14:textId="77777777" w:rsidR="00B27AB0" w:rsidRPr="00B27AB0" w:rsidRDefault="00B27AB0" w:rsidP="004D34B6">
            <w:pPr>
              <w:spacing w:before="100" w:beforeAutospacing="1" w:after="100" w:afterAutospacing="1"/>
              <w:jc w:val="left"/>
              <w:rPr>
                <w:rFonts w:ascii="Calibri" w:eastAsia="Calibri" w:hAnsi="Calibri" w:cs="Times New Roman"/>
                <w:color w:val="000000"/>
              </w:rPr>
            </w:pPr>
          </w:p>
        </w:tc>
        <w:tc>
          <w:tcPr>
            <w:tcW w:w="4050" w:type="dxa"/>
            <w:shd w:val="clear" w:color="auto" w:fill="C0C0C0"/>
          </w:tcPr>
          <w:p w14:paraId="5C86B05C" w14:textId="77777777" w:rsidR="00B27AB0" w:rsidRPr="00B27AB0" w:rsidRDefault="00B27AB0" w:rsidP="004D34B6">
            <w:pPr>
              <w:spacing w:before="100" w:beforeAutospacing="1" w:after="100" w:afterAutospacing="1"/>
              <w:jc w:val="left"/>
              <w:rPr>
                <w:rFonts w:ascii="Sylfaen" w:eastAsia="Calibri" w:hAnsi="Sylfaen" w:cs="Times New Roman"/>
                <w:b/>
                <w:bCs/>
                <w:color w:val="000080"/>
                <w:sz w:val="20"/>
                <w:szCs w:val="20"/>
              </w:rPr>
            </w:pPr>
          </w:p>
          <w:p w14:paraId="362898E2" w14:textId="77777777" w:rsidR="00B27AB0" w:rsidRPr="00B27AB0" w:rsidRDefault="00B27AB0" w:rsidP="004D34B6">
            <w:pPr>
              <w:spacing w:before="100" w:beforeAutospacing="1" w:after="100" w:afterAutospacing="1"/>
              <w:jc w:val="left"/>
              <w:rPr>
                <w:rFonts w:ascii="Sylfaen" w:eastAsia="Calibri" w:hAnsi="Sylfaen" w:cs="Times New Roman"/>
                <w:b/>
                <w:bCs/>
                <w:color w:val="000080"/>
                <w:sz w:val="20"/>
                <w:szCs w:val="20"/>
              </w:rPr>
            </w:pPr>
          </w:p>
          <w:p w14:paraId="4E7DD950" w14:textId="77777777" w:rsidR="00B27AB0" w:rsidRPr="00B27AB0" w:rsidRDefault="00B27AB0" w:rsidP="004D34B6">
            <w:pPr>
              <w:spacing w:before="100" w:beforeAutospacing="1" w:after="100" w:afterAutospacing="1"/>
              <w:jc w:val="left"/>
              <w:rPr>
                <w:rFonts w:ascii="Sylfaen" w:eastAsia="Calibri" w:hAnsi="Sylfaen" w:cs="Times New Roman"/>
                <w:b/>
                <w:bCs/>
                <w:color w:val="000080"/>
                <w:sz w:val="20"/>
                <w:szCs w:val="20"/>
              </w:rPr>
            </w:pPr>
            <w:r w:rsidRPr="00B27AB0">
              <w:rPr>
                <w:rFonts w:ascii="Sylfaen" w:eastAsia="Calibri" w:hAnsi="Sylfaen" w:cs="Times New Roman"/>
                <w:b/>
                <w:bCs/>
                <w:color w:val="000080"/>
                <w:sz w:val="20"/>
                <w:szCs w:val="20"/>
                <w:lang w:val="ka-GE"/>
              </w:rPr>
              <w:t xml:space="preserve">რეგისტრაციის  N   </w:t>
            </w:r>
            <w:r w:rsidRPr="00B27AB0">
              <w:rPr>
                <w:rFonts w:ascii="Sylfaen" w:eastAsia="Calibri" w:hAnsi="Sylfaen" w:cs="Times New Roman"/>
                <w:b/>
                <w:bCs/>
                <w:color w:val="000080"/>
                <w:sz w:val="20"/>
                <w:szCs w:val="20"/>
                <w:u w:val="single"/>
                <w:lang w:val="ka-GE"/>
              </w:rPr>
              <w:t>___</w:t>
            </w:r>
            <w:r w:rsidRPr="00B27AB0">
              <w:rPr>
                <w:rFonts w:ascii="Sylfaen" w:eastAsia="Calibri" w:hAnsi="Sylfaen" w:cs="Times New Roman"/>
                <w:b/>
                <w:bCs/>
                <w:color w:val="000080"/>
                <w:sz w:val="20"/>
                <w:szCs w:val="20"/>
                <w:lang w:val="ka-GE"/>
              </w:rPr>
              <w:t>____</w:t>
            </w:r>
          </w:p>
          <w:p w14:paraId="4D06A947" w14:textId="77777777" w:rsidR="00B27AB0" w:rsidRPr="00B27AB0" w:rsidRDefault="00B27AB0" w:rsidP="004D34B6">
            <w:pPr>
              <w:spacing w:before="100" w:beforeAutospacing="1" w:after="100" w:afterAutospacing="1"/>
              <w:jc w:val="left"/>
              <w:rPr>
                <w:rFonts w:ascii="Sylfaen" w:eastAsia="Calibri" w:hAnsi="Sylfaen" w:cs="Times New Roman"/>
                <w:b/>
                <w:bCs/>
                <w:color w:val="000080"/>
                <w:sz w:val="20"/>
                <w:szCs w:val="20"/>
              </w:rPr>
            </w:pPr>
          </w:p>
          <w:p w14:paraId="1398F31F" w14:textId="77777777" w:rsidR="00B27AB0" w:rsidRPr="00B27AB0" w:rsidRDefault="00B27AB0" w:rsidP="004D34B6">
            <w:pPr>
              <w:spacing w:before="100" w:beforeAutospacing="1" w:after="100" w:afterAutospacing="1"/>
              <w:jc w:val="left"/>
              <w:rPr>
                <w:rFonts w:ascii="Sylfaen" w:eastAsia="Calibri" w:hAnsi="Sylfaen" w:cs="Times New Roman"/>
                <w:b/>
                <w:bCs/>
                <w:color w:val="000080"/>
                <w:sz w:val="20"/>
                <w:szCs w:val="20"/>
                <w:lang w:val="ka-GE"/>
              </w:rPr>
            </w:pPr>
            <w:r w:rsidRPr="00B27AB0">
              <w:rPr>
                <w:rFonts w:ascii="Sylfaen" w:eastAsia="Calibri" w:hAnsi="Sylfaen" w:cs="Times New Roman"/>
                <w:b/>
                <w:bCs/>
                <w:color w:val="000080"/>
                <w:sz w:val="20"/>
                <w:szCs w:val="20"/>
                <w:lang w:val="ka-GE"/>
              </w:rPr>
              <w:t>მიღების თარიღი:   __ /__  /__</w:t>
            </w:r>
          </w:p>
          <w:p w14:paraId="6DB39612" w14:textId="77777777" w:rsidR="00B27AB0" w:rsidRPr="00B27AB0" w:rsidRDefault="00B27AB0" w:rsidP="004D34B6">
            <w:pPr>
              <w:spacing w:before="100" w:beforeAutospacing="1" w:after="100" w:afterAutospacing="1"/>
              <w:jc w:val="left"/>
              <w:rPr>
                <w:rFonts w:ascii="Sylfaen" w:eastAsia="Calibri" w:hAnsi="Sylfaen" w:cs="Times New Roman"/>
                <w:b/>
                <w:bCs/>
                <w:color w:val="000080"/>
                <w:sz w:val="20"/>
                <w:szCs w:val="20"/>
              </w:rPr>
            </w:pPr>
          </w:p>
        </w:tc>
      </w:tr>
      <w:tr w:rsidR="00B27AB0" w:rsidRPr="00B27AB0" w14:paraId="2AD07802" w14:textId="77777777" w:rsidTr="00FC75A0">
        <w:trPr>
          <w:trHeight w:val="890"/>
        </w:trPr>
        <w:tc>
          <w:tcPr>
            <w:tcW w:w="10998" w:type="dxa"/>
            <w:gridSpan w:val="3"/>
            <w:vAlign w:val="center"/>
          </w:tcPr>
          <w:p w14:paraId="62532572" w14:textId="77777777" w:rsidR="00B27AB0" w:rsidRPr="00B27AB0" w:rsidRDefault="00B27AB0" w:rsidP="004D34B6">
            <w:pPr>
              <w:spacing w:before="100" w:beforeAutospacing="1" w:after="100" w:afterAutospacing="1"/>
              <w:jc w:val="center"/>
              <w:rPr>
                <w:rFonts w:ascii="Sylfaen" w:eastAsia="Calibri" w:hAnsi="Sylfaen" w:cs="Sylfaen"/>
                <w:b/>
                <w:bCs/>
                <w:color w:val="000000"/>
                <w:sz w:val="32"/>
                <w:szCs w:val="32"/>
                <w:lang w:val="ka-GE"/>
              </w:rPr>
            </w:pPr>
            <w:r w:rsidRPr="00B27AB0">
              <w:rPr>
                <w:rFonts w:ascii="Sylfaen" w:eastAsia="Calibri" w:hAnsi="Sylfaen" w:cs="Times New Roman"/>
                <w:sz w:val="32"/>
                <w:szCs w:val="32"/>
                <w:lang w:val="ka-GE"/>
              </w:rPr>
              <w:t>„სასამართლოს მეგობრის“ მოსაზრება</w:t>
            </w:r>
          </w:p>
        </w:tc>
      </w:tr>
      <w:tr w:rsidR="00B27AB0" w:rsidRPr="00B27AB0" w14:paraId="6D303C3F" w14:textId="77777777" w:rsidTr="00FC75A0">
        <w:trPr>
          <w:trHeight w:val="1682"/>
        </w:trPr>
        <w:tc>
          <w:tcPr>
            <w:tcW w:w="10998" w:type="dxa"/>
            <w:gridSpan w:val="3"/>
            <w:tcBorders>
              <w:left w:val="nil"/>
              <w:right w:val="nil"/>
            </w:tcBorders>
            <w:shd w:val="clear" w:color="auto" w:fill="C0C0C0"/>
            <w:vAlign w:val="center"/>
          </w:tcPr>
          <w:p w14:paraId="1A98A64B" w14:textId="77777777" w:rsidR="00B27AB0" w:rsidRPr="00B27AB0" w:rsidRDefault="00B27AB0" w:rsidP="004D34B6">
            <w:pPr>
              <w:spacing w:before="100" w:beforeAutospacing="1" w:after="100" w:afterAutospacing="1"/>
              <w:jc w:val="center"/>
              <w:rPr>
                <w:rFonts w:ascii="Calibri" w:eastAsia="Calibri" w:hAnsi="Calibri" w:cs="Times New Roman"/>
                <w:b/>
                <w:bCs/>
                <w:color w:val="000000"/>
              </w:rPr>
            </w:pPr>
            <w:r w:rsidRPr="00B27AB0">
              <w:rPr>
                <w:rFonts w:ascii="Sylfaen" w:eastAsia="Calibri" w:hAnsi="Sylfaen" w:cs="Times New Roman"/>
                <w:sz w:val="20"/>
                <w:szCs w:val="20"/>
                <w:lang w:val="ka-GE"/>
              </w:rPr>
              <w:t>„სასამართლოს მეგობრის“ მოსაზრების</w:t>
            </w:r>
            <w:r w:rsidRPr="00B27AB0">
              <w:rPr>
                <w:rFonts w:ascii="Sylfaen" w:eastAsia="Calibri" w:hAnsi="Sylfaen" w:cs="Times New Roman"/>
                <w:sz w:val="32"/>
                <w:szCs w:val="32"/>
                <w:lang w:val="ka-GE"/>
              </w:rPr>
              <w:t xml:space="preserve"> </w:t>
            </w:r>
            <w:proofErr w:type="spellStart"/>
            <w:r w:rsidRPr="00B27AB0">
              <w:rPr>
                <w:rFonts w:ascii="Sylfaen" w:eastAsia="Calibri" w:hAnsi="Sylfaen" w:cs="Sylfaen"/>
                <w:bCs/>
                <w:color w:val="000000"/>
                <w:sz w:val="20"/>
              </w:rPr>
              <w:t>ფორმასთან</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დაკავშირებით</w:t>
            </w:r>
            <w:proofErr w:type="spellEnd"/>
            <w:r w:rsidRPr="00B27AB0">
              <w:rPr>
                <w:rFonts w:ascii="Sylfaen" w:eastAsia="Calibri" w:hAnsi="Sylfaen" w:cs="Sylfaen"/>
                <w:bCs/>
                <w:color w:val="000000"/>
                <w:sz w:val="20"/>
              </w:rPr>
              <w:t>,</w:t>
            </w:r>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კითხვის</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შენიშვნის</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ან</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რეკომენდაციის</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არსებობის</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შემთხვევაში</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შეგიძლიათ</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დაგვიკავშირდეთ</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ნომერზე</w:t>
            </w:r>
            <w:proofErr w:type="spellEnd"/>
            <w:r w:rsidRPr="00B27AB0">
              <w:rPr>
                <w:rFonts w:ascii="Calibri" w:eastAsia="Calibri" w:hAnsi="Calibri" w:cs="Times New Roman"/>
                <w:bCs/>
                <w:color w:val="000000"/>
                <w:sz w:val="20"/>
              </w:rPr>
              <w:t xml:space="preserve"> +995 422-27-00-99 </w:t>
            </w:r>
            <w:proofErr w:type="spellStart"/>
            <w:r w:rsidRPr="00B27AB0">
              <w:rPr>
                <w:rFonts w:ascii="Sylfaen" w:eastAsia="Calibri" w:hAnsi="Sylfaen" w:cs="Sylfaen"/>
                <w:bCs/>
                <w:color w:val="000000"/>
                <w:sz w:val="20"/>
              </w:rPr>
              <w:t>ან</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მოგვწეროთ</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ელექტრონული</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ფოსტის</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მეშვეობით</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მისამართზე</w:t>
            </w:r>
            <w:proofErr w:type="spellEnd"/>
            <w:r w:rsidRPr="00B27AB0">
              <w:rPr>
                <w:rFonts w:ascii="Calibri" w:eastAsia="Calibri" w:hAnsi="Calibri" w:cs="Times New Roman"/>
                <w:bCs/>
                <w:color w:val="000000"/>
                <w:sz w:val="20"/>
              </w:rPr>
              <w:t xml:space="preserve">: </w:t>
            </w:r>
            <w:hyperlink r:id="rId8" w:history="1">
              <w:r w:rsidRPr="00B27AB0">
                <w:rPr>
                  <w:rFonts w:ascii="Calibri" w:eastAsia="Calibri" w:hAnsi="Calibri" w:cs="Times New Roman"/>
                  <w:bCs/>
                  <w:color w:val="0000FF"/>
                  <w:sz w:val="20"/>
                  <w:u w:val="single"/>
                </w:rPr>
                <w:t>const@constcourt.ge</w:t>
              </w:r>
            </w:hyperlink>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ვებგვერდი</w:t>
            </w:r>
            <w:proofErr w:type="spellEnd"/>
            <w:r w:rsidRPr="00B27AB0">
              <w:rPr>
                <w:rFonts w:ascii="Sylfaen" w:eastAsia="Calibri" w:hAnsi="Sylfaen" w:cs="Sylfaen"/>
                <w:bCs/>
                <w:color w:val="000000"/>
                <w:sz w:val="20"/>
                <w:lang w:val="ka-GE"/>
              </w:rPr>
              <w:t>:</w:t>
            </w:r>
            <w:r w:rsidRPr="00B27AB0">
              <w:rPr>
                <w:rFonts w:ascii="Calibri" w:eastAsia="Calibri" w:hAnsi="Calibri" w:cs="Times New Roman"/>
                <w:bCs/>
                <w:color w:val="000000"/>
                <w:sz w:val="20"/>
              </w:rPr>
              <w:t xml:space="preserve"> </w:t>
            </w:r>
            <w:hyperlink r:id="rId9" w:history="1">
              <w:r w:rsidRPr="00B27AB0">
                <w:rPr>
                  <w:rFonts w:ascii="Calibri" w:eastAsia="Calibri" w:hAnsi="Calibri" w:cs="Times New Roman"/>
                  <w:bCs/>
                  <w:color w:val="0000FF"/>
                  <w:sz w:val="20"/>
                  <w:u w:val="single"/>
                </w:rPr>
                <w:t>www.constcourt.ge</w:t>
              </w:r>
            </w:hyperlink>
          </w:p>
        </w:tc>
      </w:tr>
      <w:tr w:rsidR="00B27AB0" w:rsidRPr="00B27AB0" w14:paraId="60F7BACF" w14:textId="77777777" w:rsidTr="00FC75A0">
        <w:trPr>
          <w:trHeight w:val="1340"/>
        </w:trPr>
        <w:tc>
          <w:tcPr>
            <w:tcW w:w="10998" w:type="dxa"/>
            <w:gridSpan w:val="3"/>
            <w:tcBorders>
              <w:bottom w:val="single" w:sz="4" w:space="0" w:color="auto"/>
            </w:tcBorders>
            <w:vAlign w:val="center"/>
          </w:tcPr>
          <w:p w14:paraId="6E843525" w14:textId="77777777" w:rsidR="00B27AB0" w:rsidRPr="00B27AB0" w:rsidRDefault="00B27AB0" w:rsidP="004D34B6">
            <w:pPr>
              <w:spacing w:before="100" w:beforeAutospacing="1" w:after="100" w:afterAutospacing="1"/>
              <w:jc w:val="left"/>
              <w:rPr>
                <w:rFonts w:ascii="Calibri" w:eastAsia="Calibri" w:hAnsi="Calibri" w:cs="Times New Roman"/>
                <w:b/>
                <w:bCs/>
                <w:color w:val="000000"/>
              </w:rPr>
            </w:pPr>
            <w:proofErr w:type="spellStart"/>
            <w:r w:rsidRPr="00B27AB0">
              <w:rPr>
                <w:rFonts w:ascii="Sylfaen" w:eastAsia="Calibri" w:hAnsi="Sylfaen" w:cs="Sylfaen"/>
                <w:bCs/>
                <w:color w:val="000000"/>
                <w:sz w:val="20"/>
              </w:rPr>
              <w:t>თუ</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რომელიმე</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პუნქტის</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შესავსებად</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გამოყოფილი</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ადგილი</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არ</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იქნება</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საკმარისი</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შეგიძლიათ</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ფორმას</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დამატებითი</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გვერდი</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დაურთოთ</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ყოველ</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დამატებით</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გვერდზე</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გადაიტანეთ</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იმ</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პუნქტის</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სათაური</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რომელსაც</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ავსებთ</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წერის</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დასრულების</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შემდეგ</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ფორმა</w:t>
            </w:r>
            <w:proofErr w:type="spellEnd"/>
            <w:r w:rsidRPr="00B27AB0">
              <w:rPr>
                <w:rFonts w:ascii="Calibri" w:eastAsia="Calibri" w:hAnsi="Calibri" w:cs="Times New Roman"/>
                <w:bCs/>
                <w:color w:val="000000"/>
                <w:sz w:val="20"/>
              </w:rPr>
              <w:t xml:space="preserve"> </w:t>
            </w:r>
            <w:proofErr w:type="spellStart"/>
            <w:r w:rsidRPr="00B27AB0">
              <w:rPr>
                <w:rFonts w:ascii="Sylfaen" w:eastAsia="Calibri" w:hAnsi="Sylfaen" w:cs="Sylfaen"/>
                <w:bCs/>
                <w:color w:val="000000"/>
                <w:sz w:val="20"/>
              </w:rPr>
              <w:t>დანომრეთ</w:t>
            </w:r>
            <w:proofErr w:type="spellEnd"/>
            <w:r w:rsidRPr="00B27AB0">
              <w:rPr>
                <w:rFonts w:ascii="Calibri" w:eastAsia="Calibri" w:hAnsi="Calibri" w:cs="Times New Roman"/>
                <w:bCs/>
                <w:color w:val="000000"/>
                <w:sz w:val="20"/>
              </w:rPr>
              <w:t>.</w:t>
            </w:r>
          </w:p>
        </w:tc>
      </w:tr>
    </w:tbl>
    <w:p w14:paraId="1AC68678" w14:textId="77777777" w:rsidR="00B27AB0" w:rsidRPr="00B27AB0" w:rsidRDefault="00B27AB0" w:rsidP="004D34B6">
      <w:pPr>
        <w:spacing w:before="100" w:beforeAutospacing="1" w:after="100" w:afterAutospacing="1" w:line="276" w:lineRule="auto"/>
        <w:jc w:val="left"/>
        <w:rPr>
          <w:rFonts w:ascii="Sylfaen" w:eastAsia="Calibri"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597"/>
        <w:gridCol w:w="3621"/>
        <w:gridCol w:w="3582"/>
      </w:tblGrid>
      <w:tr w:rsidR="00B27AB0" w:rsidRPr="00B27AB0" w14:paraId="1837FC75" w14:textId="77777777" w:rsidTr="00FC75A0">
        <w:tc>
          <w:tcPr>
            <w:tcW w:w="11016" w:type="dxa"/>
            <w:gridSpan w:val="3"/>
            <w:tcBorders>
              <w:left w:val="nil"/>
              <w:right w:val="nil"/>
            </w:tcBorders>
            <w:shd w:val="clear" w:color="auto" w:fill="D9D9D9"/>
          </w:tcPr>
          <w:p w14:paraId="4D217951" w14:textId="77777777" w:rsidR="00B27AB0" w:rsidRPr="00B27AB0" w:rsidRDefault="00B27AB0" w:rsidP="004D34B6">
            <w:pPr>
              <w:spacing w:before="100" w:beforeAutospacing="1" w:after="100" w:afterAutospacing="1"/>
              <w:jc w:val="center"/>
              <w:rPr>
                <w:rFonts w:ascii="Sylfaen" w:eastAsia="Calibri" w:hAnsi="Sylfaen" w:cs="Times New Roman"/>
                <w:b/>
                <w:color w:val="000000"/>
                <w:sz w:val="36"/>
                <w:lang w:val="ka-GE"/>
              </w:rPr>
            </w:pPr>
            <w:r w:rsidRPr="00B27AB0">
              <w:rPr>
                <w:rFonts w:ascii="Calibri" w:eastAsia="Calibri" w:hAnsi="Calibri" w:cs="Times New Roman"/>
                <w:b/>
                <w:color w:val="000000"/>
                <w:sz w:val="36"/>
              </w:rPr>
              <w:t xml:space="preserve">I. </w:t>
            </w:r>
            <w:proofErr w:type="spellStart"/>
            <w:r w:rsidRPr="00B27AB0">
              <w:rPr>
                <w:rFonts w:ascii="Sylfaen" w:eastAsia="Calibri" w:hAnsi="Sylfaen" w:cs="Sylfaen"/>
                <w:b/>
                <w:color w:val="000000"/>
                <w:sz w:val="36"/>
              </w:rPr>
              <w:t>ფორმალური</w:t>
            </w:r>
            <w:proofErr w:type="spellEnd"/>
            <w:r w:rsidRPr="00B27AB0">
              <w:rPr>
                <w:rFonts w:ascii="Calibri" w:eastAsia="Calibri" w:hAnsi="Calibri" w:cs="Times New Roman"/>
                <w:b/>
                <w:color w:val="000000"/>
                <w:sz w:val="36"/>
              </w:rPr>
              <w:t xml:space="preserve"> </w:t>
            </w:r>
            <w:proofErr w:type="spellStart"/>
            <w:r w:rsidRPr="00B27AB0">
              <w:rPr>
                <w:rFonts w:ascii="Sylfaen" w:eastAsia="Calibri" w:hAnsi="Sylfaen" w:cs="Sylfaen"/>
                <w:b/>
                <w:color w:val="000000"/>
                <w:sz w:val="36"/>
              </w:rPr>
              <w:t>ნაწილი</w:t>
            </w:r>
            <w:proofErr w:type="spellEnd"/>
          </w:p>
        </w:tc>
      </w:tr>
      <w:tr w:rsidR="00B27AB0" w:rsidRPr="00B27AB0" w14:paraId="2320B282" w14:textId="77777777" w:rsidTr="00FC75A0">
        <w:tc>
          <w:tcPr>
            <w:tcW w:w="7344" w:type="dxa"/>
            <w:gridSpan w:val="2"/>
          </w:tcPr>
          <w:p w14:paraId="36DCDACA" w14:textId="77777777" w:rsidR="00B27AB0" w:rsidRPr="00B27AB0" w:rsidRDefault="00B27AB0" w:rsidP="004D34B6">
            <w:pPr>
              <w:spacing w:before="100" w:beforeAutospacing="1" w:after="100" w:afterAutospacing="1"/>
              <w:jc w:val="left"/>
              <w:rPr>
                <w:rFonts w:ascii="Calibri" w:eastAsia="Calibri" w:hAnsi="Calibri" w:cs="Times New Roman"/>
                <w:color w:val="000000"/>
              </w:rPr>
            </w:pPr>
          </w:p>
        </w:tc>
        <w:tc>
          <w:tcPr>
            <w:tcW w:w="3672" w:type="dxa"/>
          </w:tcPr>
          <w:p w14:paraId="51C23965" w14:textId="77777777" w:rsidR="00B27AB0" w:rsidRPr="00B27AB0" w:rsidRDefault="00B27AB0" w:rsidP="004D34B6">
            <w:pPr>
              <w:spacing w:before="100" w:beforeAutospacing="1" w:after="100" w:afterAutospacing="1"/>
              <w:jc w:val="left"/>
              <w:rPr>
                <w:rFonts w:ascii="Calibri" w:eastAsia="Calibri" w:hAnsi="Calibri" w:cs="Times New Roman"/>
                <w:color w:val="000000"/>
              </w:rPr>
            </w:pPr>
          </w:p>
        </w:tc>
      </w:tr>
      <w:tr w:rsidR="00B27AB0" w:rsidRPr="00B27AB0" w14:paraId="439CB93C" w14:textId="77777777" w:rsidTr="00FC75A0">
        <w:tc>
          <w:tcPr>
            <w:tcW w:w="11016" w:type="dxa"/>
            <w:gridSpan w:val="3"/>
            <w:tcBorders>
              <w:left w:val="nil"/>
              <w:right w:val="nil"/>
            </w:tcBorders>
            <w:shd w:val="clear" w:color="auto" w:fill="D9D9D9"/>
          </w:tcPr>
          <w:p w14:paraId="386CDE66" w14:textId="77777777" w:rsidR="00B27AB0" w:rsidRPr="00B27AB0" w:rsidRDefault="00B27AB0" w:rsidP="004D34B6">
            <w:pPr>
              <w:spacing w:before="100" w:beforeAutospacing="1" w:after="100" w:afterAutospacing="1"/>
              <w:jc w:val="left"/>
              <w:rPr>
                <w:rFonts w:ascii="Calibri" w:eastAsia="Calibri" w:hAnsi="Calibri" w:cs="Times New Roman"/>
                <w:color w:val="000000"/>
              </w:rPr>
            </w:pPr>
            <w:r w:rsidRPr="00B27AB0">
              <w:rPr>
                <w:rFonts w:ascii="Calibri" w:eastAsia="Calibri" w:hAnsi="Calibri" w:cs="Times New Roman"/>
                <w:color w:val="000000"/>
              </w:rPr>
              <w:t xml:space="preserve">1. </w:t>
            </w:r>
            <w:r w:rsidRPr="00B27AB0">
              <w:rPr>
                <w:rFonts w:ascii="Sylfaen" w:eastAsia="Calibri" w:hAnsi="Sylfaen" w:cs="Sylfaen"/>
                <w:color w:val="000000"/>
                <w:lang w:val="ka-GE"/>
              </w:rPr>
              <w:t>მოსაზრების ავტორის რეკვიზიტები:</w:t>
            </w:r>
          </w:p>
        </w:tc>
      </w:tr>
      <w:tr w:rsidR="00B27AB0" w:rsidRPr="00B27AB0" w14:paraId="05F8A08A" w14:textId="77777777" w:rsidTr="00FC75A0">
        <w:tc>
          <w:tcPr>
            <w:tcW w:w="3672" w:type="dxa"/>
            <w:tcBorders>
              <w:right w:val="single" w:sz="4" w:space="0" w:color="auto"/>
            </w:tcBorders>
          </w:tcPr>
          <w:p w14:paraId="6E7B05E4" w14:textId="77777777" w:rsidR="00B27AB0" w:rsidRPr="00B27AB0" w:rsidRDefault="00B27AB0" w:rsidP="004D34B6">
            <w:pPr>
              <w:spacing w:before="100" w:beforeAutospacing="1" w:after="100" w:afterAutospacing="1"/>
              <w:jc w:val="left"/>
              <w:rPr>
                <w:rFonts w:ascii="Sylfaen" w:eastAsia="Calibri" w:hAnsi="Sylfaen" w:cs="Times New Roman"/>
                <w:color w:val="000000"/>
                <w:lang w:val="ka-GE"/>
              </w:rPr>
            </w:pPr>
            <w:r w:rsidRPr="00B27AB0">
              <w:rPr>
                <w:rFonts w:ascii="Sylfaen" w:eastAsia="Calibri" w:hAnsi="Sylfaen" w:cs="Times New Roman"/>
                <w:color w:val="000000"/>
                <w:lang w:val="ka-GE"/>
              </w:rPr>
              <w:fldChar w:fldCharType="begin">
                <w:ffData>
                  <w:name w:val="Text2"/>
                  <w:enabled/>
                  <w:calcOnExit w:val="0"/>
                  <w:textInput/>
                </w:ffData>
              </w:fldChar>
            </w:r>
            <w:bookmarkStart w:id="0" w:name="Text2"/>
            <w:r w:rsidRPr="00B27AB0">
              <w:rPr>
                <w:rFonts w:ascii="Sylfaen" w:eastAsia="Calibri" w:hAnsi="Sylfaen" w:cs="Times New Roman"/>
                <w:color w:val="000000"/>
                <w:lang w:val="ka-GE"/>
              </w:rPr>
              <w:instrText xml:space="preserve"> FORMTEXT </w:instrText>
            </w:r>
            <w:r w:rsidRPr="00B27AB0">
              <w:rPr>
                <w:rFonts w:ascii="Sylfaen" w:eastAsia="Calibri" w:hAnsi="Sylfaen" w:cs="Times New Roman"/>
                <w:color w:val="000000"/>
                <w:lang w:val="ka-GE"/>
              </w:rPr>
            </w:r>
            <w:r w:rsidRPr="00B27AB0">
              <w:rPr>
                <w:rFonts w:ascii="Sylfaen" w:eastAsia="Calibri" w:hAnsi="Sylfaen" w:cs="Times New Roman"/>
                <w:color w:val="000000"/>
                <w:lang w:val="ka-GE"/>
              </w:rPr>
              <w:fldChar w:fldCharType="separate"/>
            </w:r>
            <w:r w:rsidRPr="00B27AB0">
              <w:rPr>
                <w:rFonts w:ascii="Sylfaen" w:eastAsia="Calibri" w:hAnsi="Sylfaen" w:cs="Times New Roman"/>
                <w:noProof/>
                <w:color w:val="000000"/>
                <w:lang w:val="ka-GE"/>
              </w:rPr>
              <w:t> </w:t>
            </w:r>
            <w:r w:rsidRPr="00B27AB0">
              <w:rPr>
                <w:rFonts w:ascii="Sylfaen" w:eastAsia="Calibri" w:hAnsi="Sylfaen" w:cs="Times New Roman"/>
                <w:noProof/>
                <w:color w:val="000000"/>
                <w:lang w:val="ka-GE"/>
              </w:rPr>
              <w:t>საქართველოს სახალხო დამცველი</w:t>
            </w:r>
            <w:r w:rsidRPr="00B27AB0">
              <w:rPr>
                <w:rFonts w:ascii="Sylfaen" w:eastAsia="Calibri" w:hAnsi="Sylfaen" w:cs="Times New Roman"/>
                <w:noProof/>
                <w:color w:val="000000"/>
                <w:lang w:val="ka-GE"/>
              </w:rPr>
              <w:t> </w:t>
            </w:r>
            <w:r w:rsidRPr="00B27AB0">
              <w:rPr>
                <w:rFonts w:ascii="Sylfaen" w:eastAsia="Calibri" w:hAnsi="Sylfaen" w:cs="Times New Roman"/>
                <w:color w:val="000000"/>
                <w:lang w:val="ka-GE"/>
              </w:rPr>
              <w:fldChar w:fldCharType="end"/>
            </w:r>
            <w:bookmarkEnd w:id="0"/>
          </w:p>
        </w:tc>
        <w:tc>
          <w:tcPr>
            <w:tcW w:w="3672" w:type="dxa"/>
            <w:tcBorders>
              <w:top w:val="nil"/>
              <w:left w:val="single" w:sz="4" w:space="0" w:color="auto"/>
              <w:bottom w:val="nil"/>
              <w:right w:val="single" w:sz="4" w:space="0" w:color="auto"/>
            </w:tcBorders>
          </w:tcPr>
          <w:p w14:paraId="009DE688" w14:textId="77777777" w:rsidR="00B27AB0" w:rsidRPr="00B27AB0" w:rsidRDefault="00B27AB0" w:rsidP="004D34B6">
            <w:pPr>
              <w:spacing w:before="100" w:beforeAutospacing="1" w:after="100" w:afterAutospacing="1"/>
              <w:jc w:val="left"/>
              <w:rPr>
                <w:rFonts w:ascii="Calibri" w:eastAsia="Calibri" w:hAnsi="Calibri" w:cs="Times New Roman"/>
                <w:color w:val="000000"/>
              </w:rPr>
            </w:pPr>
            <w:r w:rsidRPr="00B27AB0">
              <w:rPr>
                <w:rFonts w:ascii="Calibri" w:eastAsia="Calibri" w:hAnsi="Calibri" w:cs="Times New Roman"/>
                <w:color w:val="000000"/>
              </w:rPr>
              <w:fldChar w:fldCharType="begin">
                <w:ffData>
                  <w:name w:val="Text3"/>
                  <w:enabled/>
                  <w:calcOnExit w:val="0"/>
                  <w:textInput/>
                </w:ffData>
              </w:fldChar>
            </w:r>
            <w:bookmarkStart w:id="1" w:name="Text3"/>
            <w:r w:rsidRPr="00B27AB0">
              <w:rPr>
                <w:rFonts w:ascii="Calibri" w:eastAsia="Calibri" w:hAnsi="Calibri" w:cs="Times New Roman"/>
                <w:color w:val="000000"/>
              </w:rPr>
              <w:instrText xml:space="preserve"> FORMTEXT </w:instrText>
            </w:r>
            <w:r w:rsidRPr="00B27AB0">
              <w:rPr>
                <w:rFonts w:ascii="Calibri" w:eastAsia="Calibri" w:hAnsi="Calibri" w:cs="Times New Roman"/>
                <w:color w:val="000000"/>
              </w:rPr>
            </w:r>
            <w:r w:rsidRPr="00B27AB0">
              <w:rPr>
                <w:rFonts w:ascii="Calibri" w:eastAsia="Calibri" w:hAnsi="Calibri" w:cs="Times New Roman"/>
                <w:color w:val="000000"/>
              </w:rPr>
              <w:fldChar w:fldCharType="separate"/>
            </w:r>
            <w:r w:rsidRPr="00B27AB0">
              <w:rPr>
                <w:rFonts w:ascii="Calibri" w:eastAsia="Calibri" w:hAnsi="Calibri" w:cs="Times New Roman"/>
                <w:noProof/>
                <w:color w:val="000000"/>
              </w:rPr>
              <w:t> </w:t>
            </w:r>
            <w:r w:rsidRPr="00B27AB0">
              <w:rPr>
                <w:rFonts w:ascii="Calibri" w:eastAsia="Calibri" w:hAnsi="Calibri" w:cs="Times New Roman"/>
                <w:noProof/>
                <w:color w:val="000000"/>
              </w:rPr>
              <w:t> </w:t>
            </w:r>
            <w:r w:rsidRPr="00B27AB0">
              <w:rPr>
                <w:rFonts w:ascii="Calibri" w:eastAsia="Calibri" w:hAnsi="Calibri" w:cs="Times New Roman"/>
                <w:noProof/>
                <w:color w:val="000000"/>
              </w:rPr>
              <w:t> </w:t>
            </w:r>
            <w:r w:rsidRPr="00B27AB0">
              <w:rPr>
                <w:rFonts w:ascii="Calibri" w:eastAsia="Calibri" w:hAnsi="Calibri" w:cs="Times New Roman"/>
                <w:noProof/>
                <w:color w:val="000000"/>
              </w:rPr>
              <w:t> </w:t>
            </w:r>
            <w:r w:rsidRPr="00B27AB0">
              <w:rPr>
                <w:rFonts w:ascii="Calibri" w:eastAsia="Calibri" w:hAnsi="Calibri" w:cs="Times New Roman"/>
                <w:noProof/>
                <w:color w:val="000000"/>
              </w:rPr>
              <w:t> </w:t>
            </w:r>
            <w:r w:rsidRPr="00B27AB0">
              <w:rPr>
                <w:rFonts w:ascii="Calibri" w:eastAsia="Calibri" w:hAnsi="Calibri" w:cs="Times New Roman"/>
                <w:color w:val="000000"/>
              </w:rPr>
              <w:fldChar w:fldCharType="end"/>
            </w:r>
            <w:bookmarkEnd w:id="1"/>
          </w:p>
        </w:tc>
        <w:tc>
          <w:tcPr>
            <w:tcW w:w="3672" w:type="dxa"/>
            <w:tcBorders>
              <w:left w:val="single" w:sz="4" w:space="0" w:color="auto"/>
            </w:tcBorders>
          </w:tcPr>
          <w:p w14:paraId="44A195B2" w14:textId="2BED10D3" w:rsidR="00B27AB0" w:rsidRPr="00B27AB0" w:rsidRDefault="00B27AB0" w:rsidP="004D34B6">
            <w:pPr>
              <w:spacing w:before="100" w:beforeAutospacing="1" w:after="100" w:afterAutospacing="1"/>
              <w:jc w:val="left"/>
              <w:rPr>
                <w:rFonts w:ascii="Calibri" w:eastAsia="Calibri" w:hAnsi="Calibri" w:cs="Times New Roman"/>
                <w:color w:val="000000"/>
              </w:rPr>
            </w:pPr>
          </w:p>
        </w:tc>
      </w:tr>
      <w:tr w:rsidR="00B27AB0" w:rsidRPr="00B27AB0" w14:paraId="6487A7B8" w14:textId="77777777" w:rsidTr="00FC75A0">
        <w:tc>
          <w:tcPr>
            <w:tcW w:w="3672" w:type="dxa"/>
            <w:tcBorders>
              <w:left w:val="nil"/>
              <w:right w:val="nil"/>
            </w:tcBorders>
            <w:shd w:val="clear" w:color="auto" w:fill="D9D9D9"/>
          </w:tcPr>
          <w:p w14:paraId="2E338907" w14:textId="77777777" w:rsidR="00B27AB0" w:rsidRPr="00B27AB0" w:rsidRDefault="00B27AB0" w:rsidP="004D34B6">
            <w:pPr>
              <w:spacing w:before="100" w:beforeAutospacing="1" w:after="100" w:afterAutospacing="1"/>
              <w:jc w:val="left"/>
              <w:rPr>
                <w:rFonts w:ascii="Calibri" w:eastAsia="Calibri" w:hAnsi="Calibri" w:cs="Times New Roman"/>
                <w:color w:val="000000"/>
                <w:sz w:val="18"/>
                <w:szCs w:val="18"/>
              </w:rPr>
            </w:pPr>
            <w:r w:rsidRPr="00B27AB0">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14:paraId="0A1CA28B" w14:textId="77777777" w:rsidR="00B27AB0" w:rsidRPr="00B27AB0" w:rsidRDefault="00B27AB0" w:rsidP="004D34B6">
            <w:pPr>
              <w:spacing w:before="100" w:beforeAutospacing="1" w:after="100" w:afterAutospacing="1"/>
              <w:jc w:val="left"/>
              <w:rPr>
                <w:rFonts w:ascii="Sylfaen" w:eastAsia="Calibri" w:hAnsi="Sylfaen" w:cs="Times New Roman"/>
                <w:color w:val="000000"/>
                <w:sz w:val="18"/>
                <w:szCs w:val="18"/>
                <w:lang w:val="ka-GE"/>
              </w:rPr>
            </w:pPr>
            <w:r w:rsidRPr="00B27AB0">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14:paraId="07946F8A" w14:textId="77777777" w:rsidR="00B27AB0" w:rsidRPr="00B27AB0" w:rsidRDefault="00B27AB0" w:rsidP="004D34B6">
            <w:pPr>
              <w:spacing w:before="100" w:beforeAutospacing="1" w:after="100" w:afterAutospacing="1"/>
              <w:jc w:val="left"/>
              <w:rPr>
                <w:rFonts w:ascii="Sylfaen" w:eastAsia="Calibri" w:hAnsi="Sylfaen" w:cs="Times New Roman"/>
                <w:color w:val="000000"/>
                <w:sz w:val="18"/>
                <w:szCs w:val="18"/>
                <w:lang w:val="ka-GE"/>
              </w:rPr>
            </w:pPr>
            <w:r w:rsidRPr="00B27AB0">
              <w:rPr>
                <w:rFonts w:ascii="Sylfaen" w:eastAsia="Calibri" w:hAnsi="Sylfaen" w:cs="Times New Roman"/>
                <w:color w:val="000000"/>
                <w:sz w:val="18"/>
                <w:szCs w:val="18"/>
                <w:lang w:val="ka-GE"/>
              </w:rPr>
              <w:t>მისამართი</w:t>
            </w:r>
          </w:p>
        </w:tc>
      </w:tr>
      <w:tr w:rsidR="00B27AB0" w:rsidRPr="00B27AB0" w14:paraId="5A38D297" w14:textId="77777777" w:rsidTr="00FC75A0">
        <w:tc>
          <w:tcPr>
            <w:tcW w:w="3672" w:type="dxa"/>
            <w:tcBorders>
              <w:right w:val="single" w:sz="4" w:space="0" w:color="auto"/>
            </w:tcBorders>
          </w:tcPr>
          <w:p w14:paraId="433A2C97" w14:textId="77777777" w:rsidR="00B27AB0" w:rsidRPr="00B27AB0" w:rsidRDefault="00B27AB0" w:rsidP="004D34B6">
            <w:pPr>
              <w:spacing w:before="100" w:beforeAutospacing="1" w:after="100" w:afterAutospacing="1"/>
              <w:jc w:val="left"/>
              <w:rPr>
                <w:rFonts w:ascii="Sylfaen" w:eastAsia="Calibri" w:hAnsi="Sylfaen" w:cs="Times New Roman"/>
                <w:color w:val="000000"/>
                <w:lang w:val="ka-GE"/>
              </w:rPr>
            </w:pPr>
            <w:r w:rsidRPr="00B27AB0">
              <w:rPr>
                <w:rFonts w:ascii="Sylfaen" w:eastAsia="Calibri" w:hAnsi="Sylfaen" w:cs="Times New Roman"/>
                <w:color w:val="000000"/>
                <w:lang w:val="ka-GE"/>
              </w:rPr>
              <w:fldChar w:fldCharType="begin">
                <w:ffData>
                  <w:name w:val="Text5"/>
                  <w:enabled/>
                  <w:calcOnExit w:val="0"/>
                  <w:textInput/>
                </w:ffData>
              </w:fldChar>
            </w:r>
            <w:bookmarkStart w:id="2" w:name="Text5"/>
            <w:r w:rsidRPr="00B27AB0">
              <w:rPr>
                <w:rFonts w:ascii="Sylfaen" w:eastAsia="Calibri" w:hAnsi="Sylfaen" w:cs="Times New Roman"/>
                <w:color w:val="000000"/>
                <w:lang w:val="ka-GE"/>
              </w:rPr>
              <w:instrText xml:space="preserve"> FORMTEXT </w:instrText>
            </w:r>
            <w:r w:rsidRPr="00B27AB0">
              <w:rPr>
                <w:rFonts w:ascii="Sylfaen" w:eastAsia="Calibri" w:hAnsi="Sylfaen" w:cs="Times New Roman"/>
                <w:color w:val="000000"/>
                <w:lang w:val="ka-GE"/>
              </w:rPr>
            </w:r>
            <w:r w:rsidRPr="00B27AB0">
              <w:rPr>
                <w:rFonts w:ascii="Sylfaen" w:eastAsia="Calibri" w:hAnsi="Sylfaen" w:cs="Times New Roman"/>
                <w:color w:val="000000"/>
                <w:lang w:val="ka-GE"/>
              </w:rPr>
              <w:fldChar w:fldCharType="separate"/>
            </w:r>
            <w:r w:rsidRPr="00B27AB0">
              <w:rPr>
                <w:rFonts w:ascii="Sylfaen" w:eastAsia="Calibri" w:hAnsi="Sylfaen" w:cs="Times New Roman"/>
                <w:noProof/>
                <w:color w:val="000000"/>
                <w:lang w:val="ka-GE"/>
              </w:rPr>
              <w:t> </w:t>
            </w:r>
            <w:r w:rsidRPr="00B27AB0">
              <w:rPr>
                <w:rFonts w:ascii="Sylfaen" w:eastAsia="Calibri" w:hAnsi="Sylfaen" w:cs="Times New Roman"/>
                <w:noProof/>
                <w:color w:val="000000"/>
                <w:lang w:val="ka-GE"/>
              </w:rPr>
              <w:t> </w:t>
            </w:r>
            <w:r w:rsidRPr="00B27AB0">
              <w:rPr>
                <w:rFonts w:ascii="Sylfaen" w:eastAsia="Calibri" w:hAnsi="Sylfaen" w:cs="Times New Roman"/>
                <w:noProof/>
                <w:color w:val="000000"/>
                <w:lang w:val="ka-GE"/>
              </w:rPr>
              <w:t> </w:t>
            </w:r>
            <w:r w:rsidRPr="00B27AB0">
              <w:rPr>
                <w:rFonts w:ascii="Sylfaen" w:eastAsia="Calibri" w:hAnsi="Sylfaen" w:cs="Times New Roman"/>
                <w:noProof/>
                <w:color w:val="000000"/>
                <w:lang w:val="ka-GE"/>
              </w:rPr>
              <w:t> </w:t>
            </w:r>
            <w:r w:rsidRPr="00B27AB0">
              <w:rPr>
                <w:rFonts w:ascii="Sylfaen" w:eastAsia="Calibri" w:hAnsi="Sylfaen" w:cs="Times New Roman"/>
                <w:noProof/>
                <w:color w:val="000000"/>
                <w:lang w:val="ka-GE"/>
              </w:rPr>
              <w:t> </w:t>
            </w:r>
            <w:r w:rsidRPr="00B27AB0">
              <w:rPr>
                <w:rFonts w:ascii="Sylfaen" w:eastAsia="Calibri" w:hAnsi="Sylfaen" w:cs="Times New Roman"/>
                <w:color w:val="000000"/>
                <w:lang w:val="ka-GE"/>
              </w:rPr>
              <w:fldChar w:fldCharType="end"/>
            </w:r>
            <w:bookmarkEnd w:id="2"/>
          </w:p>
        </w:tc>
        <w:tc>
          <w:tcPr>
            <w:tcW w:w="3672" w:type="dxa"/>
            <w:tcBorders>
              <w:top w:val="nil"/>
              <w:left w:val="single" w:sz="4" w:space="0" w:color="auto"/>
              <w:bottom w:val="nil"/>
              <w:right w:val="single" w:sz="4" w:space="0" w:color="auto"/>
            </w:tcBorders>
          </w:tcPr>
          <w:p w14:paraId="29CD622A" w14:textId="72F3A7C8" w:rsidR="00B27AB0" w:rsidRPr="00B27AB0" w:rsidRDefault="00B27AB0" w:rsidP="004D34B6">
            <w:pPr>
              <w:spacing w:before="100" w:beforeAutospacing="1" w:after="100" w:afterAutospacing="1"/>
              <w:jc w:val="left"/>
              <w:rPr>
                <w:rFonts w:ascii="Calibri" w:eastAsia="Calibri" w:hAnsi="Calibri" w:cs="Times New Roman"/>
                <w:color w:val="000000"/>
              </w:rPr>
            </w:pPr>
          </w:p>
        </w:tc>
        <w:tc>
          <w:tcPr>
            <w:tcW w:w="3672" w:type="dxa"/>
            <w:tcBorders>
              <w:left w:val="single" w:sz="4" w:space="0" w:color="auto"/>
            </w:tcBorders>
          </w:tcPr>
          <w:p w14:paraId="473BBFC5" w14:textId="08789E05" w:rsidR="00B27AB0" w:rsidRPr="00B27AB0" w:rsidRDefault="00B27AB0" w:rsidP="004D34B6">
            <w:pPr>
              <w:spacing w:before="100" w:beforeAutospacing="1" w:after="100" w:afterAutospacing="1"/>
              <w:jc w:val="left"/>
              <w:rPr>
                <w:rFonts w:ascii="Calibri" w:eastAsia="Calibri" w:hAnsi="Calibri" w:cs="Times New Roman"/>
                <w:color w:val="000000"/>
              </w:rPr>
            </w:pPr>
          </w:p>
        </w:tc>
      </w:tr>
      <w:tr w:rsidR="00B27AB0" w:rsidRPr="00B27AB0" w14:paraId="7798954E" w14:textId="77777777" w:rsidTr="00FC75A0">
        <w:tc>
          <w:tcPr>
            <w:tcW w:w="3672" w:type="dxa"/>
            <w:tcBorders>
              <w:left w:val="nil"/>
              <w:right w:val="nil"/>
            </w:tcBorders>
            <w:shd w:val="clear" w:color="auto" w:fill="D9D9D9"/>
          </w:tcPr>
          <w:p w14:paraId="50F3C585" w14:textId="77777777" w:rsidR="00B27AB0" w:rsidRPr="00B27AB0" w:rsidRDefault="00B27AB0" w:rsidP="004D34B6">
            <w:pPr>
              <w:spacing w:before="100" w:beforeAutospacing="1" w:after="100" w:afterAutospacing="1"/>
              <w:jc w:val="left"/>
              <w:rPr>
                <w:rFonts w:ascii="Sylfaen" w:eastAsia="Calibri" w:hAnsi="Sylfaen" w:cs="Times New Roman"/>
                <w:color w:val="000000"/>
                <w:sz w:val="18"/>
                <w:szCs w:val="18"/>
                <w:lang w:val="ka-GE"/>
              </w:rPr>
            </w:pPr>
            <w:r w:rsidRPr="00B27AB0">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14:paraId="32ED50EA" w14:textId="77777777" w:rsidR="00B27AB0" w:rsidRPr="00B27AB0" w:rsidRDefault="00B27AB0" w:rsidP="004D34B6">
            <w:pPr>
              <w:spacing w:before="100" w:beforeAutospacing="1" w:after="100" w:afterAutospacing="1"/>
              <w:jc w:val="left"/>
              <w:rPr>
                <w:rFonts w:ascii="Sylfaen" w:eastAsia="Calibri" w:hAnsi="Sylfaen" w:cs="Times New Roman"/>
                <w:color w:val="000000"/>
                <w:sz w:val="18"/>
                <w:szCs w:val="18"/>
                <w:lang w:val="ka-GE"/>
              </w:rPr>
            </w:pPr>
            <w:r w:rsidRPr="00B27AB0">
              <w:rPr>
                <w:rFonts w:ascii="Sylfaen" w:eastAsia="Calibri" w:hAnsi="Sylfaen" w:cs="Times New Roman"/>
                <w:color w:val="000000"/>
                <w:sz w:val="18"/>
                <w:szCs w:val="18"/>
                <w:lang w:val="ka-GE"/>
              </w:rPr>
              <w:t>ტელეფონი</w:t>
            </w:r>
          </w:p>
        </w:tc>
        <w:tc>
          <w:tcPr>
            <w:tcW w:w="3672" w:type="dxa"/>
            <w:tcBorders>
              <w:left w:val="nil"/>
              <w:right w:val="nil"/>
            </w:tcBorders>
            <w:shd w:val="clear" w:color="auto" w:fill="D9D9D9"/>
          </w:tcPr>
          <w:p w14:paraId="5545F36E" w14:textId="77777777" w:rsidR="00B27AB0" w:rsidRPr="00B27AB0" w:rsidRDefault="00B27AB0" w:rsidP="004D34B6">
            <w:pPr>
              <w:spacing w:before="100" w:beforeAutospacing="1" w:after="100" w:afterAutospacing="1"/>
              <w:jc w:val="left"/>
              <w:rPr>
                <w:rFonts w:ascii="Sylfaen" w:eastAsia="Calibri" w:hAnsi="Sylfaen" w:cs="Times New Roman"/>
                <w:color w:val="000000"/>
                <w:sz w:val="18"/>
                <w:szCs w:val="18"/>
                <w:lang w:val="ka-GE"/>
              </w:rPr>
            </w:pPr>
            <w:r w:rsidRPr="00B27AB0">
              <w:rPr>
                <w:rFonts w:ascii="Sylfaen" w:eastAsia="Calibri" w:hAnsi="Sylfaen" w:cs="Times New Roman"/>
                <w:color w:val="000000"/>
                <w:sz w:val="18"/>
                <w:szCs w:val="18"/>
                <w:lang w:val="ka-GE"/>
              </w:rPr>
              <w:t>ელექტრონული ფოსტა</w:t>
            </w:r>
          </w:p>
        </w:tc>
      </w:tr>
    </w:tbl>
    <w:p w14:paraId="33A4C314" w14:textId="77777777" w:rsidR="00B27AB0" w:rsidRPr="00B27AB0" w:rsidRDefault="00B27AB0" w:rsidP="004D34B6">
      <w:pPr>
        <w:spacing w:before="100" w:beforeAutospacing="1" w:after="100" w:afterAutospacing="1" w:line="276" w:lineRule="auto"/>
        <w:jc w:val="left"/>
        <w:rPr>
          <w:rFonts w:ascii="Sylfaen" w:eastAsia="Calibri" w:hAnsi="Sylfaen" w:cs="Times New Roman"/>
        </w:rPr>
      </w:pPr>
    </w:p>
    <w:tbl>
      <w:tblPr>
        <w:tblW w:w="0" w:type="auto"/>
        <w:tblLook w:val="0400" w:firstRow="0" w:lastRow="0" w:firstColumn="0" w:lastColumn="0" w:noHBand="0" w:noVBand="1"/>
      </w:tblPr>
      <w:tblGrid>
        <w:gridCol w:w="10800"/>
      </w:tblGrid>
      <w:tr w:rsidR="00B27AB0" w:rsidRPr="00B27AB0" w14:paraId="75D5DF11" w14:textId="77777777" w:rsidTr="00FC75A0">
        <w:tc>
          <w:tcPr>
            <w:tcW w:w="11016" w:type="dxa"/>
            <w:shd w:val="clear" w:color="auto" w:fill="D9D9D9"/>
          </w:tcPr>
          <w:p w14:paraId="52DCA5EA" w14:textId="77777777" w:rsidR="00B27AB0" w:rsidRPr="00B27AB0" w:rsidRDefault="00B27AB0" w:rsidP="004D34B6">
            <w:pPr>
              <w:spacing w:before="100" w:beforeAutospacing="1" w:after="100" w:afterAutospacing="1"/>
              <w:jc w:val="left"/>
              <w:rPr>
                <w:rFonts w:ascii="Calibri" w:eastAsia="Calibri" w:hAnsi="Calibri" w:cs="Times New Roman"/>
                <w:color w:val="000000"/>
              </w:rPr>
            </w:pPr>
            <w:r w:rsidRPr="00B27AB0">
              <w:rPr>
                <w:rFonts w:ascii="Sylfaen" w:eastAsia="Calibri" w:hAnsi="Sylfaen" w:cs="Sylfaen"/>
                <w:lang w:val="ka-GE"/>
              </w:rPr>
              <w:t>2. საქმის დასახელება</w:t>
            </w:r>
            <w:r w:rsidRPr="00B27AB0">
              <w:rPr>
                <w:rFonts w:ascii="Sylfaen" w:eastAsia="Calibri" w:hAnsi="Sylfaen" w:cs="Sylfaen"/>
              </w:rPr>
              <w:t>,</w:t>
            </w:r>
            <w:r w:rsidRPr="00B27AB0">
              <w:rPr>
                <w:rFonts w:ascii="Sylfaen" w:eastAsia="Calibri" w:hAnsi="Sylfaen" w:cs="Sylfaen"/>
                <w:lang w:val="ka-GE"/>
              </w:rPr>
              <w:t xml:space="preserve"> რომელთან დაკავშირებით არის შედგენილი მოსაზრება </w:t>
            </w:r>
            <w:r w:rsidRPr="00B27AB0">
              <w:rPr>
                <w:rFonts w:ascii="Sylfaen" w:eastAsia="Calibri" w:hAnsi="Sylfaen" w:cs="Sylfaen"/>
                <w:b/>
                <w:color w:val="548DD4"/>
                <w:sz w:val="26"/>
                <w:szCs w:val="26"/>
                <w:vertAlign w:val="superscript"/>
                <w:lang w:val="ka-GE"/>
              </w:rPr>
              <w:footnoteReference w:customMarkFollows="1" w:id="1"/>
              <w:t>შენიშვნა 1</w:t>
            </w:r>
          </w:p>
        </w:tc>
      </w:tr>
    </w:tbl>
    <w:p w14:paraId="28DB7FF2" w14:textId="77777777" w:rsidR="00B27AB0" w:rsidRPr="00B27AB0" w:rsidRDefault="00B27AB0" w:rsidP="004D34B6">
      <w:pPr>
        <w:pBdr>
          <w:bottom w:val="single" w:sz="4" w:space="1" w:color="auto"/>
        </w:pBdr>
        <w:spacing w:before="100" w:beforeAutospacing="1" w:after="100" w:afterAutospacing="1" w:line="276" w:lineRule="auto"/>
        <w:jc w:val="both"/>
        <w:rPr>
          <w:rFonts w:ascii="Sylfaen" w:eastAsia="Calibri" w:hAnsi="Sylfaen" w:cs="Times New Roman"/>
          <w:lang w:val="ka-GE"/>
        </w:rPr>
      </w:pPr>
      <w:r>
        <w:rPr>
          <w:rFonts w:ascii="Sylfaen" w:eastAsia="Calibri" w:hAnsi="Sylfaen" w:cs="Times New Roman"/>
          <w:lang w:val="ka-GE"/>
        </w:rPr>
        <w:lastRenderedPageBreak/>
        <w:t>#16</w:t>
      </w:r>
      <w:r w:rsidRPr="00B27AB0">
        <w:rPr>
          <w:rFonts w:ascii="Sylfaen" w:eastAsia="Calibri" w:hAnsi="Sylfaen" w:cs="Times New Roman"/>
          <w:lang w:val="ka-GE"/>
        </w:rPr>
        <w:t>3</w:t>
      </w:r>
      <w:r>
        <w:rPr>
          <w:rFonts w:ascii="Sylfaen" w:eastAsia="Calibri" w:hAnsi="Sylfaen" w:cs="Times New Roman"/>
          <w:lang w:val="ka-GE"/>
        </w:rPr>
        <w:t>6</w:t>
      </w:r>
      <w:r w:rsidRPr="00B27AB0">
        <w:rPr>
          <w:rFonts w:ascii="Sylfaen" w:eastAsia="Calibri" w:hAnsi="Sylfaen" w:cs="Times New Roman"/>
          <w:lang w:val="ka-GE"/>
        </w:rPr>
        <w:t xml:space="preserve">-ე კონსტიტუციურ სარჩელთან დაკავშირებით - </w:t>
      </w:r>
      <w:r>
        <w:rPr>
          <w:rFonts w:ascii="Sylfaen" w:eastAsia="Calibri" w:hAnsi="Sylfaen" w:cs="Times New Roman"/>
          <w:lang w:val="ka-GE"/>
        </w:rPr>
        <w:t>„</w:t>
      </w:r>
      <w:r w:rsidRPr="00B27AB0">
        <w:rPr>
          <w:rFonts w:ascii="Sylfaen" w:hAnsi="Sylfaen" w:cs="Sylfaen"/>
          <w:color w:val="000000"/>
          <w:shd w:val="clear" w:color="auto" w:fill="FFFFFF"/>
          <w:lang w:val="ka-GE"/>
        </w:rPr>
        <w:t>მოქალაქეთა</w:t>
      </w:r>
      <w:r w:rsidRPr="00B27AB0">
        <w:rPr>
          <w:rFonts w:ascii="Sylfaen" w:hAnsi="Sylfaen"/>
          <w:color w:val="000000"/>
          <w:shd w:val="clear" w:color="auto" w:fill="FFFFFF"/>
          <w:lang w:val="ka-GE"/>
        </w:rPr>
        <w:t xml:space="preserve"> </w:t>
      </w:r>
      <w:r w:rsidRPr="00B27AB0">
        <w:rPr>
          <w:rFonts w:ascii="Sylfaen" w:hAnsi="Sylfaen" w:cs="Sylfaen"/>
          <w:color w:val="000000"/>
          <w:shd w:val="clear" w:color="auto" w:fill="FFFFFF"/>
          <w:lang w:val="ka-GE"/>
        </w:rPr>
        <w:t>პოლიტიკური</w:t>
      </w:r>
      <w:r w:rsidRPr="00B27AB0">
        <w:rPr>
          <w:rFonts w:ascii="Sylfaen" w:hAnsi="Sylfaen"/>
          <w:color w:val="000000"/>
          <w:shd w:val="clear" w:color="auto" w:fill="FFFFFF"/>
          <w:lang w:val="ka-GE"/>
        </w:rPr>
        <w:t xml:space="preserve"> </w:t>
      </w:r>
      <w:r w:rsidRPr="00B27AB0">
        <w:rPr>
          <w:rFonts w:ascii="Sylfaen" w:hAnsi="Sylfaen" w:cs="Sylfaen"/>
          <w:color w:val="000000"/>
          <w:shd w:val="clear" w:color="auto" w:fill="FFFFFF"/>
          <w:lang w:val="ka-GE"/>
        </w:rPr>
        <w:t>გაერთიანება</w:t>
      </w:r>
      <w:r w:rsidRPr="00B27AB0">
        <w:rPr>
          <w:rFonts w:ascii="Sylfaen" w:hAnsi="Sylfaen"/>
          <w:color w:val="000000"/>
          <w:shd w:val="clear" w:color="auto" w:fill="FFFFFF"/>
          <w:lang w:val="ka-GE"/>
        </w:rPr>
        <w:t xml:space="preserve"> „</w:t>
      </w:r>
      <w:r w:rsidRPr="00B27AB0">
        <w:rPr>
          <w:rFonts w:ascii="Sylfaen" w:hAnsi="Sylfaen" w:cs="Sylfaen"/>
          <w:color w:val="000000"/>
          <w:shd w:val="clear" w:color="auto" w:fill="FFFFFF"/>
          <w:lang w:val="ka-GE"/>
        </w:rPr>
        <w:t>საქართველოს</w:t>
      </w:r>
      <w:r w:rsidRPr="00B27AB0">
        <w:rPr>
          <w:rFonts w:ascii="Sylfaen" w:hAnsi="Sylfaen"/>
          <w:color w:val="000000"/>
          <w:shd w:val="clear" w:color="auto" w:fill="FFFFFF"/>
          <w:lang w:val="ka-GE"/>
        </w:rPr>
        <w:t xml:space="preserve"> </w:t>
      </w:r>
      <w:r w:rsidRPr="00B27AB0">
        <w:rPr>
          <w:rFonts w:ascii="Sylfaen" w:hAnsi="Sylfaen" w:cs="Sylfaen"/>
          <w:color w:val="000000"/>
          <w:shd w:val="clear" w:color="auto" w:fill="FFFFFF"/>
          <w:lang w:val="ka-GE"/>
        </w:rPr>
        <w:t>პატრიოტთა</w:t>
      </w:r>
      <w:r w:rsidRPr="00B27AB0">
        <w:rPr>
          <w:rFonts w:ascii="Sylfaen" w:hAnsi="Sylfaen"/>
          <w:color w:val="000000"/>
          <w:shd w:val="clear" w:color="auto" w:fill="FFFFFF"/>
          <w:lang w:val="ka-GE"/>
        </w:rPr>
        <w:t xml:space="preserve"> </w:t>
      </w:r>
      <w:r w:rsidRPr="00B27AB0">
        <w:rPr>
          <w:rFonts w:ascii="Sylfaen" w:hAnsi="Sylfaen" w:cs="Sylfaen"/>
          <w:color w:val="000000"/>
          <w:shd w:val="clear" w:color="auto" w:fill="FFFFFF"/>
          <w:lang w:val="ka-GE"/>
        </w:rPr>
        <w:t>ალიანსი</w:t>
      </w:r>
      <w:r w:rsidRPr="00B27AB0">
        <w:rPr>
          <w:rFonts w:ascii="Sylfaen" w:hAnsi="Sylfaen"/>
          <w:color w:val="000000"/>
          <w:shd w:val="clear" w:color="auto" w:fill="FFFFFF"/>
          <w:lang w:val="ka-GE"/>
        </w:rPr>
        <w:t xml:space="preserve">“ </w:t>
      </w:r>
      <w:r w:rsidRPr="00B27AB0">
        <w:rPr>
          <w:rFonts w:ascii="Sylfaen" w:hAnsi="Sylfaen" w:cs="Sylfaen"/>
          <w:color w:val="000000"/>
          <w:shd w:val="clear" w:color="auto" w:fill="FFFFFF"/>
          <w:lang w:val="ka-GE"/>
        </w:rPr>
        <w:t>საქართველოს</w:t>
      </w:r>
      <w:r w:rsidRPr="00B27AB0">
        <w:rPr>
          <w:rFonts w:ascii="Sylfaen" w:hAnsi="Sylfaen"/>
          <w:color w:val="000000"/>
          <w:shd w:val="clear" w:color="auto" w:fill="FFFFFF"/>
          <w:lang w:val="ka-GE"/>
        </w:rPr>
        <w:t xml:space="preserve"> </w:t>
      </w:r>
      <w:r w:rsidRPr="00B27AB0">
        <w:rPr>
          <w:rFonts w:ascii="Sylfaen" w:hAnsi="Sylfaen" w:cs="Sylfaen"/>
          <w:color w:val="000000"/>
          <w:shd w:val="clear" w:color="auto" w:fill="FFFFFF"/>
          <w:lang w:val="ka-GE"/>
        </w:rPr>
        <w:t>პარლამენტის</w:t>
      </w:r>
      <w:r w:rsidRPr="00B27AB0">
        <w:rPr>
          <w:rFonts w:ascii="Sylfaen" w:hAnsi="Sylfaen"/>
          <w:color w:val="000000"/>
          <w:shd w:val="clear" w:color="auto" w:fill="FFFFFF"/>
          <w:lang w:val="ka-GE"/>
        </w:rPr>
        <w:t xml:space="preserve"> </w:t>
      </w:r>
      <w:r w:rsidRPr="00B27AB0">
        <w:rPr>
          <w:rFonts w:ascii="Sylfaen" w:hAnsi="Sylfaen" w:cs="Sylfaen"/>
          <w:color w:val="000000"/>
          <w:shd w:val="clear" w:color="auto" w:fill="FFFFFF"/>
          <w:lang w:val="ka-GE"/>
        </w:rPr>
        <w:t>წინააღმდეგ</w:t>
      </w:r>
      <w:r>
        <w:rPr>
          <w:rFonts w:ascii="Sylfaen" w:hAnsi="Sylfaen" w:cs="Sylfaen"/>
          <w:color w:val="000000"/>
          <w:shd w:val="clear" w:color="auto" w:fill="FFFFFF"/>
          <w:lang w:val="ka-GE"/>
        </w:rPr>
        <w:t>.“</w:t>
      </w:r>
      <w:r w:rsidRPr="00B27AB0">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B27AB0" w:rsidRPr="00B27AB0" w14:paraId="24CB676E" w14:textId="77777777" w:rsidTr="00FC75A0">
        <w:tc>
          <w:tcPr>
            <w:tcW w:w="11016" w:type="dxa"/>
            <w:tcBorders>
              <w:top w:val="nil"/>
              <w:left w:val="nil"/>
              <w:bottom w:val="nil"/>
              <w:right w:val="nil"/>
            </w:tcBorders>
            <w:shd w:val="clear" w:color="auto" w:fill="D9D9D9"/>
          </w:tcPr>
          <w:p w14:paraId="07C828A1" w14:textId="77777777" w:rsidR="00B27AB0" w:rsidRPr="00B27AB0" w:rsidRDefault="00B27AB0" w:rsidP="004D34B6">
            <w:pPr>
              <w:spacing w:before="100" w:beforeAutospacing="1" w:after="100" w:afterAutospacing="1"/>
              <w:jc w:val="center"/>
              <w:rPr>
                <w:rFonts w:ascii="Sylfaen" w:eastAsia="Calibri" w:hAnsi="Sylfaen" w:cs="Times New Roman"/>
                <w:b/>
                <w:color w:val="000000"/>
                <w:sz w:val="36"/>
                <w:lang w:val="ka-GE"/>
              </w:rPr>
            </w:pPr>
            <w:r w:rsidRPr="00B27AB0">
              <w:rPr>
                <w:rFonts w:ascii="Calibri" w:eastAsia="Calibri" w:hAnsi="Calibri" w:cs="Times New Roman"/>
                <w:b/>
                <w:color w:val="000000"/>
                <w:sz w:val="28"/>
                <w:szCs w:val="28"/>
                <w:lang w:val="ka-GE"/>
              </w:rPr>
              <w:lastRenderedPageBreak/>
              <w:t>II</w:t>
            </w:r>
            <w:r w:rsidRPr="00B27AB0">
              <w:rPr>
                <w:rFonts w:ascii="Sylfaen" w:eastAsia="Calibri" w:hAnsi="Sylfaen" w:cs="Times New Roman"/>
                <w:b/>
                <w:color w:val="000000"/>
                <w:sz w:val="28"/>
                <w:szCs w:val="28"/>
                <w:lang w:val="ka-GE"/>
              </w:rPr>
              <w:t xml:space="preserve">. </w:t>
            </w:r>
            <w:r w:rsidRPr="00B27AB0">
              <w:rPr>
                <w:rFonts w:ascii="Sylfaen" w:eastAsia="Calibri" w:hAnsi="Sylfaen" w:cs="Sylfaen"/>
                <w:b/>
                <w:sz w:val="28"/>
                <w:szCs w:val="28"/>
                <w:lang w:val="ka-GE"/>
              </w:rPr>
              <w:t xml:space="preserve">„სასამართლოს მეგობრის“ მოსაზრება </w:t>
            </w:r>
            <w:r w:rsidRPr="00B27AB0">
              <w:rPr>
                <w:rFonts w:ascii="Sylfaen" w:eastAsia="Calibri" w:hAnsi="Sylfaen" w:cs="Sylfaen"/>
                <w:b/>
                <w:color w:val="548DD4"/>
                <w:sz w:val="26"/>
                <w:szCs w:val="26"/>
                <w:vertAlign w:val="superscript"/>
                <w:lang w:val="ka-GE"/>
              </w:rPr>
              <w:footnoteReference w:customMarkFollows="1" w:id="2"/>
              <w:t>შენიშვნა 2</w:t>
            </w:r>
          </w:p>
        </w:tc>
      </w:tr>
      <w:tr w:rsidR="00B27AB0" w:rsidRPr="00B27AB0" w14:paraId="4AD513CC" w14:textId="77777777" w:rsidTr="00FC75A0">
        <w:trPr>
          <w:trHeight w:val="315"/>
        </w:trPr>
        <w:tc>
          <w:tcPr>
            <w:tcW w:w="11016" w:type="dxa"/>
            <w:tcBorders>
              <w:top w:val="nil"/>
              <w:bottom w:val="single" w:sz="4" w:space="0" w:color="auto"/>
            </w:tcBorders>
          </w:tcPr>
          <w:p w14:paraId="2A4BB09E" w14:textId="77777777" w:rsidR="009221FF" w:rsidRDefault="009221FF" w:rsidP="004D34B6">
            <w:pPr>
              <w:spacing w:before="100" w:beforeAutospacing="1" w:after="100" w:afterAutospacing="1"/>
              <w:jc w:val="both"/>
              <w:rPr>
                <w:rFonts w:ascii="Sylfaen" w:hAnsi="Sylfaen"/>
                <w:lang w:val="ka-GE"/>
              </w:rPr>
            </w:pPr>
          </w:p>
          <w:p w14:paraId="34C36614" w14:textId="77777777" w:rsidR="00B27AB0" w:rsidRDefault="00B27AB0" w:rsidP="00877E9D">
            <w:pPr>
              <w:spacing w:before="100" w:beforeAutospacing="1" w:after="100" w:afterAutospacing="1" w:line="276" w:lineRule="auto"/>
              <w:jc w:val="both"/>
              <w:rPr>
                <w:rFonts w:ascii="Sylfaen" w:hAnsi="Sylfaen"/>
                <w:lang w:val="ka-GE"/>
              </w:rPr>
            </w:pPr>
            <w:r>
              <w:rPr>
                <w:rFonts w:ascii="Sylfaen" w:hAnsi="Sylfaen"/>
                <w:lang w:val="ka-GE"/>
              </w:rPr>
              <w:t>„</w:t>
            </w:r>
            <w:r w:rsidRPr="00AC28CF">
              <w:rPr>
                <w:rFonts w:ascii="Sylfaen" w:hAnsi="Sylfaen"/>
                <w:lang w:val="ka-GE"/>
              </w:rPr>
              <w:t>საქართველოს ორგანულ კანონში „საქართველოს საარჩევნო კოდექს</w:t>
            </w:r>
            <w:r>
              <w:rPr>
                <w:rFonts w:ascii="Sylfaen" w:hAnsi="Sylfaen"/>
                <w:lang w:val="ka-GE"/>
              </w:rPr>
              <w:t>შ</w:t>
            </w:r>
            <w:r w:rsidRPr="00AC28CF">
              <w:rPr>
                <w:rFonts w:ascii="Sylfaen" w:hAnsi="Sylfaen"/>
                <w:lang w:val="ka-GE"/>
              </w:rPr>
              <w:t>ი“ ცვლილების შეტანის შესახებ</w:t>
            </w:r>
            <w:r>
              <w:rPr>
                <w:rFonts w:ascii="Sylfaen" w:hAnsi="Sylfaen"/>
                <w:lang w:val="ka-GE"/>
              </w:rPr>
              <w:t xml:space="preserve">“ 2021 წლის 28 ივნისის </w:t>
            </w:r>
            <w:r w:rsidRPr="00AC28CF">
              <w:rPr>
                <w:rFonts w:ascii="Sylfaen" w:hAnsi="Sylfaen"/>
                <w:lang w:val="ka-GE"/>
              </w:rPr>
              <w:t>N703-Vრს-Xმპ</w:t>
            </w:r>
            <w:r>
              <w:rPr>
                <w:rFonts w:ascii="Sylfaen" w:hAnsi="Sylfaen"/>
                <w:lang w:val="ka-GE"/>
              </w:rPr>
              <w:t xml:space="preserve"> საქართველოს ორგანული კანონით გათვალისწინებულ ერთ-ერთ მნიშვნელოვან საკითხს წარმოადგენს </w:t>
            </w:r>
            <w:r w:rsidRPr="00685602">
              <w:rPr>
                <w:rFonts w:ascii="Sylfaen" w:hAnsi="Sylfaen"/>
                <w:lang w:val="ka-GE"/>
              </w:rPr>
              <w:t>ცესკოს წევრთა რაოდენობის, შემადგენლობის</w:t>
            </w:r>
            <w:r>
              <w:rPr>
                <w:rFonts w:ascii="Sylfaen" w:hAnsi="Sylfaen"/>
                <w:lang w:val="ka-GE"/>
              </w:rPr>
              <w:t>,</w:t>
            </w:r>
            <w:r w:rsidRPr="00685602">
              <w:rPr>
                <w:rFonts w:ascii="Sylfaen" w:hAnsi="Sylfaen"/>
                <w:lang w:val="ka-GE"/>
              </w:rPr>
              <w:t xml:space="preserve"> მათი არჩევის</w:t>
            </w:r>
            <w:r>
              <w:rPr>
                <w:rFonts w:ascii="Sylfaen" w:hAnsi="Sylfaen"/>
                <w:lang w:val="ka-GE"/>
              </w:rPr>
              <w:t xml:space="preserve">, </w:t>
            </w:r>
            <w:r w:rsidRPr="00685602">
              <w:rPr>
                <w:rFonts w:ascii="Sylfaen" w:hAnsi="Sylfaen"/>
                <w:lang w:val="ka-GE"/>
              </w:rPr>
              <w:t>პარტიების მიერ ცესკოს წევრების დანიშვნისა და მათთვის უფლებამოსილების შეწყვეტის</w:t>
            </w:r>
            <w:r>
              <w:rPr>
                <w:rFonts w:ascii="Sylfaen" w:hAnsi="Sylfaen"/>
                <w:lang w:val="ka-GE"/>
              </w:rPr>
              <w:t xml:space="preserve"> </w:t>
            </w:r>
            <w:r w:rsidRPr="00685602">
              <w:rPr>
                <w:rFonts w:ascii="Sylfaen" w:hAnsi="Sylfaen"/>
                <w:lang w:val="ka-GE"/>
              </w:rPr>
              <w:t xml:space="preserve">წესის </w:t>
            </w:r>
            <w:r>
              <w:rPr>
                <w:rFonts w:ascii="Sylfaen" w:hAnsi="Sylfaen"/>
                <w:lang w:val="ka-GE"/>
              </w:rPr>
              <w:t>ცვლილება.</w:t>
            </w:r>
          </w:p>
          <w:p w14:paraId="472FEE73" w14:textId="77777777" w:rsidR="00B27AB0" w:rsidRDefault="00B27AB0" w:rsidP="00877E9D">
            <w:pPr>
              <w:spacing w:before="100" w:beforeAutospacing="1" w:after="100" w:afterAutospacing="1" w:line="276" w:lineRule="auto"/>
              <w:jc w:val="both"/>
              <w:rPr>
                <w:rFonts w:ascii="Sylfaen" w:hAnsi="Sylfaen"/>
                <w:lang w:val="ka-GE"/>
              </w:rPr>
            </w:pPr>
            <w:r>
              <w:rPr>
                <w:rFonts w:ascii="Sylfaen" w:hAnsi="Sylfaen"/>
                <w:lang w:val="ka-GE"/>
              </w:rPr>
              <w:t xml:space="preserve">კანონპროექტით გათვალისწინებული ცვლილებების მიზანს, როგორც მის განმარტებით ბარათში ვკითხულობთ, წარმოადგენდა </w:t>
            </w:r>
            <w:r w:rsidRPr="00A0109E">
              <w:rPr>
                <w:rFonts w:ascii="Sylfaen" w:hAnsi="Sylfaen"/>
                <w:lang w:val="ka-GE"/>
              </w:rPr>
              <w:t xml:space="preserve">საქართველოს პარლამენტის 2020 წლის 31 ოქტომბრის საპარლამენტო </w:t>
            </w:r>
            <w:r>
              <w:rPr>
                <w:rFonts w:ascii="Sylfaen" w:hAnsi="Sylfaen"/>
                <w:lang w:val="ka-GE"/>
              </w:rPr>
              <w:t>არჩევნებში</w:t>
            </w:r>
            <w:r w:rsidRPr="00A0109E">
              <w:rPr>
                <w:rFonts w:ascii="Sylfaen" w:hAnsi="Sylfaen"/>
                <w:lang w:val="ka-GE"/>
              </w:rPr>
              <w:t xml:space="preserve"> </w:t>
            </w:r>
            <w:r>
              <w:rPr>
                <w:rFonts w:ascii="Sylfaen" w:hAnsi="Sylfaen"/>
                <w:lang w:val="ka-GE"/>
              </w:rPr>
              <w:t xml:space="preserve">გამოვლენილი </w:t>
            </w:r>
            <w:r w:rsidRPr="00A0109E">
              <w:rPr>
                <w:rFonts w:ascii="Sylfaen" w:hAnsi="Sylfaen"/>
                <w:lang w:val="ka-GE"/>
              </w:rPr>
              <w:t>ხარვეზების</w:t>
            </w:r>
            <w:r>
              <w:rPr>
                <w:rFonts w:ascii="Sylfaen" w:hAnsi="Sylfaen"/>
                <w:lang w:val="ka-GE"/>
              </w:rPr>
              <w:t xml:space="preserve"> გამოსწორება - „</w:t>
            </w:r>
            <w:r w:rsidRPr="00AB312A">
              <w:rPr>
                <w:rFonts w:ascii="Sylfaen" w:hAnsi="Sylfaen"/>
                <w:lang w:val="ka-GE"/>
              </w:rPr>
              <w:t xml:space="preserve">წარმოდგენილი კანონპროექტის მიზანია საქართველოს საარჩევნო კოდექსში აისახოს ნორმები, რომლებითაც აღმოიფხვრება 2020 წლის საპარლამენტო არჩევნების შედეგად გამოვლენილი ცალკეული ხარვეზები, </w:t>
            </w:r>
            <w:r>
              <w:rPr>
                <w:rFonts w:ascii="Sylfaen" w:hAnsi="Sylfaen"/>
                <w:lang w:val="ka-GE"/>
              </w:rPr>
              <w:t>აისახოს</w:t>
            </w:r>
            <w:r w:rsidRPr="00AB312A">
              <w:rPr>
                <w:rFonts w:ascii="Sylfaen" w:hAnsi="Sylfaen"/>
                <w:lang w:val="ka-GE"/>
              </w:rPr>
              <w:t xml:space="preserve"> ეუთო/</w:t>
            </w:r>
            <w:proofErr w:type="spellStart"/>
            <w:r w:rsidRPr="00AB312A">
              <w:rPr>
                <w:rFonts w:ascii="Sylfaen" w:hAnsi="Sylfaen"/>
                <w:lang w:val="ka-GE"/>
              </w:rPr>
              <w:t>ოდირის</w:t>
            </w:r>
            <w:proofErr w:type="spellEnd"/>
            <w:r w:rsidRPr="00AB312A">
              <w:rPr>
                <w:rFonts w:ascii="Sylfaen" w:hAnsi="Sylfaen"/>
                <w:lang w:val="ka-GE"/>
              </w:rPr>
              <w:t xml:space="preserve"> რეკ</w:t>
            </w:r>
            <w:r>
              <w:rPr>
                <w:rFonts w:ascii="Sylfaen" w:hAnsi="Sylfaen"/>
                <w:lang w:val="ka-GE"/>
              </w:rPr>
              <w:t>ომენდაციები</w:t>
            </w:r>
            <w:r w:rsidRPr="00AB312A">
              <w:rPr>
                <w:rFonts w:ascii="Sylfaen" w:hAnsi="Sylfaen"/>
                <w:lang w:val="ka-GE"/>
              </w:rPr>
              <w:t xml:space="preserve"> საარჩევნო სისტემის გაუმჯობესების საკითხებზე და </w:t>
            </w:r>
            <w:r>
              <w:rPr>
                <w:rFonts w:ascii="Sylfaen" w:hAnsi="Sylfaen"/>
                <w:lang w:val="ka-GE"/>
              </w:rPr>
              <w:t>უპასუხოს</w:t>
            </w:r>
            <w:r w:rsidRPr="00AB312A">
              <w:rPr>
                <w:rFonts w:ascii="Sylfaen" w:hAnsi="Sylfaen"/>
                <w:lang w:val="ka-GE"/>
              </w:rPr>
              <w:t xml:space="preserve"> პოლიტიკურ პარტიებს შორის გაფორმებული მემორანდუმის სულისკვეთებას.</w:t>
            </w:r>
            <w:r>
              <w:rPr>
                <w:rFonts w:ascii="Sylfaen" w:hAnsi="Sylfaen"/>
                <w:lang w:val="ka-GE"/>
              </w:rPr>
              <w:t>“</w:t>
            </w:r>
            <w:r>
              <w:rPr>
                <w:rStyle w:val="FootnoteReference"/>
                <w:rFonts w:ascii="Sylfaen" w:hAnsi="Sylfaen"/>
                <w:lang w:val="ka-GE"/>
              </w:rPr>
              <w:footnoteReference w:id="3"/>
            </w:r>
          </w:p>
          <w:p w14:paraId="14DB7BCF" w14:textId="77777777" w:rsidR="00B27AB0" w:rsidRPr="00D7066B" w:rsidRDefault="00B27AB0" w:rsidP="00877E9D">
            <w:pPr>
              <w:spacing w:before="100" w:beforeAutospacing="1" w:after="100" w:afterAutospacing="1" w:line="276" w:lineRule="auto"/>
              <w:jc w:val="center"/>
              <w:rPr>
                <w:rFonts w:ascii="Sylfaen" w:hAnsi="Sylfaen"/>
                <w:b/>
                <w:i/>
                <w:lang w:val="ka-GE"/>
              </w:rPr>
            </w:pPr>
            <w:r w:rsidRPr="00D7066B">
              <w:rPr>
                <w:rFonts w:ascii="Sylfaen" w:hAnsi="Sylfaen"/>
                <w:b/>
                <w:i/>
                <w:lang w:val="ka-GE"/>
              </w:rPr>
              <w:t xml:space="preserve">ცესკოს დაკომპლექტებაში პოლიტიკური პარტიების მონაწილეობა </w:t>
            </w:r>
          </w:p>
          <w:p w14:paraId="4329795C" w14:textId="77777777" w:rsidR="00B27AB0" w:rsidRDefault="00B27AB0" w:rsidP="00877E9D">
            <w:pPr>
              <w:spacing w:before="100" w:beforeAutospacing="1" w:after="100" w:afterAutospacing="1" w:line="276" w:lineRule="auto"/>
              <w:jc w:val="both"/>
              <w:rPr>
                <w:rFonts w:ascii="Sylfaen" w:hAnsi="Sylfaen"/>
                <w:lang w:val="ka-GE"/>
              </w:rPr>
            </w:pPr>
            <w:r w:rsidRPr="00785829">
              <w:rPr>
                <w:rFonts w:ascii="Sylfaen" w:hAnsi="Sylfaen"/>
                <w:lang w:val="ka-GE"/>
              </w:rPr>
              <w:t xml:space="preserve">საქართველოს საარჩევნო ადმინისტრაციის უმაღლესი ორგანოა </w:t>
            </w:r>
            <w:r w:rsidRPr="00785829">
              <w:rPr>
                <w:rFonts w:ascii="Sylfaen" w:hAnsi="Sylfaen"/>
                <w:b/>
                <w:lang w:val="ka-GE"/>
              </w:rPr>
              <w:t>ცესკო</w:t>
            </w:r>
            <w:r w:rsidRPr="00785829">
              <w:rPr>
                <w:rFonts w:ascii="Sylfaen" w:hAnsi="Sylfaen"/>
                <w:lang w:val="ka-GE"/>
              </w:rPr>
              <w:t>, რომელიც თავისი უფლებამოსილების ფარგლებში ხელმძღვანელობს და აკონტროლებს ყველა დონის საარჩევნო კომისიებს და უზრუნველყოფს საქართველოს საარჩევნო კანონმდებლობის ერთგვაროვან გამოყენებას საქართველოს მთელ ტერიტორიაზე.</w:t>
            </w:r>
            <w:r>
              <w:rPr>
                <w:rStyle w:val="FootnoteReference"/>
                <w:rFonts w:ascii="Sylfaen" w:hAnsi="Sylfaen"/>
                <w:lang w:val="ka-GE"/>
              </w:rPr>
              <w:footnoteReference w:id="4"/>
            </w:r>
            <w:r>
              <w:rPr>
                <w:rFonts w:ascii="Sylfaen" w:hAnsi="Sylfaen"/>
                <w:lang w:val="ka-GE"/>
              </w:rPr>
              <w:t xml:space="preserve"> </w:t>
            </w:r>
          </w:p>
          <w:p w14:paraId="29218B00" w14:textId="77777777" w:rsidR="00B27AB0" w:rsidRDefault="00B27AB0" w:rsidP="00877E9D">
            <w:pPr>
              <w:spacing w:before="100" w:beforeAutospacing="1" w:after="100" w:afterAutospacing="1" w:line="276" w:lineRule="auto"/>
              <w:jc w:val="both"/>
              <w:rPr>
                <w:rFonts w:ascii="Sylfaen" w:hAnsi="Sylfaen"/>
                <w:lang w:val="ka-GE"/>
              </w:rPr>
            </w:pPr>
            <w:r>
              <w:rPr>
                <w:rFonts w:ascii="Sylfaen" w:hAnsi="Sylfaen"/>
                <w:lang w:val="ka-GE"/>
              </w:rPr>
              <w:t>შესაბამისად</w:t>
            </w:r>
            <w:r w:rsidRPr="00796974">
              <w:rPr>
                <w:rFonts w:ascii="Sylfaen" w:hAnsi="Sylfaen"/>
                <w:lang w:val="ka-GE"/>
              </w:rPr>
              <w:t xml:space="preserve"> საარჩევნო ადმინისტრაციის, </w:t>
            </w:r>
            <w:r>
              <w:rPr>
                <w:rFonts w:ascii="Sylfaen" w:hAnsi="Sylfaen"/>
                <w:lang w:val="ka-GE"/>
              </w:rPr>
              <w:t xml:space="preserve">მათ შორის ცესკოს, </w:t>
            </w:r>
            <w:r w:rsidRPr="00796974">
              <w:rPr>
                <w:rFonts w:ascii="Sylfaen" w:hAnsi="Sylfaen"/>
                <w:lang w:val="ka-GE"/>
              </w:rPr>
              <w:t xml:space="preserve">როგორც </w:t>
            </w:r>
            <w:r>
              <w:rPr>
                <w:rFonts w:ascii="Sylfaen" w:hAnsi="Sylfaen"/>
                <w:lang w:val="ka-GE"/>
              </w:rPr>
              <w:t xml:space="preserve">დამოუკიდებელი, </w:t>
            </w:r>
            <w:r w:rsidRPr="00796974">
              <w:rPr>
                <w:rFonts w:ascii="Sylfaen" w:hAnsi="Sylfaen"/>
                <w:lang w:val="ka-GE"/>
              </w:rPr>
              <w:t xml:space="preserve">სტაბილური </w:t>
            </w:r>
            <w:r>
              <w:rPr>
                <w:rFonts w:ascii="Sylfaen" w:hAnsi="Sylfaen"/>
                <w:lang w:val="ka-GE"/>
              </w:rPr>
              <w:t xml:space="preserve">და სანდო </w:t>
            </w:r>
            <w:r w:rsidRPr="00796974">
              <w:rPr>
                <w:rFonts w:ascii="Sylfaen" w:hAnsi="Sylfaen"/>
                <w:lang w:val="ka-GE"/>
              </w:rPr>
              <w:t>ინსტიტუციის</w:t>
            </w:r>
            <w:r>
              <w:rPr>
                <w:rFonts w:ascii="Sylfaen" w:hAnsi="Sylfaen"/>
                <w:lang w:val="ka-GE"/>
              </w:rPr>
              <w:t xml:space="preserve"> ჩამოყალიბებას უაღრესად დიდი მნიშვნელობა აქვს დემოკრატიული არჩევების ჩატარების მიზნით. ამ მიზნის მიღწევის ერთ-ერთი ეფექტური საშუალება კი, ცესკოში </w:t>
            </w:r>
            <w:r w:rsidRPr="00A32A1E">
              <w:rPr>
                <w:rFonts w:ascii="Sylfaen" w:hAnsi="Sylfaen"/>
                <w:lang w:val="ka-GE"/>
              </w:rPr>
              <w:t>მრავალპარტიულ</w:t>
            </w:r>
            <w:r>
              <w:rPr>
                <w:rFonts w:ascii="Sylfaen" w:hAnsi="Sylfaen"/>
                <w:lang w:val="ka-GE"/>
              </w:rPr>
              <w:t>ი წარმომადგენლობის უზრუნველყოფაა.</w:t>
            </w:r>
          </w:p>
          <w:p w14:paraId="06DE4AE8" w14:textId="77777777" w:rsidR="00B27AB0" w:rsidRPr="00796974" w:rsidRDefault="00B27AB0" w:rsidP="00877E9D">
            <w:pPr>
              <w:spacing w:before="100" w:beforeAutospacing="1" w:after="100" w:afterAutospacing="1" w:line="276" w:lineRule="auto"/>
              <w:jc w:val="both"/>
              <w:rPr>
                <w:rFonts w:ascii="Sylfaen" w:hAnsi="Sylfaen"/>
                <w:lang w:val="ka-GE"/>
              </w:rPr>
            </w:pPr>
            <w:r>
              <w:rPr>
                <w:rFonts w:ascii="Sylfaen" w:hAnsi="Sylfaen"/>
                <w:lang w:val="ka-GE"/>
              </w:rPr>
              <w:t xml:space="preserve">ცესკოში, როგორც </w:t>
            </w:r>
            <w:r w:rsidRPr="00755B2C">
              <w:rPr>
                <w:rFonts w:ascii="Sylfaen" w:hAnsi="Sylfaen"/>
                <w:lang w:val="ka-GE"/>
              </w:rPr>
              <w:t>საარჩევნო ადმინისტრაციის უმაღლეს ორგანო</w:t>
            </w:r>
            <w:r>
              <w:rPr>
                <w:rFonts w:ascii="Sylfaen" w:hAnsi="Sylfaen"/>
                <w:lang w:val="ka-GE"/>
              </w:rPr>
              <w:t xml:space="preserve">ში </w:t>
            </w:r>
            <w:r w:rsidRPr="00A32A1E">
              <w:rPr>
                <w:rFonts w:ascii="Sylfaen" w:hAnsi="Sylfaen"/>
                <w:lang w:val="ka-GE"/>
              </w:rPr>
              <w:t>მრავალპარტიულ</w:t>
            </w:r>
            <w:r>
              <w:rPr>
                <w:rFonts w:ascii="Sylfaen" w:hAnsi="Sylfaen"/>
                <w:lang w:val="ka-GE"/>
              </w:rPr>
              <w:t xml:space="preserve">ი წარმომადგენლობა უზრუნველყოფს </w:t>
            </w:r>
            <w:r w:rsidRPr="00796974">
              <w:rPr>
                <w:rFonts w:ascii="Sylfaen" w:hAnsi="Sylfaen"/>
                <w:lang w:val="ka-GE"/>
              </w:rPr>
              <w:t>საარჩევნო ადმინისტრაციის მიმართ სანდოობ</w:t>
            </w:r>
            <w:r>
              <w:rPr>
                <w:rFonts w:ascii="Sylfaen" w:hAnsi="Sylfaen"/>
                <w:lang w:val="ka-GE"/>
              </w:rPr>
              <w:t>ას და</w:t>
            </w:r>
            <w:r w:rsidRPr="00796974">
              <w:rPr>
                <w:rFonts w:ascii="Sylfaen" w:hAnsi="Sylfaen"/>
                <w:lang w:val="ka-GE"/>
              </w:rPr>
              <w:t xml:space="preserve"> პოლიტიკურ ძალებს შორის თანასწორი საარჩევნო გარემოს </w:t>
            </w:r>
            <w:r>
              <w:rPr>
                <w:rFonts w:ascii="Sylfaen" w:hAnsi="Sylfaen"/>
                <w:lang w:val="ka-GE"/>
              </w:rPr>
              <w:t>უზრუნველყოფა</w:t>
            </w:r>
            <w:r w:rsidRPr="00796974">
              <w:rPr>
                <w:rFonts w:ascii="Sylfaen" w:hAnsi="Sylfaen"/>
                <w:lang w:val="ka-GE"/>
              </w:rPr>
              <w:t>ს</w:t>
            </w:r>
            <w:r>
              <w:rPr>
                <w:rFonts w:ascii="Sylfaen" w:hAnsi="Sylfaen"/>
                <w:lang w:val="ka-GE"/>
              </w:rPr>
              <w:t>. იგი ხელშემშლელ ფაქტორს წარმოადგენს</w:t>
            </w:r>
            <w:r w:rsidRPr="00796974">
              <w:rPr>
                <w:rFonts w:ascii="Sylfaen" w:hAnsi="Sylfaen"/>
                <w:lang w:val="ka-GE"/>
              </w:rPr>
              <w:t xml:space="preserve"> საარჩევნო ადმინისტრაციაში </w:t>
            </w:r>
            <w:r>
              <w:rPr>
                <w:rFonts w:ascii="Sylfaen" w:hAnsi="Sylfaen"/>
                <w:lang w:val="ka-GE"/>
              </w:rPr>
              <w:t>რომელიმე ცალკეული</w:t>
            </w:r>
            <w:r w:rsidRPr="00796974">
              <w:rPr>
                <w:rFonts w:ascii="Sylfaen" w:hAnsi="Sylfaen"/>
                <w:lang w:val="ka-GE"/>
              </w:rPr>
              <w:t xml:space="preserve"> პარტიის</w:t>
            </w:r>
            <w:r>
              <w:rPr>
                <w:rFonts w:ascii="Sylfaen" w:hAnsi="Sylfaen"/>
                <w:lang w:val="ka-GE"/>
              </w:rPr>
              <w:t>/პარტიების</w:t>
            </w:r>
            <w:r w:rsidRPr="00796974">
              <w:rPr>
                <w:rFonts w:ascii="Sylfaen" w:hAnsi="Sylfaen"/>
                <w:lang w:val="ka-GE"/>
              </w:rPr>
              <w:t xml:space="preserve"> პოზიციების გა</w:t>
            </w:r>
            <w:r>
              <w:rPr>
                <w:rFonts w:ascii="Sylfaen" w:hAnsi="Sylfaen"/>
                <w:lang w:val="ka-GE"/>
              </w:rPr>
              <w:t>ნმტკიცების წინააღმდეგ.</w:t>
            </w:r>
          </w:p>
          <w:p w14:paraId="18EC59D6" w14:textId="77777777" w:rsidR="00B27AB0" w:rsidRPr="00C6646A" w:rsidRDefault="00B27AB0" w:rsidP="00877E9D">
            <w:pPr>
              <w:spacing w:before="100" w:beforeAutospacing="1" w:after="100" w:afterAutospacing="1" w:line="276" w:lineRule="auto"/>
              <w:jc w:val="both"/>
              <w:rPr>
                <w:rFonts w:ascii="Sylfaen" w:hAnsi="Sylfaen" w:cs="Sylfaen"/>
                <w:lang w:val="ka-GE"/>
              </w:rPr>
            </w:pPr>
            <w:r>
              <w:rPr>
                <w:rFonts w:ascii="Sylfaen" w:hAnsi="Sylfaen"/>
                <w:lang w:val="ka-GE"/>
              </w:rPr>
              <w:t xml:space="preserve">ამდენად, </w:t>
            </w:r>
            <w:r w:rsidRPr="00796974">
              <w:rPr>
                <w:rFonts w:ascii="Sylfaen" w:hAnsi="Sylfaen"/>
                <w:lang w:val="ka-GE"/>
              </w:rPr>
              <w:t>საარჩევნო ადმინისტრაციის დაკომპლექტების წესი</w:t>
            </w:r>
            <w:r>
              <w:rPr>
                <w:rFonts w:ascii="Sylfaen" w:hAnsi="Sylfaen"/>
                <w:lang w:val="ka-GE"/>
              </w:rPr>
              <w:t>, რომელიც უზრუნველყოფს ყველა კვალიფიციური პოლიტიკური პარტიის წარმომადგენლობას, საარჩევნო ადმინისტრაციას და მთლიანად საარჩევნო პროცესს</w:t>
            </w:r>
            <w:r w:rsidRPr="00796974">
              <w:rPr>
                <w:rFonts w:ascii="Sylfaen" w:hAnsi="Sylfaen"/>
                <w:lang w:val="ka-GE"/>
              </w:rPr>
              <w:t xml:space="preserve"> </w:t>
            </w:r>
            <w:r>
              <w:rPr>
                <w:rFonts w:ascii="Sylfaen" w:hAnsi="Sylfaen"/>
                <w:lang w:val="ka-GE"/>
              </w:rPr>
              <w:t xml:space="preserve">დაიცავს რომელიმე პოლიტიკური ძალის </w:t>
            </w:r>
            <w:r w:rsidRPr="00796974">
              <w:rPr>
                <w:rFonts w:ascii="Sylfaen" w:hAnsi="Sylfaen"/>
                <w:lang w:val="ka-GE"/>
              </w:rPr>
              <w:t xml:space="preserve">არასათანადო პოლიტიკური გავლენებისაგან </w:t>
            </w:r>
            <w:r>
              <w:rPr>
                <w:rFonts w:ascii="Sylfaen" w:hAnsi="Sylfaen"/>
                <w:lang w:val="ka-GE"/>
              </w:rPr>
              <w:t>და ცალკეული</w:t>
            </w:r>
            <w:r w:rsidRPr="00796974">
              <w:rPr>
                <w:rFonts w:ascii="Sylfaen" w:hAnsi="Sylfaen"/>
                <w:lang w:val="ka-GE"/>
              </w:rPr>
              <w:t xml:space="preserve"> პარტიის</w:t>
            </w:r>
            <w:r>
              <w:rPr>
                <w:rFonts w:ascii="Sylfaen" w:hAnsi="Sylfaen"/>
                <w:lang w:val="ka-GE"/>
              </w:rPr>
              <w:t xml:space="preserve">/პარტიების </w:t>
            </w:r>
            <w:r w:rsidRPr="00796974">
              <w:rPr>
                <w:rFonts w:ascii="Sylfaen" w:hAnsi="Sylfaen"/>
                <w:lang w:val="ka-GE"/>
              </w:rPr>
              <w:t>დომინირებულ</w:t>
            </w:r>
            <w:r>
              <w:rPr>
                <w:rFonts w:ascii="Sylfaen" w:hAnsi="Sylfaen"/>
                <w:lang w:val="ka-GE"/>
              </w:rPr>
              <w:t>ი</w:t>
            </w:r>
            <w:r w:rsidRPr="00796974">
              <w:rPr>
                <w:rFonts w:ascii="Sylfaen" w:hAnsi="Sylfaen"/>
                <w:lang w:val="ka-GE"/>
              </w:rPr>
              <w:t xml:space="preserve"> </w:t>
            </w:r>
            <w:r>
              <w:rPr>
                <w:rFonts w:ascii="Sylfaen" w:hAnsi="Sylfaen"/>
                <w:lang w:val="ka-GE"/>
              </w:rPr>
              <w:t>მდგომარეობისაგან</w:t>
            </w:r>
            <w:r w:rsidRPr="00796974">
              <w:rPr>
                <w:rFonts w:ascii="Sylfaen" w:hAnsi="Sylfaen" w:cs="Sylfaen"/>
                <w:lang w:val="ka-GE"/>
              </w:rPr>
              <w:t>.</w:t>
            </w:r>
          </w:p>
          <w:p w14:paraId="3E3F1905" w14:textId="77777777" w:rsidR="00B27AB0" w:rsidRDefault="00B27AB0" w:rsidP="00877E9D">
            <w:pPr>
              <w:spacing w:before="100" w:beforeAutospacing="1" w:after="100" w:afterAutospacing="1" w:line="276" w:lineRule="auto"/>
              <w:jc w:val="both"/>
              <w:rPr>
                <w:rFonts w:ascii="Sylfaen" w:hAnsi="Sylfaen"/>
                <w:lang w:val="ka-GE"/>
              </w:rPr>
            </w:pPr>
            <w:r>
              <w:rPr>
                <w:rFonts w:ascii="Sylfaen" w:hAnsi="Sylfaen"/>
                <w:lang w:val="ka-GE"/>
              </w:rPr>
              <w:lastRenderedPageBreak/>
              <w:t>საქართველოს საარჩევნო კოდექსში განხორციელებული ზემოაღნიშნული ცვლილებების შედეგად</w:t>
            </w:r>
            <w:r w:rsidRPr="00C956AC">
              <w:rPr>
                <w:rFonts w:ascii="Sylfaen" w:hAnsi="Sylfaen"/>
                <w:lang w:val="ka-GE"/>
              </w:rPr>
              <w:t xml:space="preserve">, </w:t>
            </w:r>
            <w:r>
              <w:rPr>
                <w:rFonts w:ascii="Sylfaen" w:hAnsi="Sylfaen"/>
                <w:lang w:val="ka-GE"/>
              </w:rPr>
              <w:t xml:space="preserve">ცენტრალური </w:t>
            </w:r>
            <w:r w:rsidRPr="00C956AC">
              <w:rPr>
                <w:rFonts w:ascii="Sylfaen" w:hAnsi="Sylfaen"/>
                <w:lang w:val="ka-GE"/>
              </w:rPr>
              <w:t xml:space="preserve">საარჩევნო </w:t>
            </w:r>
            <w:r>
              <w:rPr>
                <w:rFonts w:ascii="Sylfaen" w:hAnsi="Sylfaen"/>
                <w:lang w:val="ka-GE"/>
              </w:rPr>
              <w:t>კომისიის</w:t>
            </w:r>
            <w:r w:rsidRPr="00C956AC">
              <w:rPr>
                <w:rFonts w:ascii="Sylfaen" w:hAnsi="Sylfaen"/>
                <w:lang w:val="ka-GE"/>
              </w:rPr>
              <w:t xml:space="preserve"> დაკომპლექტების შერეული მოდელი </w:t>
            </w:r>
            <w:r>
              <w:rPr>
                <w:rFonts w:ascii="Sylfaen" w:hAnsi="Sylfaen"/>
                <w:lang w:val="ka-GE"/>
              </w:rPr>
              <w:t xml:space="preserve">იქნა შემოღებული. რომლის თანახმად, </w:t>
            </w:r>
            <w:r w:rsidRPr="00E42734">
              <w:rPr>
                <w:rFonts w:ascii="Sylfaen" w:hAnsi="Sylfaen"/>
                <w:lang w:val="ka-GE"/>
              </w:rPr>
              <w:t xml:space="preserve">ცესკო შედგება არაუმეტეს 17 წევრისგან </w:t>
            </w:r>
            <w:r>
              <w:rPr>
                <w:rFonts w:ascii="Sylfaen" w:hAnsi="Sylfaen"/>
                <w:lang w:val="ka-GE"/>
              </w:rPr>
              <w:t>(</w:t>
            </w:r>
            <w:r w:rsidRPr="00E42734">
              <w:rPr>
                <w:rFonts w:ascii="Sylfaen" w:hAnsi="Sylfaen"/>
                <w:lang w:val="ka-GE"/>
              </w:rPr>
              <w:t>მათ შორის არიან ცესკოს თავმჯდომარე, ცესკოს თავმჯდომარის 2 მოადგილე და ცესკოს მდივანი</w:t>
            </w:r>
            <w:r>
              <w:rPr>
                <w:rFonts w:ascii="Sylfaen" w:hAnsi="Sylfaen"/>
                <w:lang w:val="ka-GE"/>
              </w:rPr>
              <w:t>)</w:t>
            </w:r>
            <w:r w:rsidRPr="00E42734">
              <w:rPr>
                <w:rFonts w:ascii="Sylfaen" w:hAnsi="Sylfaen"/>
                <w:lang w:val="ka-GE"/>
              </w:rPr>
              <w:t xml:space="preserve">. ცესკოს 7 წევრს საქართველოს პრეზიდენტის წარდგინებით ირჩევს საქართველოს პარლამენტი, ხოლო </w:t>
            </w:r>
            <w:r w:rsidRPr="00756F11">
              <w:rPr>
                <w:rFonts w:ascii="Sylfaen" w:hAnsi="Sylfaen"/>
                <w:b/>
                <w:lang w:val="ka-GE"/>
              </w:rPr>
              <w:t>ცესკოს არაუმეტეს 9 წევრს ნიშნავენ პარტიები</w:t>
            </w:r>
            <w:r w:rsidRPr="00E42734">
              <w:rPr>
                <w:rFonts w:ascii="Sylfaen" w:hAnsi="Sylfaen"/>
                <w:lang w:val="ka-GE"/>
              </w:rPr>
              <w:t>.</w:t>
            </w:r>
            <w:r>
              <w:rPr>
                <w:rStyle w:val="FootnoteReference"/>
                <w:rFonts w:ascii="Sylfaen" w:hAnsi="Sylfaen"/>
                <w:lang w:val="ka-GE"/>
              </w:rPr>
              <w:footnoteReference w:id="5"/>
            </w:r>
            <w:r>
              <w:rPr>
                <w:rFonts w:ascii="Sylfaen" w:hAnsi="Sylfaen"/>
                <w:lang w:val="ka-GE"/>
              </w:rPr>
              <w:t xml:space="preserve"> </w:t>
            </w:r>
          </w:p>
          <w:p w14:paraId="15AFAA16" w14:textId="77777777" w:rsidR="00B27AB0" w:rsidRDefault="00B27AB0" w:rsidP="00877E9D">
            <w:pPr>
              <w:spacing w:before="100" w:beforeAutospacing="1" w:after="100" w:afterAutospacing="1" w:line="276" w:lineRule="auto"/>
              <w:jc w:val="both"/>
              <w:rPr>
                <w:rFonts w:ascii="Sylfaen" w:hAnsi="Sylfaen"/>
                <w:lang w:val="ka-GE"/>
              </w:rPr>
            </w:pPr>
            <w:r w:rsidRPr="00483FAA">
              <w:rPr>
                <w:rFonts w:ascii="Sylfaen" w:hAnsi="Sylfaen"/>
                <w:lang w:val="ka-GE"/>
              </w:rPr>
              <w:t>პარტიას უფლება აქვს, დანიშნოს ცესკოს 1 წევრი, თუ პარტია ცესკოს თავმჯდომარის მიერ რეგისტრირებული იყო საქართველოს პარლამენტის არჩევნებში მონაწილეობის მიზნით და მას მიეკუთვნა საქართველოს პარლამენტის წევრის მანდატი.</w:t>
            </w:r>
            <w:r>
              <w:rPr>
                <w:rStyle w:val="FootnoteReference"/>
                <w:rFonts w:ascii="Sylfaen" w:hAnsi="Sylfaen"/>
                <w:lang w:val="ka-GE"/>
              </w:rPr>
              <w:footnoteReference w:id="6"/>
            </w:r>
            <w:r>
              <w:rPr>
                <w:rFonts w:ascii="Sylfaen" w:hAnsi="Sylfaen"/>
                <w:lang w:val="ka-GE"/>
              </w:rPr>
              <w:t xml:space="preserve"> </w:t>
            </w:r>
          </w:p>
          <w:p w14:paraId="0F1CDC98" w14:textId="77777777" w:rsidR="00B27AB0" w:rsidRDefault="00B27AB0" w:rsidP="00877E9D">
            <w:pPr>
              <w:spacing w:before="100" w:beforeAutospacing="1" w:after="100" w:afterAutospacing="1" w:line="276" w:lineRule="auto"/>
              <w:jc w:val="both"/>
              <w:rPr>
                <w:rFonts w:ascii="Sylfaen" w:hAnsi="Sylfaen"/>
                <w:lang w:val="ka-GE"/>
              </w:rPr>
            </w:pPr>
            <w:r>
              <w:rPr>
                <w:rFonts w:ascii="Sylfaen" w:hAnsi="Sylfaen"/>
                <w:lang w:val="ka-GE"/>
              </w:rPr>
              <w:t>კერძოდ, იმისთვის რომ პარტიას ჰქონდეს ცესკოში წევრის დანიშვნის უფლება მან ა</w:t>
            </w:r>
            <w:r w:rsidRPr="00BD07CA">
              <w:rPr>
                <w:rFonts w:ascii="Sylfaen" w:hAnsi="Sylfaen"/>
                <w:lang w:val="ka-GE"/>
              </w:rPr>
              <w:t xml:space="preserve">რჩევნებში მონაწილე ამომრჩეველთა ნამდვილი ხმების </w:t>
            </w:r>
            <w:r>
              <w:rPr>
                <w:rFonts w:ascii="Sylfaen" w:hAnsi="Sylfaen"/>
                <w:lang w:val="ka-GE"/>
              </w:rPr>
              <w:t>დადგენილი</w:t>
            </w:r>
            <w:r w:rsidRPr="00BD07CA">
              <w:rPr>
                <w:rFonts w:ascii="Sylfaen" w:hAnsi="Sylfaen"/>
                <w:lang w:val="ka-GE"/>
              </w:rPr>
              <w:t xml:space="preserve"> </w:t>
            </w:r>
            <w:r>
              <w:rPr>
                <w:rFonts w:ascii="Sylfaen" w:hAnsi="Sylfaen"/>
                <w:lang w:val="ka-GE"/>
              </w:rPr>
              <w:t>პროცენტული რაოდენობა</w:t>
            </w:r>
            <w:r w:rsidRPr="00BD07CA">
              <w:rPr>
                <w:rFonts w:ascii="Sylfaen" w:hAnsi="Sylfaen"/>
                <w:lang w:val="ka-GE"/>
              </w:rPr>
              <w:t xml:space="preserve"> მაინც </w:t>
            </w:r>
            <w:r>
              <w:rPr>
                <w:rFonts w:ascii="Sylfaen" w:hAnsi="Sylfaen"/>
                <w:lang w:val="ka-GE"/>
              </w:rPr>
              <w:t>უნდა მიიღოს და მოიპოვოს საპარლამენტო მანდატი.</w:t>
            </w:r>
            <w:r>
              <w:rPr>
                <w:rStyle w:val="FootnoteReference"/>
                <w:rFonts w:ascii="Sylfaen" w:hAnsi="Sylfaen"/>
                <w:lang w:val="ka-GE"/>
              </w:rPr>
              <w:footnoteReference w:id="7"/>
            </w:r>
            <w:r>
              <w:rPr>
                <w:rFonts w:ascii="Sylfaen" w:hAnsi="Sylfaen"/>
                <w:lang w:val="ka-GE"/>
              </w:rPr>
              <w:t xml:space="preserve"> </w:t>
            </w:r>
            <w:r w:rsidRPr="009025F4">
              <w:rPr>
                <w:rFonts w:ascii="Sylfaen" w:hAnsi="Sylfaen"/>
                <w:lang w:val="ka-GE"/>
              </w:rPr>
              <w:t>2021 წლის მუნიციპალიტეტის ორგანოთა არჩევნებამდე ცესკოში წარმოშობილ ვაკანტურ თანამდებობაზე პირის არჩევის/დანიშვნის დროებითი წესი</w:t>
            </w:r>
            <w:r>
              <w:rPr>
                <w:rFonts w:ascii="Sylfaen" w:hAnsi="Sylfaen"/>
                <w:lang w:val="ka-GE"/>
              </w:rPr>
              <w:t xml:space="preserve">ს შესაბამისად, </w:t>
            </w:r>
            <w:r w:rsidRPr="009025F4">
              <w:rPr>
                <w:rFonts w:ascii="Sylfaen" w:hAnsi="Sylfaen"/>
                <w:lang w:val="ka-GE"/>
              </w:rPr>
              <w:t>პარტიას უფლება აქვს დანიშნოს ცესკოს 1 წევრი</w:t>
            </w:r>
            <w:r>
              <w:rPr>
                <w:rFonts w:ascii="Sylfaen" w:hAnsi="Sylfaen"/>
                <w:lang w:val="ka-GE"/>
              </w:rPr>
              <w:t xml:space="preserve">, თუ მან </w:t>
            </w:r>
            <w:r w:rsidRPr="009025F4">
              <w:rPr>
                <w:rFonts w:ascii="Sylfaen" w:hAnsi="Sylfaen"/>
                <w:lang w:val="ka-GE"/>
              </w:rPr>
              <w:t>ამომრჩეველთა ნამდვილი ხმების 1 პროცენტზე მეტი მიიღო</w:t>
            </w:r>
            <w:r>
              <w:rPr>
                <w:rFonts w:ascii="Sylfaen" w:hAnsi="Sylfaen"/>
                <w:lang w:val="ka-GE"/>
              </w:rPr>
              <w:t xml:space="preserve"> ს</w:t>
            </w:r>
            <w:r w:rsidRPr="009025F4">
              <w:rPr>
                <w:rFonts w:ascii="Sylfaen" w:hAnsi="Sylfaen"/>
                <w:lang w:val="ka-GE"/>
              </w:rPr>
              <w:t>აქართველოს პარლამენტის ბოლო არჩევნებში</w:t>
            </w:r>
            <w:r>
              <w:rPr>
                <w:rFonts w:ascii="Sylfaen" w:hAnsi="Sylfaen"/>
                <w:lang w:val="ka-GE"/>
              </w:rPr>
              <w:t>.</w:t>
            </w:r>
            <w:r>
              <w:rPr>
                <w:rStyle w:val="FootnoteReference"/>
                <w:rFonts w:ascii="Sylfaen" w:hAnsi="Sylfaen"/>
                <w:lang w:val="ka-GE"/>
              </w:rPr>
              <w:footnoteReference w:id="8"/>
            </w:r>
          </w:p>
          <w:p w14:paraId="61477B73" w14:textId="77777777" w:rsidR="00B27AB0" w:rsidRDefault="00B27AB0" w:rsidP="00877E9D">
            <w:pPr>
              <w:spacing w:before="100" w:beforeAutospacing="1" w:after="100" w:afterAutospacing="1" w:line="276" w:lineRule="auto"/>
              <w:jc w:val="both"/>
              <w:rPr>
                <w:rFonts w:ascii="Sylfaen" w:hAnsi="Sylfaen"/>
                <w:lang w:val="ka-GE"/>
              </w:rPr>
            </w:pPr>
            <w:r>
              <w:rPr>
                <w:rFonts w:ascii="Sylfaen" w:hAnsi="Sylfaen"/>
                <w:lang w:val="ka-GE"/>
              </w:rPr>
              <w:t xml:space="preserve">შესაბამისად, </w:t>
            </w:r>
            <w:r w:rsidRPr="00DD5D7F">
              <w:rPr>
                <w:rFonts w:ascii="Sylfaen" w:hAnsi="Sylfaen"/>
                <w:b/>
                <w:lang w:val="ka-GE"/>
              </w:rPr>
              <w:t>ცესკოში წევრის დანიშვნის უფლების მატარებელი სუბიექტი არის პოლიტიკური პარტია</w:t>
            </w:r>
            <w:r>
              <w:rPr>
                <w:rFonts w:ascii="Sylfaen" w:hAnsi="Sylfaen"/>
                <w:lang w:val="ka-GE"/>
              </w:rPr>
              <w:t>, რომელმაც არჩევნებში მიიღო მანდატის მოსაპოვებლად საკმარისი ოდენობის ამომრჩეველთა მხარდაჭერა, და არა პარტიის სარჩევნო სიაში მყოფი ცალკეული პირი/პირები, რომელებსაც მიენიჭათ საპარლამენტო მანდატი/მანდატები.</w:t>
            </w:r>
          </w:p>
          <w:p w14:paraId="0E57C884" w14:textId="77777777" w:rsidR="00B27AB0" w:rsidRPr="00D7066B" w:rsidRDefault="00B27AB0" w:rsidP="00877E9D">
            <w:pPr>
              <w:spacing w:before="100" w:beforeAutospacing="1" w:after="100" w:afterAutospacing="1" w:line="276" w:lineRule="auto"/>
              <w:jc w:val="center"/>
              <w:rPr>
                <w:rFonts w:ascii="Sylfaen" w:hAnsi="Sylfaen"/>
                <w:b/>
                <w:i/>
                <w:lang w:val="ka-GE"/>
              </w:rPr>
            </w:pPr>
            <w:r w:rsidRPr="00D7066B">
              <w:rPr>
                <w:rFonts w:ascii="Sylfaen" w:hAnsi="Sylfaen"/>
                <w:b/>
                <w:i/>
                <w:lang w:val="ka-GE"/>
              </w:rPr>
              <w:t>პარტიის მიერ ცესკოს წევრის დანიშვნის სადავო ნორმით დადგენილი წესი</w:t>
            </w:r>
          </w:p>
          <w:p w14:paraId="58B42C58" w14:textId="77777777" w:rsidR="00B27AB0" w:rsidRDefault="00B27AB0" w:rsidP="00877E9D">
            <w:pPr>
              <w:spacing w:before="100" w:beforeAutospacing="1" w:after="100" w:afterAutospacing="1" w:line="276" w:lineRule="auto"/>
              <w:jc w:val="both"/>
              <w:rPr>
                <w:rFonts w:ascii="Sylfaen" w:hAnsi="Sylfaen"/>
                <w:lang w:val="ka-GE"/>
              </w:rPr>
            </w:pPr>
            <w:r w:rsidRPr="00796974">
              <w:rPr>
                <w:rFonts w:ascii="Sylfaen" w:hAnsi="Sylfaen"/>
                <w:lang w:val="ka-GE"/>
              </w:rPr>
              <w:t>იმისთვის, რომ საარჩევნო ადმინისტრაციამ ეფექტიანად შეასრულოს თავისი ფუნქციები, მნიშვნელოვანია ცესკოში პოლიტიკური პარტიებისთვის გამოყოფილი კვოტის შევსების წესი იყოს სამართლიანი</w:t>
            </w:r>
            <w:r>
              <w:rPr>
                <w:rFonts w:ascii="Sylfaen" w:hAnsi="Sylfaen"/>
                <w:lang w:val="ka-GE"/>
              </w:rPr>
              <w:t>, თანასწორობისა</w:t>
            </w:r>
            <w:r w:rsidRPr="00796974">
              <w:rPr>
                <w:rFonts w:ascii="Sylfaen" w:hAnsi="Sylfaen"/>
                <w:lang w:val="ka-GE"/>
              </w:rPr>
              <w:t xml:space="preserve"> და პარიტეტის პრინციპ</w:t>
            </w:r>
            <w:r>
              <w:rPr>
                <w:rFonts w:ascii="Sylfaen" w:hAnsi="Sylfaen"/>
                <w:lang w:val="ka-GE"/>
              </w:rPr>
              <w:t>ზე დაფუძნებული</w:t>
            </w:r>
            <w:r w:rsidRPr="00796974">
              <w:rPr>
                <w:rFonts w:ascii="Sylfaen" w:hAnsi="Sylfaen"/>
                <w:lang w:val="ka-GE"/>
              </w:rPr>
              <w:t xml:space="preserve">. </w:t>
            </w:r>
          </w:p>
          <w:p w14:paraId="1316153F" w14:textId="77777777" w:rsidR="00B27AB0" w:rsidRDefault="00B27AB0" w:rsidP="00877E9D">
            <w:pPr>
              <w:spacing w:before="100" w:beforeAutospacing="1" w:after="100" w:afterAutospacing="1" w:line="276" w:lineRule="auto"/>
              <w:jc w:val="both"/>
              <w:rPr>
                <w:rFonts w:ascii="Sylfaen" w:hAnsi="Sylfaen"/>
                <w:lang w:val="ka-GE"/>
              </w:rPr>
            </w:pPr>
            <w:r>
              <w:rPr>
                <w:rFonts w:ascii="Sylfaen" w:hAnsi="Sylfaen"/>
                <w:lang w:val="ka-GE"/>
              </w:rPr>
              <w:t>საარჩევნო კოდექსის 196</w:t>
            </w:r>
            <w:r>
              <w:rPr>
                <w:rFonts w:ascii="Sylfaen" w:hAnsi="Sylfaen"/>
                <w:vertAlign w:val="superscript"/>
                <w:lang w:val="ka-GE"/>
              </w:rPr>
              <w:t>1</w:t>
            </w:r>
            <w:r>
              <w:rPr>
                <w:rFonts w:ascii="Sylfaen" w:hAnsi="Sylfaen"/>
                <w:lang w:val="ka-GE"/>
              </w:rPr>
              <w:t xml:space="preserve">-ე მუხლის მე-4 ნაწილის (რომელიც არის დროებითი რეგულაცია და ეხება </w:t>
            </w:r>
            <w:r w:rsidRPr="00D36A3A">
              <w:rPr>
                <w:rFonts w:ascii="Sylfaen" w:hAnsi="Sylfaen"/>
                <w:lang w:val="ka-GE"/>
              </w:rPr>
              <w:t xml:space="preserve">2021 წლის მუნიციპალიტეტის ორგანოთა არჩევნებამდე ცესკოში </w:t>
            </w:r>
            <w:r>
              <w:rPr>
                <w:rFonts w:ascii="Sylfaen" w:hAnsi="Sylfaen"/>
                <w:lang w:val="ka-GE"/>
              </w:rPr>
              <w:t xml:space="preserve">წევრის </w:t>
            </w:r>
            <w:r w:rsidRPr="00D36A3A">
              <w:rPr>
                <w:rFonts w:ascii="Sylfaen" w:hAnsi="Sylfaen"/>
                <w:lang w:val="ka-GE"/>
              </w:rPr>
              <w:t>დანიშვნ</w:t>
            </w:r>
            <w:r>
              <w:rPr>
                <w:rFonts w:ascii="Sylfaen" w:hAnsi="Sylfaen"/>
                <w:lang w:val="ka-GE"/>
              </w:rPr>
              <w:t xml:space="preserve">ას), თანახმად, შესაძლებელია ცესკოს წევრის დანიშვნის უფლება ჩამოერთვას, იმ პარტიას რომელიც აკმაყოფილებს ამავე კოდექსით დადგენილ ზოგად წესს - ამომრჩეველთა არანაკლებ 1 პროცენტის </w:t>
            </w:r>
            <w:proofErr w:type="spellStart"/>
            <w:r>
              <w:rPr>
                <w:rFonts w:ascii="Sylfaen" w:hAnsi="Sylfaen"/>
                <w:lang w:val="ka-GE"/>
              </w:rPr>
              <w:t>ლეგიტიმაციასთან</w:t>
            </w:r>
            <w:proofErr w:type="spellEnd"/>
            <w:r>
              <w:rPr>
                <w:rFonts w:ascii="Sylfaen" w:hAnsi="Sylfaen"/>
                <w:lang w:val="ka-GE"/>
              </w:rPr>
              <w:t xml:space="preserve"> დაკავშირებით. </w:t>
            </w:r>
          </w:p>
          <w:p w14:paraId="5139CD3B" w14:textId="77777777" w:rsidR="00B27AB0" w:rsidRDefault="00B27AB0" w:rsidP="00877E9D">
            <w:pPr>
              <w:spacing w:before="100" w:beforeAutospacing="1" w:after="100" w:afterAutospacing="1" w:line="276" w:lineRule="auto"/>
              <w:jc w:val="both"/>
              <w:rPr>
                <w:rFonts w:ascii="Sylfaen" w:hAnsi="Sylfaen"/>
                <w:lang w:val="ka-GE"/>
              </w:rPr>
            </w:pPr>
            <w:r>
              <w:rPr>
                <w:rFonts w:ascii="Sylfaen" w:hAnsi="Sylfaen"/>
                <w:lang w:val="ka-GE"/>
              </w:rPr>
              <w:t>კერძოდ, სადავო ნორმა გამონაკლისის სახით, დასაშვებად მიიჩნევს, პარტიას, რომელმაც ს</w:t>
            </w:r>
            <w:r w:rsidRPr="009025F4">
              <w:rPr>
                <w:rFonts w:ascii="Sylfaen" w:hAnsi="Sylfaen"/>
                <w:lang w:val="ka-GE"/>
              </w:rPr>
              <w:t>აქართველოს პარლამენტის ბოლო არჩევნებში</w:t>
            </w:r>
            <w:r>
              <w:rPr>
                <w:rFonts w:ascii="Sylfaen" w:hAnsi="Sylfaen"/>
                <w:lang w:val="ka-GE"/>
              </w:rPr>
              <w:t xml:space="preserve"> მიიღო </w:t>
            </w:r>
            <w:r w:rsidRPr="009025F4">
              <w:rPr>
                <w:rFonts w:ascii="Sylfaen" w:hAnsi="Sylfaen"/>
                <w:lang w:val="ka-GE"/>
              </w:rPr>
              <w:t>ამომრჩეველთა ნამდვილი ხმების 1 პროცენტზე მეტი</w:t>
            </w:r>
            <w:r>
              <w:rPr>
                <w:rFonts w:ascii="Sylfaen" w:hAnsi="Sylfaen"/>
                <w:lang w:val="ka-GE"/>
              </w:rPr>
              <w:t xml:space="preserve"> და მოიპოვა საპარლამენტო მანდატი, ჩამოერთვას ცესკოში წევრის დანიშვნის უფლება, თუ ამ </w:t>
            </w:r>
            <w:r w:rsidRPr="00406C83">
              <w:rPr>
                <w:rFonts w:ascii="Sylfaen" w:hAnsi="Sylfaen"/>
                <w:lang w:val="ka-GE"/>
              </w:rPr>
              <w:t xml:space="preserve">პარტიის სიით არჩეულმა საქართველოს პარლამენტის ყველა წევრმა, რომელიც ახორციელებს საქართველოს </w:t>
            </w:r>
            <w:r w:rsidRPr="00406C83">
              <w:rPr>
                <w:rFonts w:ascii="Sylfaen" w:hAnsi="Sylfaen"/>
                <w:lang w:val="ka-GE"/>
              </w:rPr>
              <w:lastRenderedPageBreak/>
              <w:t>პარლამენტის წევრის უფლებამოსილებას</w:t>
            </w:r>
            <w:r>
              <w:rPr>
                <w:rStyle w:val="FootnoteReference"/>
                <w:rFonts w:ascii="Sylfaen" w:hAnsi="Sylfaen"/>
                <w:lang w:val="ka-GE"/>
              </w:rPr>
              <w:footnoteReference w:id="9"/>
            </w:r>
            <w:r w:rsidRPr="00406C83">
              <w:rPr>
                <w:rFonts w:ascii="Sylfaen" w:hAnsi="Sylfaen"/>
                <w:lang w:val="ka-GE"/>
              </w:rPr>
              <w:t xml:space="preserve"> 2021 წლის 19 აპრილის მდგომარეობით, დატოვა პარტია და ყველა ერთად გახდა სხვა პარტიის წევრი</w:t>
            </w:r>
            <w:r>
              <w:rPr>
                <w:rFonts w:ascii="Sylfaen" w:hAnsi="Sylfaen"/>
                <w:lang w:val="ka-GE"/>
              </w:rPr>
              <w:t>.</w:t>
            </w:r>
          </w:p>
          <w:p w14:paraId="318324E1" w14:textId="77777777" w:rsidR="00B27AB0" w:rsidRDefault="00B27AB0" w:rsidP="00877E9D">
            <w:pPr>
              <w:spacing w:before="100" w:beforeAutospacing="1" w:after="100" w:afterAutospacing="1" w:line="276" w:lineRule="auto"/>
              <w:jc w:val="both"/>
              <w:rPr>
                <w:rFonts w:ascii="Sylfaen" w:hAnsi="Sylfaen"/>
                <w:lang w:val="ka-GE"/>
              </w:rPr>
            </w:pPr>
            <w:r>
              <w:rPr>
                <w:rFonts w:ascii="Sylfaen" w:hAnsi="Sylfaen"/>
                <w:lang w:val="ka-GE"/>
              </w:rPr>
              <w:t>სადავო ნორმის თანახმად, ცესკოში წევრის დანიშვნის უფლება გადაეცემა ახალ პარტიას, რომელის წევრებიც გახდნენ პარლამენტის აღნიშნული დეპუტატები. მიუხედავად იმისა, ახალ პარტიას, რომელსაც გადაეცა წევრის დანიშვნის უფლება, აქვს თუ არა ამომრჩეველთა სულ მცირე 1 პროცენტის მხარდაჭერა (როგორც მოსარჩელე მხარე მიუთითებს, განსახილველ შემთხვევაში პარლამენტის წევრებმა დააფუძნეს სრულიად ახალი პარტია, რომელიც ვერ აკმაყოფილებს ზემოხსენებულ ზოგად პირობას 1 პროცენტიან ბარიერთან დაკავშირებით).</w:t>
            </w:r>
          </w:p>
          <w:p w14:paraId="0F2A9A6B" w14:textId="77777777" w:rsidR="00B27AB0" w:rsidRDefault="00B27AB0" w:rsidP="00877E9D">
            <w:pPr>
              <w:spacing w:before="100" w:beforeAutospacing="1" w:after="100" w:afterAutospacing="1" w:line="276" w:lineRule="auto"/>
              <w:jc w:val="both"/>
              <w:rPr>
                <w:rFonts w:ascii="Sylfaen" w:hAnsi="Sylfaen"/>
                <w:lang w:val="ka-GE"/>
              </w:rPr>
            </w:pPr>
            <w:r>
              <w:rPr>
                <w:rFonts w:ascii="Sylfaen" w:hAnsi="Sylfaen"/>
                <w:lang w:val="ka-GE"/>
              </w:rPr>
              <w:t xml:space="preserve">შესაბამისად, გარდა იმისა რომ უფლების მქონე პოლიტიკურ პარტიას ერთმევა წევრის დანიშვნის უფლება, სადავო ნორმა ცესკოში წევრის დანიშვნის შესაძლებლობას ადგენს იმ პოლიტიკური პარტიისთვის, რომელსაც ამომრჩეველთა 1 პროცენტის მხარდაჭერაც კი არ აქვს. </w:t>
            </w:r>
          </w:p>
          <w:p w14:paraId="7072A3B4" w14:textId="77777777" w:rsidR="00B27AB0" w:rsidRDefault="00B27AB0" w:rsidP="00877E9D">
            <w:pPr>
              <w:spacing w:before="100" w:beforeAutospacing="1" w:after="100" w:afterAutospacing="1" w:line="276" w:lineRule="auto"/>
              <w:jc w:val="both"/>
              <w:rPr>
                <w:rFonts w:ascii="Sylfaen" w:hAnsi="Sylfaen"/>
                <w:lang w:val="ka-GE"/>
              </w:rPr>
            </w:pPr>
            <w:r>
              <w:rPr>
                <w:rFonts w:ascii="Sylfaen" w:hAnsi="Sylfaen"/>
                <w:lang w:val="ka-GE"/>
              </w:rPr>
              <w:t xml:space="preserve">გაუგებარია და სადავო ნორმაც არაფერს ამბობს ისეთ შემთხვევაზე, როდესაც </w:t>
            </w:r>
            <w:r w:rsidRPr="00636CD4">
              <w:rPr>
                <w:rFonts w:ascii="Sylfaen" w:hAnsi="Sylfaen"/>
                <w:lang w:val="ka-GE"/>
              </w:rPr>
              <w:t>პარტიის სიით არჩეულ</w:t>
            </w:r>
            <w:r>
              <w:rPr>
                <w:rFonts w:ascii="Sylfaen" w:hAnsi="Sylfaen"/>
                <w:lang w:val="ka-GE"/>
              </w:rPr>
              <w:t>ი</w:t>
            </w:r>
            <w:r w:rsidRPr="00636CD4">
              <w:rPr>
                <w:rFonts w:ascii="Sylfaen" w:hAnsi="Sylfaen"/>
                <w:lang w:val="ka-GE"/>
              </w:rPr>
              <w:t xml:space="preserve"> საქართველოს პარლამენტის ყველა წევრ</w:t>
            </w:r>
            <w:r>
              <w:rPr>
                <w:rFonts w:ascii="Sylfaen" w:hAnsi="Sylfaen"/>
                <w:lang w:val="ka-GE"/>
              </w:rPr>
              <w:t>ი დატოვებს</w:t>
            </w:r>
            <w:r w:rsidRPr="00636CD4">
              <w:rPr>
                <w:rFonts w:ascii="Sylfaen" w:hAnsi="Sylfaen"/>
                <w:lang w:val="ka-GE"/>
              </w:rPr>
              <w:t xml:space="preserve"> პარტია</w:t>
            </w:r>
            <w:r>
              <w:rPr>
                <w:rFonts w:ascii="Sylfaen" w:hAnsi="Sylfaen"/>
                <w:lang w:val="ka-GE"/>
              </w:rPr>
              <w:t>ს,</w:t>
            </w:r>
            <w:r w:rsidRPr="00636CD4">
              <w:rPr>
                <w:rFonts w:ascii="Sylfaen" w:hAnsi="Sylfaen"/>
                <w:lang w:val="ka-GE"/>
              </w:rPr>
              <w:t xml:space="preserve"> </w:t>
            </w:r>
            <w:r>
              <w:rPr>
                <w:rFonts w:ascii="Sylfaen" w:hAnsi="Sylfaen"/>
                <w:lang w:val="ka-GE"/>
              </w:rPr>
              <w:t xml:space="preserve">თუმცა არ გახდება სხვა პარტიის წევრი, ან მხოლოდ ნაწილი გახდება სხვა პარტიის წევრი, ასეთ შემთხვევაში როგორი იქნებოდა კანონმდებლის ლოგიკა, </w:t>
            </w:r>
            <w:r w:rsidRPr="00636CD4">
              <w:rPr>
                <w:rFonts w:ascii="Sylfaen" w:hAnsi="Sylfaen"/>
                <w:lang w:val="ka-GE"/>
              </w:rPr>
              <w:t>ცესკოს წევრის დანიშვნის უფლებ</w:t>
            </w:r>
            <w:r>
              <w:rPr>
                <w:rFonts w:ascii="Sylfaen" w:hAnsi="Sylfaen"/>
                <w:lang w:val="ka-GE"/>
              </w:rPr>
              <w:t xml:space="preserve">ის მინიჭებასთან დაკავშირებით. აღნიშნული გარემოება, ისევე როგორც კონკრეტულ თარიღზე - </w:t>
            </w:r>
            <w:r w:rsidRPr="00406C83">
              <w:rPr>
                <w:rFonts w:ascii="Sylfaen" w:hAnsi="Sylfaen"/>
                <w:lang w:val="ka-GE"/>
              </w:rPr>
              <w:t xml:space="preserve">2021 წლის 19 </w:t>
            </w:r>
            <w:r>
              <w:rPr>
                <w:rFonts w:ascii="Sylfaen" w:hAnsi="Sylfaen"/>
                <w:lang w:val="ka-GE"/>
              </w:rPr>
              <w:t>აპრილზე მითითება, ადასტურებს რომ სადავო ნორმით დადგენილი რეგულაცია მორგებულია კონკრეტულ პარტიას და შემოღებულია ცალკეული პარლამენტის წევრებისთვის ცესკოს წევრის დანიშვნის უფლების მინიჭების მიზნით. შესაბამისად აღნიშნულიც ცხადყოფს, რომ კანონმდებლის მიზანი სადავო ნორმის მიღებისას არა რაიმე ლეგიტიმური ინტერესის დაცვა, არამედ კანონის კონკრეტულ გარემოებებზე მორგება იყო.</w:t>
            </w:r>
          </w:p>
          <w:p w14:paraId="78FF305D" w14:textId="77777777" w:rsidR="00B27AB0" w:rsidRDefault="00B27AB0" w:rsidP="00877E9D">
            <w:pPr>
              <w:spacing w:before="100" w:beforeAutospacing="1" w:after="100" w:afterAutospacing="1" w:line="276" w:lineRule="auto"/>
              <w:jc w:val="both"/>
              <w:rPr>
                <w:rFonts w:ascii="Sylfaen" w:hAnsi="Sylfaen"/>
                <w:lang w:val="ka-GE"/>
              </w:rPr>
            </w:pPr>
            <w:r>
              <w:rPr>
                <w:rFonts w:ascii="Sylfaen" w:hAnsi="Sylfaen"/>
                <w:lang w:val="ka-GE"/>
              </w:rPr>
              <w:t>აღსანიშნავია, რომ სადავო ნორმის მიღების მიზანი არც კანონპროექტის განმარტებით ბარათშია მოცემული და არც კანონპროექტის ავტორს წარმოუდგენია პარლამენტში განხილვისას.</w:t>
            </w:r>
            <w:r>
              <w:rPr>
                <w:rStyle w:val="FootnoteReference"/>
                <w:rFonts w:ascii="Sylfaen" w:hAnsi="Sylfaen"/>
                <w:lang w:val="ka-GE"/>
              </w:rPr>
              <w:footnoteReference w:id="10"/>
            </w:r>
            <w:r>
              <w:rPr>
                <w:rFonts w:ascii="Sylfaen" w:hAnsi="Sylfaen"/>
                <w:lang w:val="ka-GE"/>
              </w:rPr>
              <w:t xml:space="preserve"> </w:t>
            </w:r>
          </w:p>
          <w:p w14:paraId="70EF6947" w14:textId="77777777" w:rsidR="00B27AB0" w:rsidRPr="00D41F3F" w:rsidRDefault="00B27AB0" w:rsidP="00877E9D">
            <w:pPr>
              <w:spacing w:before="100" w:beforeAutospacing="1" w:after="100" w:afterAutospacing="1" w:line="276" w:lineRule="auto"/>
              <w:jc w:val="both"/>
              <w:rPr>
                <w:rFonts w:ascii="Sylfaen" w:hAnsi="Sylfaen"/>
                <w:color w:val="FF0000"/>
                <w:lang w:val="ka-GE"/>
              </w:rPr>
            </w:pPr>
            <w:r w:rsidRPr="00B2293F">
              <w:rPr>
                <w:rFonts w:ascii="Sylfaen" w:hAnsi="Sylfaen"/>
                <w:lang w:val="ka-GE"/>
              </w:rPr>
              <w:t xml:space="preserve">ამდენად, სადავო ნორმის მოქმედების შედეგად, ყველა პარტიისთვის, რომელმაც მიიღო მანდატის მოსაპოვებლად ამომრჩეველთა ხმების საკმარისი რაოდენობა, </w:t>
            </w:r>
            <w:r w:rsidRPr="00B2293F">
              <w:rPr>
                <w:rFonts w:ascii="Sylfaen" w:hAnsi="Sylfaen"/>
                <w:b/>
                <w:lang w:val="ka-GE"/>
              </w:rPr>
              <w:t>ცესკოში წარმომადგენლის დანიშვნის წესი არ არის თანაბარი</w:t>
            </w:r>
            <w:r w:rsidRPr="00B2293F">
              <w:rPr>
                <w:rFonts w:ascii="Sylfaen" w:hAnsi="Sylfaen"/>
                <w:lang w:val="ka-GE"/>
              </w:rPr>
              <w:t>. მეტიც, ის შესაძლებლობას იძლევა წევრი დანიშნოს პარტიამ</w:t>
            </w:r>
            <w:r>
              <w:rPr>
                <w:rFonts w:ascii="Sylfaen" w:hAnsi="Sylfaen"/>
                <w:lang w:val="ka-GE"/>
              </w:rPr>
              <w:t>,</w:t>
            </w:r>
            <w:r w:rsidRPr="00B2293F">
              <w:rPr>
                <w:rFonts w:ascii="Sylfaen" w:hAnsi="Sylfaen"/>
                <w:lang w:val="ka-GE"/>
              </w:rPr>
              <w:t xml:space="preserve"> რომელსაც ამომრჩეველთა საკმარისი მხარდაჭერა არ აქვს, ხოლო ას</w:t>
            </w:r>
            <w:r>
              <w:rPr>
                <w:rFonts w:ascii="Sylfaen" w:hAnsi="Sylfaen"/>
                <w:lang w:val="ka-GE"/>
              </w:rPr>
              <w:t>ე</w:t>
            </w:r>
            <w:r w:rsidRPr="00B2293F">
              <w:rPr>
                <w:rFonts w:ascii="Sylfaen" w:hAnsi="Sylfaen"/>
                <w:lang w:val="ka-GE"/>
              </w:rPr>
              <w:t>თი მხარდაჭერის მქონე პარტიას სრულად უზღუდავს წარმომადგენლის დანიშვნის უფლებას.</w:t>
            </w:r>
            <w:r>
              <w:rPr>
                <w:rFonts w:ascii="Sylfaen" w:hAnsi="Sylfaen"/>
                <w:lang w:val="ka-GE"/>
              </w:rPr>
              <w:t xml:space="preserve"> </w:t>
            </w:r>
          </w:p>
          <w:p w14:paraId="2BA6AE9F" w14:textId="77777777" w:rsidR="00B27AB0" w:rsidRDefault="00B27AB0" w:rsidP="00877E9D">
            <w:pPr>
              <w:spacing w:before="100" w:beforeAutospacing="1" w:after="100" w:afterAutospacing="1" w:line="276" w:lineRule="auto"/>
              <w:jc w:val="both"/>
              <w:rPr>
                <w:rFonts w:ascii="Sylfaen" w:hAnsi="Sylfaen"/>
                <w:lang w:val="ka-GE"/>
              </w:rPr>
            </w:pPr>
            <w:r>
              <w:rPr>
                <w:rFonts w:ascii="Sylfaen" w:hAnsi="Sylfaen"/>
                <w:lang w:val="ka-GE"/>
              </w:rPr>
              <w:t>შესაბამისად, სადავო ნორმა არღვევს თავად კანონმდებლის მიერ დადგენილ პრინციპსაც, რომ ცესკოში წევრის დანიშვნის უფლება უნდა ებმოდეს პარტიის მიერ მიღებული ხმების რაოდენობას და ამომრჩევლის ლეგიტიმაციას.</w:t>
            </w:r>
            <w:r>
              <w:rPr>
                <w:rStyle w:val="FootnoteReference"/>
                <w:rFonts w:ascii="Sylfaen" w:hAnsi="Sylfaen"/>
                <w:lang w:val="ka-GE"/>
              </w:rPr>
              <w:footnoteReference w:id="11"/>
            </w:r>
            <w:r>
              <w:rPr>
                <w:rFonts w:ascii="Sylfaen" w:hAnsi="Sylfaen"/>
                <w:lang w:val="ka-GE"/>
              </w:rPr>
              <w:t xml:space="preserve"> </w:t>
            </w:r>
          </w:p>
          <w:p w14:paraId="3485DDE8" w14:textId="77777777" w:rsidR="00B27AB0" w:rsidRDefault="00B27AB0" w:rsidP="00877E9D">
            <w:pPr>
              <w:spacing w:before="100" w:beforeAutospacing="1" w:after="100" w:afterAutospacing="1" w:line="276" w:lineRule="auto"/>
              <w:jc w:val="both"/>
              <w:rPr>
                <w:rFonts w:ascii="Sylfaen" w:hAnsi="Sylfaen"/>
                <w:lang w:val="ka-GE"/>
              </w:rPr>
            </w:pPr>
            <w:r>
              <w:rPr>
                <w:rFonts w:ascii="Sylfaen" w:hAnsi="Sylfaen"/>
                <w:lang w:val="ka-GE"/>
              </w:rPr>
              <w:lastRenderedPageBreak/>
              <w:t xml:space="preserve">აღსანიშნავია, რომ კვალიფიციური პარტიის სხვა უფლებებთან მიმართებით, კანონმდებელი ამგვარ შეზღუდვას არ ადგენს. კერძოდ, ბარიერგადალახულ პარტიებს, მიუხედავად იმისა, მისი წევრები არჩევნების შემდგომ გახდებიან თუ არა სხვა პოლიტიკური სუბიექტის წევრები, უნარჩუნდება </w:t>
            </w:r>
            <w:r w:rsidRPr="00FA1A48">
              <w:rPr>
                <w:rFonts w:ascii="Sylfaen" w:hAnsi="Sylfaen"/>
                <w:lang w:val="ka-GE"/>
              </w:rPr>
              <w:t>უფასო საეთერო დრო</w:t>
            </w:r>
            <w:r>
              <w:rPr>
                <w:rFonts w:ascii="Sylfaen" w:hAnsi="Sylfaen"/>
                <w:lang w:val="ka-GE"/>
              </w:rPr>
              <w:t>ით სარგებლობის</w:t>
            </w:r>
            <w:r>
              <w:rPr>
                <w:rStyle w:val="FootnoteReference"/>
                <w:rFonts w:ascii="Sylfaen" w:hAnsi="Sylfaen"/>
                <w:lang w:val="ka-GE"/>
              </w:rPr>
              <w:footnoteReference w:id="12"/>
            </w:r>
            <w:r>
              <w:rPr>
                <w:rFonts w:ascii="Sylfaen" w:hAnsi="Sylfaen"/>
                <w:lang w:val="ka-GE"/>
              </w:rPr>
              <w:t xml:space="preserve"> და დაფინანსების მიღების უფლება, მხოლოდ ცესკოს წევრის დანიშვნის უფლება გადადის ახალ პარტიაზე.</w:t>
            </w:r>
          </w:p>
          <w:p w14:paraId="0E9EE673" w14:textId="77777777" w:rsidR="00B27AB0" w:rsidRPr="002B4DCA" w:rsidRDefault="00B27AB0" w:rsidP="00877E9D">
            <w:pPr>
              <w:spacing w:before="100" w:beforeAutospacing="1" w:after="100" w:afterAutospacing="1" w:line="276" w:lineRule="auto"/>
              <w:jc w:val="both"/>
              <w:rPr>
                <w:rFonts w:ascii="Sylfaen" w:hAnsi="Sylfaen"/>
                <w:lang w:val="ka-GE"/>
              </w:rPr>
            </w:pPr>
            <w:r>
              <w:rPr>
                <w:rFonts w:ascii="Sylfaen" w:hAnsi="Sylfaen"/>
                <w:lang w:val="ka-GE"/>
              </w:rPr>
              <w:t>აღსანიშნავია, სადავო ნორმით დადგენილი წესთან დაკავშირებით ვენეციის კომისიამ აღნიშნა, რომ ის ეწინააღმდეგება საარჩევნო კოდექსის მე-13 მუხლის პირველი ნაწილით დადგენილ ზოგად პირობას და მისი ცვლილებისკენ მოუწოდა საქართველოს პარლამენტს.</w:t>
            </w:r>
            <w:r>
              <w:rPr>
                <w:rStyle w:val="FootnoteReference"/>
                <w:rFonts w:ascii="Sylfaen" w:hAnsi="Sylfaen"/>
                <w:lang w:val="ka-GE"/>
              </w:rPr>
              <w:footnoteReference w:id="13"/>
            </w:r>
          </w:p>
          <w:p w14:paraId="00FB831A" w14:textId="77777777" w:rsidR="004D34B6" w:rsidRDefault="004D34B6" w:rsidP="00877E9D">
            <w:pPr>
              <w:spacing w:before="100" w:beforeAutospacing="1" w:after="100" w:afterAutospacing="1" w:line="276" w:lineRule="auto"/>
              <w:jc w:val="center"/>
              <w:rPr>
                <w:rFonts w:ascii="Sylfaen" w:hAnsi="Sylfaen"/>
                <w:b/>
                <w:i/>
                <w:lang w:val="ka-GE"/>
              </w:rPr>
            </w:pPr>
          </w:p>
          <w:p w14:paraId="4BE12E33" w14:textId="77777777" w:rsidR="00B27AB0" w:rsidRPr="00CF20E3" w:rsidRDefault="00B27AB0" w:rsidP="00877E9D">
            <w:pPr>
              <w:spacing w:before="100" w:beforeAutospacing="1" w:after="100" w:afterAutospacing="1" w:line="276" w:lineRule="auto"/>
              <w:jc w:val="center"/>
              <w:rPr>
                <w:rFonts w:ascii="Sylfaen" w:hAnsi="Sylfaen"/>
                <w:b/>
                <w:i/>
                <w:lang w:val="ka-GE"/>
              </w:rPr>
            </w:pPr>
            <w:r w:rsidRPr="00CF20E3">
              <w:rPr>
                <w:rFonts w:ascii="Sylfaen" w:hAnsi="Sylfaen"/>
                <w:b/>
                <w:i/>
                <w:lang w:val="ka-GE"/>
              </w:rPr>
              <w:t xml:space="preserve">სადავო ნორმის </w:t>
            </w:r>
            <w:proofErr w:type="spellStart"/>
            <w:r w:rsidRPr="00CF20E3">
              <w:rPr>
                <w:rFonts w:ascii="Sylfaen" w:hAnsi="Sylfaen"/>
                <w:b/>
                <w:i/>
                <w:lang w:val="ka-GE"/>
              </w:rPr>
              <w:t>დისკრიმინაციულობა</w:t>
            </w:r>
            <w:proofErr w:type="spellEnd"/>
          </w:p>
          <w:p w14:paraId="18B62562" w14:textId="77777777" w:rsidR="00B27AB0" w:rsidRPr="007A1601" w:rsidRDefault="00B27AB0" w:rsidP="00877E9D">
            <w:pPr>
              <w:spacing w:before="100" w:beforeAutospacing="1" w:after="100" w:afterAutospacing="1" w:line="276" w:lineRule="auto"/>
              <w:jc w:val="left"/>
              <w:rPr>
                <w:rFonts w:ascii="Sylfaen" w:hAnsi="Sylfaen" w:cs="Sylfaen"/>
                <w:b/>
                <w:lang w:val="ka-GE"/>
              </w:rPr>
            </w:pPr>
            <w:r w:rsidRPr="007A1601">
              <w:rPr>
                <w:rFonts w:ascii="Sylfaen" w:hAnsi="Sylfaen" w:cs="Sylfaen"/>
                <w:b/>
                <w:lang w:val="ka-GE"/>
              </w:rPr>
              <w:t>თანასწორობის უფლება</w:t>
            </w:r>
          </w:p>
          <w:p w14:paraId="1EC4F127" w14:textId="77777777" w:rsidR="00B27AB0" w:rsidRPr="007A1601" w:rsidRDefault="00B27AB0" w:rsidP="00877E9D">
            <w:pPr>
              <w:spacing w:before="100" w:beforeAutospacing="1" w:after="100" w:afterAutospacing="1" w:line="276" w:lineRule="auto"/>
              <w:jc w:val="both"/>
              <w:rPr>
                <w:rFonts w:ascii="Sylfaen" w:hAnsi="Sylfaen" w:cs="Sylfaen"/>
                <w:lang w:val="ka-GE"/>
              </w:rPr>
            </w:pPr>
            <w:r w:rsidRPr="007A1601">
              <w:rPr>
                <w:rFonts w:ascii="Sylfaen" w:hAnsi="Sylfaen" w:cs="Sylfaen"/>
                <w:lang w:val="ka-GE"/>
              </w:rPr>
              <w:t xml:space="preserve">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პრინციპს. აღნიშნული კონსტიტუციური ნორმით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w:t>
            </w:r>
          </w:p>
          <w:p w14:paraId="046422C3" w14:textId="77777777" w:rsidR="00B27AB0" w:rsidRPr="007A1601" w:rsidRDefault="00B27AB0" w:rsidP="00877E9D">
            <w:pPr>
              <w:spacing w:before="100" w:beforeAutospacing="1" w:after="100" w:afterAutospacing="1" w:line="276" w:lineRule="auto"/>
              <w:jc w:val="both"/>
              <w:rPr>
                <w:rFonts w:ascii="Sylfaen" w:hAnsi="Sylfaen" w:cs="Sylfaen"/>
                <w:lang w:val="ka-GE"/>
              </w:rPr>
            </w:pPr>
            <w:r w:rsidRPr="007A1601">
              <w:rPr>
                <w:rFonts w:ascii="Sylfaen" w:hAnsi="Sylfaen" w:cs="Sylfaen"/>
                <w:lang w:val="ka-GE"/>
              </w:rPr>
              <w:t>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7A1601">
              <w:rPr>
                <w:rStyle w:val="FootnoteReference"/>
                <w:rFonts w:ascii="Sylfaen" w:hAnsi="Sylfaen" w:cs="Sylfaen"/>
                <w:lang w:val="ka-GE"/>
              </w:rPr>
              <w:footnoteReference w:id="14"/>
            </w:r>
          </w:p>
          <w:p w14:paraId="10965228" w14:textId="77777777" w:rsidR="00B27AB0" w:rsidRPr="007A1601" w:rsidRDefault="00B27AB0" w:rsidP="00877E9D">
            <w:pPr>
              <w:spacing w:before="100" w:beforeAutospacing="1" w:after="100" w:afterAutospacing="1" w:line="276" w:lineRule="auto"/>
              <w:jc w:val="both"/>
              <w:rPr>
                <w:rFonts w:ascii="Sylfaen" w:hAnsi="Sylfaen" w:cs="Sylfaen"/>
                <w:lang w:val="ka-GE"/>
              </w:rPr>
            </w:pPr>
            <w:r w:rsidRPr="007A1601">
              <w:rPr>
                <w:rFonts w:ascii="Sylfaen" w:hAnsi="Sylfaen" w:cs="Sylfaen"/>
                <w:lang w:val="ka-GE"/>
              </w:rPr>
              <w:t>საქართველოს საკონსტიტუციო სასამართლოს განმარტებით, „(...)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Pr="007A1601">
              <w:rPr>
                <w:rStyle w:val="FootnoteReference"/>
                <w:rFonts w:ascii="Sylfaen" w:hAnsi="Sylfaen" w:cs="Sylfaen"/>
                <w:lang w:val="ka-GE"/>
              </w:rPr>
              <w:footnoteReference w:id="15"/>
            </w:r>
            <w:r w:rsidRPr="007A1601">
              <w:rPr>
                <w:rFonts w:ascii="Sylfaen" w:hAnsi="Sylfaen" w:cs="Sylfaen"/>
                <w:lang w:val="ka-GE"/>
              </w:rPr>
              <w:t xml:space="preserve"> „(...)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Pr="007A1601">
              <w:rPr>
                <w:rStyle w:val="FootnoteReference"/>
                <w:rFonts w:ascii="Sylfaen" w:hAnsi="Sylfaen" w:cs="Sylfaen"/>
                <w:lang w:val="ka-GE"/>
              </w:rPr>
              <w:footnoteReference w:id="16"/>
            </w:r>
            <w:r>
              <w:rPr>
                <w:rFonts w:ascii="Sylfaen" w:hAnsi="Sylfaen" w:cs="Sylfaen"/>
                <w:lang w:val="ka-GE"/>
              </w:rPr>
              <w:t xml:space="preserve"> ამასთან, </w:t>
            </w:r>
            <w:r w:rsidRPr="001E0727">
              <w:rPr>
                <w:rFonts w:ascii="Sylfaen" w:hAnsi="Sylfaen" w:cs="Sylfaen"/>
                <w:lang w:val="ka-GE"/>
              </w:rPr>
              <w:t>კონსტიტუციაში მითითებული ადამიანის ძირითადი უფლებები, მათი შინაარსის გათვალისწინებით, ვრცელდება აგრეთვე იურიდიულ პირებზე</w:t>
            </w:r>
            <w:r>
              <w:rPr>
                <w:rFonts w:ascii="Sylfaen" w:hAnsi="Sylfaen" w:cs="Sylfaen"/>
                <w:lang w:val="ka-GE"/>
              </w:rPr>
              <w:t>,</w:t>
            </w:r>
            <w:r>
              <w:rPr>
                <w:rStyle w:val="FootnoteReference"/>
                <w:rFonts w:ascii="Sylfaen" w:hAnsi="Sylfaen" w:cs="Sylfaen"/>
                <w:lang w:val="ka-GE"/>
              </w:rPr>
              <w:footnoteReference w:id="17"/>
            </w:r>
            <w:r>
              <w:rPr>
                <w:rFonts w:ascii="Sylfaen" w:hAnsi="Sylfaen" w:cs="Sylfaen"/>
                <w:lang w:val="ka-GE"/>
              </w:rPr>
              <w:t xml:space="preserve"> განსახილველ შემთხვევაში პოლიტიკურ პარტიებზე.</w:t>
            </w:r>
          </w:p>
          <w:p w14:paraId="71DA8EA9" w14:textId="77777777" w:rsidR="00B27AB0" w:rsidRDefault="00B27AB0" w:rsidP="00877E9D">
            <w:pPr>
              <w:spacing w:before="100" w:beforeAutospacing="1" w:after="100" w:afterAutospacing="1" w:line="276" w:lineRule="auto"/>
              <w:jc w:val="both"/>
              <w:rPr>
                <w:rFonts w:ascii="Sylfaen" w:hAnsi="Sylfaen" w:cs="Sylfaen"/>
                <w:lang w:val="ka-GE"/>
              </w:rPr>
            </w:pPr>
            <w:r w:rsidRPr="007A1601">
              <w:rPr>
                <w:rFonts w:ascii="Sylfaen" w:hAnsi="Sylfaen" w:cs="Sylfaen"/>
                <w:lang w:val="ka-GE"/>
              </w:rPr>
              <w:lastRenderedPageBreak/>
              <w:t>საკონსტიტუციო სასამართლოს პოზიციით,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w:t>
            </w:r>
            <w:r w:rsidRPr="007A1601">
              <w:rPr>
                <w:rStyle w:val="FootnoteReference"/>
                <w:rFonts w:ascii="Sylfaen" w:hAnsi="Sylfaen" w:cs="Sylfaen"/>
                <w:lang w:val="ka-GE"/>
              </w:rPr>
              <w:footnoteReference w:id="18"/>
            </w:r>
            <w:r w:rsidRPr="007A1601">
              <w:rPr>
                <w:rFonts w:ascii="Sylfaen" w:hAnsi="Sylfaen" w:cs="Sylfaen"/>
                <w:lang w:val="ka-GE"/>
              </w:rPr>
              <w:t xml:space="preserve"> ამდენად, პირველ რიგში უნდა დადგინდეს, იწვევს თუ არა სადავო ნორმებით დადგენილი წესი არსებითად თანასწორი პირების დიფერენცირებას. რისთვისაც, უნდა გამოიკვეთოს შესადარებელი პირები.</w:t>
            </w:r>
          </w:p>
          <w:p w14:paraId="689FEA32" w14:textId="77777777" w:rsidR="00B27AB0" w:rsidRPr="0085664C" w:rsidRDefault="00B27AB0" w:rsidP="00877E9D">
            <w:pPr>
              <w:spacing w:before="100" w:beforeAutospacing="1" w:after="100" w:afterAutospacing="1" w:line="276" w:lineRule="auto"/>
              <w:jc w:val="left"/>
              <w:rPr>
                <w:rFonts w:ascii="Sylfaen" w:hAnsi="Sylfaen" w:cs="Sylfaen"/>
                <w:b/>
                <w:lang w:val="ka-GE"/>
              </w:rPr>
            </w:pPr>
            <w:r w:rsidRPr="0085664C">
              <w:rPr>
                <w:rFonts w:ascii="Sylfaen" w:hAnsi="Sylfaen" w:cs="Sylfaen"/>
                <w:b/>
                <w:lang w:val="ka-GE"/>
              </w:rPr>
              <w:t>შესადარებელ პირთა დიფერენცირება</w:t>
            </w:r>
          </w:p>
          <w:p w14:paraId="59E8634B" w14:textId="77777777" w:rsidR="00B27AB0" w:rsidRPr="007A1601" w:rsidRDefault="00B27AB0" w:rsidP="00877E9D">
            <w:pPr>
              <w:spacing w:before="100" w:beforeAutospacing="1" w:after="100" w:afterAutospacing="1" w:line="276" w:lineRule="auto"/>
              <w:jc w:val="both"/>
              <w:rPr>
                <w:rFonts w:ascii="Sylfaen" w:hAnsi="Sylfaen" w:cs="Sylfaen"/>
                <w:lang w:val="ka-GE"/>
              </w:rPr>
            </w:pPr>
            <w:r w:rsidRPr="007A1601">
              <w:rPr>
                <w:rFonts w:ascii="Sylfaen" w:hAnsi="Sylfaen" w:cs="Sylfaen"/>
                <w:lang w:val="ka-GE"/>
              </w:rPr>
              <w:t xml:space="preserve">განსახილველ შემთხვევაში, </w:t>
            </w:r>
            <w:r>
              <w:rPr>
                <w:rFonts w:ascii="Sylfaen" w:hAnsi="Sylfaen" w:cs="Sylfaen"/>
                <w:lang w:val="ka-GE"/>
              </w:rPr>
              <w:t xml:space="preserve">ცესკოში წევრის დანიშვნის უფლება აქვთ პარტიებს, რომლებიც </w:t>
            </w:r>
            <w:r w:rsidRPr="002E454E">
              <w:rPr>
                <w:rFonts w:ascii="Sylfaen" w:hAnsi="Sylfaen" w:cs="Sylfaen"/>
                <w:lang w:val="ka-GE"/>
              </w:rPr>
              <w:t>მონაწილეობდ</w:t>
            </w:r>
            <w:r>
              <w:rPr>
                <w:rFonts w:ascii="Sylfaen" w:hAnsi="Sylfaen" w:cs="Sylfaen"/>
                <w:lang w:val="ka-GE"/>
              </w:rPr>
              <w:t>ნენ</w:t>
            </w:r>
            <w:r w:rsidRPr="002E454E">
              <w:rPr>
                <w:rFonts w:ascii="Sylfaen" w:hAnsi="Sylfaen" w:cs="Sylfaen"/>
                <w:lang w:val="ka-GE"/>
              </w:rPr>
              <w:t xml:space="preserve"> საქართველოს პარლამენტის ბოლო არჩევნებში და ამომრჩეველთა ნამდვილი ხმების 1 პროცენტზე მეტი მიიღ</w:t>
            </w:r>
            <w:r>
              <w:rPr>
                <w:rFonts w:ascii="Sylfaen" w:hAnsi="Sylfaen" w:cs="Sylfaen"/>
                <w:lang w:val="ka-GE"/>
              </w:rPr>
              <w:t>ეს</w:t>
            </w:r>
            <w:r w:rsidRPr="007A1601">
              <w:rPr>
                <w:rFonts w:ascii="Sylfaen" w:hAnsi="Sylfaen"/>
                <w:lang w:val="ka-GE"/>
              </w:rPr>
              <w:t>. თუმცა,</w:t>
            </w:r>
            <w:r>
              <w:rPr>
                <w:rFonts w:ascii="Sylfaen" w:hAnsi="Sylfaen"/>
                <w:lang w:val="ka-GE"/>
              </w:rPr>
              <w:t xml:space="preserve"> მოსარჩელეს, რომელმაც</w:t>
            </w:r>
            <w:r w:rsidRPr="007A1601">
              <w:rPr>
                <w:rFonts w:ascii="Sylfaen" w:hAnsi="Sylfaen"/>
                <w:lang w:val="ka-GE"/>
              </w:rPr>
              <w:t xml:space="preserve"> იმავე</w:t>
            </w:r>
            <w:r>
              <w:rPr>
                <w:rFonts w:ascii="Sylfaen" w:hAnsi="Sylfaen"/>
                <w:lang w:val="ka-GE"/>
              </w:rPr>
              <w:t xml:space="preserve"> არჩევნებში იმავე ოდენობის საარჩევნო ბარიერი გადალახა, </w:t>
            </w:r>
            <w:r w:rsidRPr="007A1601">
              <w:rPr>
                <w:rFonts w:ascii="Sylfaen" w:hAnsi="Sylfaen"/>
                <w:lang w:val="ka-GE"/>
              </w:rPr>
              <w:t xml:space="preserve"> </w:t>
            </w:r>
            <w:r>
              <w:rPr>
                <w:rFonts w:ascii="Sylfaen" w:hAnsi="Sylfaen"/>
                <w:lang w:val="ka-GE"/>
              </w:rPr>
              <w:t xml:space="preserve">ვინაიდან, </w:t>
            </w:r>
            <w:r w:rsidRPr="0003007B">
              <w:rPr>
                <w:rFonts w:ascii="Sylfaen" w:hAnsi="Sylfaen"/>
                <w:lang w:val="ka-GE"/>
              </w:rPr>
              <w:t>2021 წლის 19 აპრილის მდგომარეობით</w:t>
            </w:r>
            <w:r>
              <w:rPr>
                <w:rFonts w:ascii="Sylfaen" w:hAnsi="Sylfaen"/>
                <w:lang w:val="ka-GE"/>
              </w:rPr>
              <w:t xml:space="preserve"> მისი სიით გასულმა პარლამენტის წევრებმა </w:t>
            </w:r>
            <w:r w:rsidRPr="0003007B">
              <w:rPr>
                <w:rFonts w:ascii="Sylfaen" w:hAnsi="Sylfaen"/>
                <w:lang w:val="ka-GE"/>
              </w:rPr>
              <w:t>დატოვ</w:t>
            </w:r>
            <w:r>
              <w:rPr>
                <w:rFonts w:ascii="Sylfaen" w:hAnsi="Sylfaen"/>
                <w:lang w:val="ka-GE"/>
              </w:rPr>
              <w:t xml:space="preserve">ეს </w:t>
            </w:r>
            <w:r w:rsidRPr="0003007B">
              <w:rPr>
                <w:rFonts w:ascii="Sylfaen" w:hAnsi="Sylfaen"/>
                <w:lang w:val="ka-GE"/>
              </w:rPr>
              <w:t xml:space="preserve">პარტია და </w:t>
            </w:r>
            <w:r>
              <w:rPr>
                <w:rFonts w:ascii="Sylfaen" w:hAnsi="Sylfaen"/>
                <w:lang w:val="ka-GE"/>
              </w:rPr>
              <w:t>გახდნენ</w:t>
            </w:r>
            <w:r w:rsidRPr="0003007B">
              <w:rPr>
                <w:rFonts w:ascii="Sylfaen" w:hAnsi="Sylfaen"/>
                <w:lang w:val="ka-GE"/>
              </w:rPr>
              <w:t xml:space="preserve"> სხვა პარტიის </w:t>
            </w:r>
            <w:r>
              <w:rPr>
                <w:rFonts w:ascii="Sylfaen" w:hAnsi="Sylfaen"/>
                <w:lang w:val="ka-GE"/>
              </w:rPr>
              <w:t>წევრები,</w:t>
            </w:r>
            <w:r w:rsidRPr="007A1601">
              <w:rPr>
                <w:rFonts w:ascii="Sylfaen" w:hAnsi="Sylfaen"/>
                <w:lang w:val="ka-GE"/>
              </w:rPr>
              <w:t xml:space="preserve"> </w:t>
            </w:r>
            <w:r w:rsidRPr="007A1601">
              <w:rPr>
                <w:rFonts w:ascii="Sylfaen" w:hAnsi="Sylfaen" w:cs="Sylfaen"/>
                <w:lang w:val="ka-GE"/>
              </w:rPr>
              <w:t xml:space="preserve">ამგვარი </w:t>
            </w:r>
            <w:r>
              <w:rPr>
                <w:rFonts w:ascii="Sylfaen" w:hAnsi="Sylfaen" w:cs="Sylfaen"/>
                <w:lang w:val="ka-GE"/>
              </w:rPr>
              <w:t>უფლებით</w:t>
            </w:r>
            <w:r w:rsidRPr="007A1601">
              <w:rPr>
                <w:rFonts w:ascii="Sylfaen" w:hAnsi="Sylfaen" w:cs="Sylfaen"/>
                <w:lang w:val="ka-GE"/>
              </w:rPr>
              <w:t xml:space="preserve"> სარგებლობა არ </w:t>
            </w:r>
            <w:r>
              <w:rPr>
                <w:rFonts w:ascii="Sylfaen" w:hAnsi="Sylfaen" w:cs="Sylfaen"/>
                <w:lang w:val="ka-GE"/>
              </w:rPr>
              <w:t>შეუძლია</w:t>
            </w:r>
            <w:r w:rsidRPr="007A1601">
              <w:rPr>
                <w:rFonts w:ascii="Sylfaen" w:hAnsi="Sylfaen" w:cs="Sylfaen"/>
                <w:lang w:val="ka-GE"/>
              </w:rPr>
              <w:t xml:space="preserve">, რადგან </w:t>
            </w:r>
            <w:r>
              <w:rPr>
                <w:rFonts w:ascii="Sylfaen" w:hAnsi="Sylfaen"/>
                <w:lang w:val="ka-GE"/>
              </w:rPr>
              <w:t>სადავო ნორმით აღნიშნული უფლება ახალ პარტიას გადაეცემა.</w:t>
            </w:r>
          </w:p>
          <w:p w14:paraId="43361A00" w14:textId="77777777" w:rsidR="00B27AB0" w:rsidRPr="007A1601" w:rsidRDefault="00B27AB0" w:rsidP="00877E9D">
            <w:pPr>
              <w:spacing w:before="100" w:beforeAutospacing="1" w:after="100" w:afterAutospacing="1" w:line="276" w:lineRule="auto"/>
              <w:jc w:val="both"/>
              <w:rPr>
                <w:rFonts w:ascii="Sylfaen" w:hAnsi="Sylfaen" w:cs="Sylfaen"/>
                <w:lang w:val="ka-GE"/>
              </w:rPr>
            </w:pPr>
            <w:r w:rsidRPr="007A1601">
              <w:rPr>
                <w:rFonts w:ascii="Sylfaen" w:hAnsi="Sylfaen" w:cs="Sylfaen"/>
                <w:lang w:val="ka-GE"/>
              </w:rPr>
              <w:t xml:space="preserve">ამდენად, შესადარებელ პირებს წარმოადგენენ ერთი მხრივ, </w:t>
            </w:r>
            <w:r>
              <w:rPr>
                <w:rFonts w:ascii="Sylfaen" w:hAnsi="Sylfaen"/>
                <w:lang w:val="ka-GE"/>
              </w:rPr>
              <w:t xml:space="preserve">პარტიები, რომლებმაც </w:t>
            </w:r>
            <w:r w:rsidRPr="002E454E">
              <w:rPr>
                <w:rFonts w:ascii="Sylfaen" w:hAnsi="Sylfaen" w:cs="Sylfaen"/>
                <w:lang w:val="ka-GE"/>
              </w:rPr>
              <w:t xml:space="preserve">პარლამენტის ბოლო არჩევნებში ამომრჩეველთა ნამდვილი ხმების 1 პროცენტზე მეტი </w:t>
            </w:r>
            <w:r>
              <w:rPr>
                <w:rFonts w:ascii="Sylfaen" w:hAnsi="Sylfaen" w:cs="Sylfaen"/>
                <w:lang w:val="ka-GE"/>
              </w:rPr>
              <w:t>მიიღეს და მათი წევრები არ გადასულან სხვა პარტიაში</w:t>
            </w:r>
            <w:r w:rsidRPr="007A1601">
              <w:rPr>
                <w:rFonts w:ascii="Sylfaen" w:hAnsi="Sylfaen" w:cs="Sylfaen"/>
                <w:lang w:val="ka-GE"/>
              </w:rPr>
              <w:t xml:space="preserve">, მეორე მხრივ კი, </w:t>
            </w:r>
            <w:r>
              <w:rPr>
                <w:rFonts w:ascii="Sylfaen" w:hAnsi="Sylfaen"/>
                <w:lang w:val="ka-GE"/>
              </w:rPr>
              <w:t xml:space="preserve">პარტიები, რომლებმაც </w:t>
            </w:r>
            <w:r w:rsidRPr="002E454E">
              <w:rPr>
                <w:rFonts w:ascii="Sylfaen" w:hAnsi="Sylfaen" w:cs="Sylfaen"/>
                <w:lang w:val="ka-GE"/>
              </w:rPr>
              <w:t>პარლამენტის ბოლო არჩევნებში</w:t>
            </w:r>
            <w:r>
              <w:rPr>
                <w:rFonts w:ascii="Sylfaen" w:hAnsi="Sylfaen" w:cs="Sylfaen"/>
                <w:lang w:val="ka-GE"/>
              </w:rPr>
              <w:t xml:space="preserve"> ასევე მიიღეს </w:t>
            </w:r>
            <w:r w:rsidRPr="002E454E">
              <w:rPr>
                <w:rFonts w:ascii="Sylfaen" w:hAnsi="Sylfaen" w:cs="Sylfaen"/>
                <w:lang w:val="ka-GE"/>
              </w:rPr>
              <w:t>ამომრჩეველთა ნამდვილი ხმების 1 პროცენტზე მეტი</w:t>
            </w:r>
            <w:r>
              <w:rPr>
                <w:rFonts w:ascii="Sylfaen" w:hAnsi="Sylfaen" w:cs="Sylfaen"/>
                <w:lang w:val="ka-GE"/>
              </w:rPr>
              <w:t>,</w:t>
            </w:r>
            <w:r w:rsidRPr="002E454E">
              <w:rPr>
                <w:rFonts w:ascii="Sylfaen" w:hAnsi="Sylfaen" w:cs="Sylfaen"/>
                <w:lang w:val="ka-GE"/>
              </w:rPr>
              <w:t xml:space="preserve"> </w:t>
            </w:r>
            <w:r>
              <w:rPr>
                <w:rFonts w:ascii="Sylfaen" w:hAnsi="Sylfaen" w:cs="Sylfaen"/>
                <w:lang w:val="ka-GE"/>
              </w:rPr>
              <w:t>თუმცა მათი წევრები გადავიდნენ სხვა პარტიაში.</w:t>
            </w:r>
          </w:p>
          <w:p w14:paraId="0D903F1B" w14:textId="77777777" w:rsidR="00B27AB0" w:rsidRDefault="00B27AB0" w:rsidP="00877E9D">
            <w:pPr>
              <w:spacing w:before="100" w:beforeAutospacing="1" w:after="100" w:afterAutospacing="1" w:line="276" w:lineRule="auto"/>
              <w:jc w:val="both"/>
              <w:rPr>
                <w:rFonts w:ascii="Sylfaen" w:hAnsi="Sylfaen" w:cs="Sylfaen"/>
                <w:lang w:val="ka-GE"/>
              </w:rPr>
            </w:pPr>
            <w:r w:rsidRPr="007A1601">
              <w:rPr>
                <w:rFonts w:ascii="Sylfaen" w:hAnsi="Sylfaen" w:cs="Sylfaen"/>
                <w:lang w:val="ka-GE"/>
              </w:rPr>
              <w:t xml:space="preserve">შესადარებელ პირთა შორის დიფერენცირება კი, იმაში გამოიხატება, რომ </w:t>
            </w:r>
            <w:r>
              <w:rPr>
                <w:rFonts w:ascii="Sylfaen" w:hAnsi="Sylfaen" w:cs="Sylfaen"/>
                <w:lang w:val="ka-GE"/>
              </w:rPr>
              <w:t>ცესკოში წევრის დანიშვნის</w:t>
            </w:r>
            <w:r w:rsidRPr="007A1601">
              <w:rPr>
                <w:rFonts w:ascii="Sylfaen" w:hAnsi="Sylfaen" w:cs="Sylfaen"/>
                <w:lang w:val="ka-GE"/>
              </w:rPr>
              <w:t xml:space="preserve"> უფლება ერთ შემთხვევაში, სრულად არის უზრუნველყოფილი, ხოლო </w:t>
            </w:r>
            <w:r>
              <w:rPr>
                <w:rFonts w:ascii="Sylfaen" w:hAnsi="Sylfaen" w:cs="Sylfaen"/>
                <w:lang w:val="ka-GE"/>
              </w:rPr>
              <w:t xml:space="preserve">მოსარჩელე/მის მდგომარეობაში მყოფი პირი </w:t>
            </w:r>
            <w:r w:rsidRPr="007A1601">
              <w:rPr>
                <w:rFonts w:ascii="Sylfaen" w:hAnsi="Sylfaen" w:cs="Sylfaen"/>
                <w:lang w:val="ka-GE"/>
              </w:rPr>
              <w:t>აღნიშნული უფლებით ვერ სარგებლობ</w:t>
            </w:r>
            <w:r>
              <w:rPr>
                <w:rFonts w:ascii="Sylfaen" w:hAnsi="Sylfaen" w:cs="Sylfaen"/>
                <w:lang w:val="ka-GE"/>
              </w:rPr>
              <w:t>ს</w:t>
            </w:r>
            <w:r w:rsidRPr="007A1601">
              <w:rPr>
                <w:rFonts w:ascii="Sylfaen" w:hAnsi="Sylfaen" w:cs="Sylfaen"/>
                <w:lang w:val="ka-GE"/>
              </w:rPr>
              <w:t>.</w:t>
            </w:r>
          </w:p>
          <w:p w14:paraId="71D19EC3" w14:textId="77777777" w:rsidR="00B27AB0" w:rsidRPr="00BE7BDA" w:rsidRDefault="00B27AB0" w:rsidP="00877E9D">
            <w:pPr>
              <w:spacing w:before="100" w:beforeAutospacing="1" w:after="100" w:afterAutospacing="1" w:line="276" w:lineRule="auto"/>
              <w:jc w:val="both"/>
              <w:rPr>
                <w:rFonts w:ascii="Sylfaen" w:hAnsi="Sylfaen" w:cs="Sylfaen"/>
                <w:b/>
                <w:lang w:val="ka-GE"/>
              </w:rPr>
            </w:pPr>
            <w:r w:rsidRPr="00BE7BDA">
              <w:rPr>
                <w:rFonts w:ascii="Sylfaen" w:hAnsi="Sylfaen" w:cs="Sylfaen"/>
                <w:b/>
                <w:lang w:val="ka-GE"/>
              </w:rPr>
              <w:t>შესადარებელ პირთა არსებითად თანასწორობა</w:t>
            </w:r>
          </w:p>
          <w:p w14:paraId="11C48246" w14:textId="77777777" w:rsidR="00B27AB0" w:rsidRPr="007A1601" w:rsidRDefault="00B27AB0" w:rsidP="00877E9D">
            <w:pPr>
              <w:spacing w:before="100" w:beforeAutospacing="1" w:after="100" w:afterAutospacing="1" w:line="276" w:lineRule="auto"/>
              <w:jc w:val="both"/>
              <w:rPr>
                <w:rFonts w:ascii="Sylfaen" w:hAnsi="Sylfaen"/>
                <w:lang w:val="ka-GE"/>
              </w:rPr>
            </w:pPr>
            <w:r w:rsidRPr="007A1601">
              <w:rPr>
                <w:rFonts w:ascii="Sylfaen" w:hAnsi="Sylfaen"/>
                <w:lang w:val="ka-GE"/>
              </w:rPr>
              <w:t xml:space="preserve">უნდა აღინიშნოს, რომ დიფერენცირებული მოპყრობის არსებობა არ არის საკმარისი კანონის წინაშე თანასწორობის კონსტიტუციური უფლების შეზღუდვის დასადგენად. ამისათვის აგრეთვე აუცილებელია, რომ განსხვავებული მოპყრობა ხორციელდებოდეს არსებითად თანასწორი პირების მიმართ. მოცემულ შემთხვევაში შესადარებელ პირებს ერთმანეთისაგან, განასხვავებთ </w:t>
            </w:r>
            <w:r>
              <w:rPr>
                <w:rFonts w:ascii="Sylfaen" w:hAnsi="Sylfaen"/>
                <w:lang w:val="ka-GE"/>
              </w:rPr>
              <w:t>პარტიაში საპარლამენტო მანდატის მქონე წევრების პერსონალური გადაწყვეტილება დატოვონ თუ არა პარტია, რომლითაც მონაწილეობას იღებდნენ არჩევნებში.</w:t>
            </w:r>
          </w:p>
          <w:p w14:paraId="3AC66C68" w14:textId="77777777" w:rsidR="00B27AB0" w:rsidRPr="007A1601" w:rsidRDefault="00B27AB0" w:rsidP="00877E9D">
            <w:pPr>
              <w:spacing w:before="100" w:beforeAutospacing="1" w:after="100" w:afterAutospacing="1" w:line="276" w:lineRule="auto"/>
              <w:jc w:val="both"/>
              <w:rPr>
                <w:rFonts w:ascii="Sylfaen" w:hAnsi="Sylfaen" w:cs="Sylfaen"/>
                <w:lang w:val="ka-GE"/>
              </w:rPr>
            </w:pPr>
            <w:r w:rsidRPr="007A1601">
              <w:rPr>
                <w:rFonts w:ascii="Sylfaen" w:hAnsi="Sylfaen" w:cs="Sylfaen"/>
                <w:lang w:val="ka-GE"/>
              </w:rPr>
              <w:t>საქართველოს საკონსტიტუციო სასამართლოს პრაქტიკის თანახმად,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w:t>
            </w:r>
            <w:r w:rsidRPr="007A1601">
              <w:rPr>
                <w:rStyle w:val="FootnoteReference"/>
                <w:rFonts w:ascii="Sylfaen" w:hAnsi="Sylfaen" w:cs="Sylfaen"/>
                <w:lang w:val="ka-GE"/>
              </w:rPr>
              <w:footnoteReference w:id="19"/>
            </w:r>
            <w:r w:rsidRPr="007A1601">
              <w:rPr>
                <w:rFonts w:ascii="Sylfaen" w:hAnsi="Sylfaen" w:cs="Sylfaen"/>
                <w:lang w:val="ka-GE"/>
              </w:rPr>
              <w:t xml:space="preserve"> </w:t>
            </w:r>
          </w:p>
          <w:p w14:paraId="6939955D" w14:textId="77777777" w:rsidR="00B27AB0" w:rsidRPr="007A1601" w:rsidRDefault="00B27AB0" w:rsidP="00877E9D">
            <w:pPr>
              <w:spacing w:before="100" w:beforeAutospacing="1" w:after="100" w:afterAutospacing="1" w:line="276" w:lineRule="auto"/>
              <w:jc w:val="both"/>
              <w:rPr>
                <w:rFonts w:ascii="Sylfaen" w:hAnsi="Sylfaen" w:cs="Sylfaen"/>
                <w:lang w:val="ka-GE"/>
              </w:rPr>
            </w:pPr>
            <w:r w:rsidRPr="007A1601">
              <w:rPr>
                <w:rFonts w:ascii="Sylfaen" w:hAnsi="Sylfaen" w:cs="Sylfaen"/>
                <w:lang w:val="ka-GE"/>
              </w:rPr>
              <w:t xml:space="preserve">იგივე პრინციპი გამომდინარეობს ადამიანის უფლებათა ევროპული სასამართლოს პრეცედენტული სამართლიდან. ევროპული სასამართლოს განმარტებით, იმისათვის, რომ საკითხი მოექცეს ადამიანის </w:t>
            </w:r>
            <w:r w:rsidRPr="007A1601">
              <w:rPr>
                <w:rFonts w:ascii="Sylfaen" w:hAnsi="Sylfaen" w:cs="Sylfaen"/>
                <w:lang w:val="ka-GE"/>
              </w:rPr>
              <w:lastRenderedPageBreak/>
              <w:t xml:space="preserve">უფლებათა კონვენციის მე-14 მუხლის (თანასწორობის უფლება) ქვეშ, აუცილებელია, რომ განსხვავებული მოპყრობა არსებობდეს ანალოგიურ ან მსგავს სიტუაციაში მყოფი პირების მიმართ. განსხვავებული მოპყრობა დისკრიმინაციულია თუ მას არა აქვს ობიექტური და გონივრული გამართლება, </w:t>
            </w:r>
            <w:proofErr w:type="spellStart"/>
            <w:r w:rsidRPr="007A1601">
              <w:rPr>
                <w:rFonts w:ascii="Sylfaen" w:hAnsi="Sylfaen" w:cs="Sylfaen"/>
                <w:lang w:val="ka-GE"/>
              </w:rPr>
              <w:t>ე.ი</w:t>
            </w:r>
            <w:proofErr w:type="spellEnd"/>
            <w:r w:rsidRPr="007A1601">
              <w:rPr>
                <w:rFonts w:ascii="Sylfaen" w:hAnsi="Sylfaen" w:cs="Sylfaen"/>
                <w:lang w:val="ka-GE"/>
              </w:rPr>
              <w:t>. არ ისახავს კანონიერ მიზანს და არ არსებობს პროპორციულობის გონივრული კავშირი გამოყენებულ საშუალებებსა და დასახულ მიზანს შორის.</w:t>
            </w:r>
            <w:r w:rsidRPr="007A1601">
              <w:rPr>
                <w:rStyle w:val="FootnoteReference"/>
                <w:rFonts w:ascii="Sylfaen" w:hAnsi="Sylfaen" w:cs="Sylfaen"/>
                <w:lang w:val="ka-GE"/>
              </w:rPr>
              <w:footnoteReference w:id="20"/>
            </w:r>
          </w:p>
          <w:p w14:paraId="61240AD7" w14:textId="77777777" w:rsidR="00B27AB0" w:rsidRPr="007A1601" w:rsidRDefault="00B27AB0" w:rsidP="00877E9D">
            <w:pPr>
              <w:spacing w:before="100" w:beforeAutospacing="1" w:after="100" w:afterAutospacing="1" w:line="276" w:lineRule="auto"/>
              <w:jc w:val="both"/>
              <w:rPr>
                <w:rFonts w:ascii="Sylfaen" w:hAnsi="Sylfaen" w:cs="Sylfaen"/>
                <w:lang w:val="ka-GE"/>
              </w:rPr>
            </w:pPr>
            <w:r w:rsidRPr="007A1601">
              <w:rPr>
                <w:rFonts w:ascii="Sylfaen" w:hAnsi="Sylfaen" w:cs="Sylfaen"/>
                <w:lang w:val="ka-GE"/>
              </w:rPr>
              <w:t xml:space="preserve">განსახილველ შემთხვევაში, შესადარებელ ჯგუფებს მიეკუთვნებიან </w:t>
            </w:r>
            <w:r>
              <w:rPr>
                <w:rFonts w:ascii="Sylfaen" w:hAnsi="Sylfaen" w:cs="Sylfaen"/>
                <w:lang w:val="ka-GE"/>
              </w:rPr>
              <w:t>პოლიტიკური პარტიები</w:t>
            </w:r>
            <w:r w:rsidRPr="007A1601">
              <w:rPr>
                <w:rFonts w:ascii="Sylfaen" w:hAnsi="Sylfaen" w:cs="Sylfaen"/>
                <w:lang w:val="ka-GE"/>
              </w:rPr>
              <w:t xml:space="preserve">, </w:t>
            </w:r>
            <w:r>
              <w:rPr>
                <w:rFonts w:ascii="Sylfaen" w:hAnsi="Sylfaen" w:cs="Sylfaen"/>
                <w:lang w:val="ka-GE"/>
              </w:rPr>
              <w:t>რომლებმაც არჩევნებში მოიპოვეს ამომრჩევლის საკმარისი ლეგიტიმაცია, რის საფუძველზეც მათ წარმოეშვათ ცესკოში წევრის დანიშვნის უფლება</w:t>
            </w:r>
            <w:r w:rsidRPr="007A1601">
              <w:rPr>
                <w:rFonts w:ascii="Sylfaen" w:hAnsi="Sylfaen" w:cs="Sylfaen"/>
                <w:lang w:val="ka-GE"/>
              </w:rPr>
              <w:t xml:space="preserve">. </w:t>
            </w:r>
            <w:r w:rsidRPr="007A1601">
              <w:rPr>
                <w:rFonts w:ascii="Sylfaen" w:hAnsi="Sylfaen"/>
                <w:lang w:val="ka-GE"/>
              </w:rPr>
              <w:t>როგორც უკვე აღინიშნა, სარჩელის მიზნებისთვის,</w:t>
            </w:r>
            <w:r w:rsidRPr="007A1601">
              <w:rPr>
                <w:rFonts w:ascii="Sylfaen" w:hAnsi="Sylfaen" w:cs="Sylfaen"/>
                <w:lang w:val="ka-GE"/>
              </w:rPr>
              <w:t xml:space="preserve"> შესადარებელ პირებს შორის განმასხვავებელ ნიშანს წარმოადგენს </w:t>
            </w:r>
            <w:r w:rsidRPr="00465915">
              <w:rPr>
                <w:rFonts w:ascii="Sylfaen" w:hAnsi="Sylfaen" w:cs="Sylfaen"/>
                <w:lang w:val="ka-GE"/>
              </w:rPr>
              <w:t>2021 წლის 19 აპრილი</w:t>
            </w:r>
            <w:r>
              <w:rPr>
                <w:rFonts w:ascii="Sylfaen" w:hAnsi="Sylfaen" w:cs="Sylfaen"/>
                <w:lang w:val="ka-GE"/>
              </w:rPr>
              <w:t>ს მდგომარეობით, მათი</w:t>
            </w:r>
            <w:r w:rsidRPr="00465915">
              <w:rPr>
                <w:rFonts w:ascii="Sylfaen" w:hAnsi="Sylfaen" w:cs="Sylfaen"/>
                <w:lang w:val="ka-GE"/>
              </w:rPr>
              <w:t xml:space="preserve"> სიით არჩეულ</w:t>
            </w:r>
            <w:r>
              <w:rPr>
                <w:rFonts w:ascii="Sylfaen" w:hAnsi="Sylfaen" w:cs="Sylfaen"/>
                <w:lang w:val="ka-GE"/>
              </w:rPr>
              <w:t>ი პარლამენტის წევრების პოლიტიკური პარტიისადმი კუთვნილება.</w:t>
            </w:r>
          </w:p>
          <w:p w14:paraId="3EC0D630" w14:textId="77777777" w:rsidR="00B27AB0" w:rsidRPr="001B3CD7" w:rsidRDefault="00B27AB0" w:rsidP="00877E9D">
            <w:pPr>
              <w:spacing w:before="100" w:beforeAutospacing="1" w:after="100" w:afterAutospacing="1" w:line="276" w:lineRule="auto"/>
              <w:jc w:val="both"/>
              <w:rPr>
                <w:rFonts w:ascii="Sylfaen" w:hAnsi="Sylfaen"/>
                <w:b/>
                <w:lang w:val="ka-GE"/>
              </w:rPr>
            </w:pPr>
            <w:r w:rsidRPr="007A1601">
              <w:rPr>
                <w:rFonts w:ascii="Sylfaen" w:hAnsi="Sylfaen"/>
                <w:lang w:val="ka-GE"/>
              </w:rPr>
              <w:t xml:space="preserve">რა თქმა უნდა, </w:t>
            </w:r>
            <w:r>
              <w:rPr>
                <w:rFonts w:ascii="Sylfaen" w:hAnsi="Sylfaen"/>
                <w:lang w:val="ka-GE"/>
              </w:rPr>
              <w:t>აღნიშნულ პარტიებს შორის არსებობს სხვაობა</w:t>
            </w:r>
            <w:r w:rsidRPr="007A1601">
              <w:rPr>
                <w:rFonts w:ascii="Sylfaen" w:hAnsi="Sylfaen"/>
                <w:lang w:val="ka-GE"/>
              </w:rPr>
              <w:t>,</w:t>
            </w:r>
            <w:r>
              <w:rPr>
                <w:rFonts w:ascii="Sylfaen" w:hAnsi="Sylfaen"/>
                <w:lang w:val="ka-GE"/>
              </w:rPr>
              <w:t xml:space="preserve"> კერძოდ პირველ შემთხვევაში პარტიის წარმომდგენლები, რომლებსაც მიენიჭათ საპარლამენტო მანდატი კვლავაც განაგრძობენ პარტიის სახელით პოლიტიკურ საქმიანობას და არ ტოვებენ პარტიას, ხოლო მოსარჩელის შემთხვევაში მისი </w:t>
            </w:r>
            <w:r w:rsidRPr="00874682">
              <w:rPr>
                <w:rFonts w:ascii="Sylfaen" w:hAnsi="Sylfaen"/>
                <w:lang w:val="ka-GE"/>
              </w:rPr>
              <w:t>სიით არჩეულ</w:t>
            </w:r>
            <w:r>
              <w:rPr>
                <w:rFonts w:ascii="Sylfaen" w:hAnsi="Sylfaen"/>
                <w:lang w:val="ka-GE"/>
              </w:rPr>
              <w:t>ი</w:t>
            </w:r>
            <w:r w:rsidRPr="00874682">
              <w:rPr>
                <w:rFonts w:ascii="Sylfaen" w:hAnsi="Sylfaen"/>
                <w:lang w:val="ka-GE"/>
              </w:rPr>
              <w:t xml:space="preserve"> საქართველოს პარლამენტის </w:t>
            </w:r>
            <w:r>
              <w:rPr>
                <w:rFonts w:ascii="Sylfaen" w:hAnsi="Sylfaen"/>
                <w:lang w:val="ka-GE"/>
              </w:rPr>
              <w:t>წევრები სხვა პარტიის სახელით განაგრძობენ საქმიანობას და მას მანდატი აღარ აქვს პარლამენტში,</w:t>
            </w:r>
            <w:r w:rsidRPr="007A1601">
              <w:rPr>
                <w:rFonts w:ascii="Sylfaen" w:hAnsi="Sylfaen"/>
                <w:lang w:val="ka-GE"/>
              </w:rPr>
              <w:t xml:space="preserve"> თუმცა განსახილველ შემთხვევაში </w:t>
            </w:r>
            <w:r w:rsidRPr="001B3CD7">
              <w:rPr>
                <w:rFonts w:ascii="Sylfaen" w:hAnsi="Sylfaen"/>
                <w:b/>
                <w:lang w:val="ka-GE"/>
              </w:rPr>
              <w:t xml:space="preserve">მნიშვნელოვანია, რომ ეს ორი შემთხვევა განვიხილოთ არა </w:t>
            </w:r>
            <w:proofErr w:type="spellStart"/>
            <w:r w:rsidRPr="001B3CD7">
              <w:rPr>
                <w:rFonts w:ascii="Sylfaen" w:hAnsi="Sylfaen"/>
                <w:b/>
                <w:lang w:val="ka-GE"/>
              </w:rPr>
              <w:t>სადეპუტატო</w:t>
            </w:r>
            <w:proofErr w:type="spellEnd"/>
            <w:r w:rsidRPr="001B3CD7">
              <w:rPr>
                <w:rFonts w:ascii="Sylfaen" w:hAnsi="Sylfaen"/>
                <w:b/>
                <w:lang w:val="ka-GE"/>
              </w:rPr>
              <w:t xml:space="preserve"> საქმიანობის შეზღუდვის და პარტიის საკანონმდებლო ორგანოში წარმომადგენლობის შესაძლებლობების მიზნებისთვის, არამედ, შესაბამისი ლეგიტიმაციის მქონე პარტიის მიერ ცესკოში წევრის დანიშვნის უფლების რე</w:t>
            </w:r>
            <w:r>
              <w:rPr>
                <w:rFonts w:ascii="Sylfaen" w:hAnsi="Sylfaen"/>
                <w:b/>
                <w:lang w:val="ka-GE"/>
              </w:rPr>
              <w:t>ა</w:t>
            </w:r>
            <w:r w:rsidRPr="001B3CD7">
              <w:rPr>
                <w:rFonts w:ascii="Sylfaen" w:hAnsi="Sylfaen"/>
                <w:b/>
                <w:lang w:val="ka-GE"/>
              </w:rPr>
              <w:t>ლიზების საჭიროების მიზნებისთვის.</w:t>
            </w:r>
          </w:p>
          <w:p w14:paraId="06E5C17D" w14:textId="77777777" w:rsidR="00B27AB0" w:rsidRDefault="00B27AB0" w:rsidP="00877E9D">
            <w:pPr>
              <w:spacing w:before="100" w:beforeAutospacing="1" w:after="100" w:afterAutospacing="1" w:line="276" w:lineRule="auto"/>
              <w:jc w:val="both"/>
              <w:rPr>
                <w:rFonts w:ascii="Sylfaen" w:hAnsi="Sylfaen" w:cs="Sylfaen"/>
                <w:lang w:val="ka-GE"/>
              </w:rPr>
            </w:pPr>
            <w:r w:rsidRPr="007A1601">
              <w:rPr>
                <w:rFonts w:ascii="Sylfaen" w:hAnsi="Sylfaen" w:cs="Sylfaen"/>
                <w:lang w:val="ka-GE"/>
              </w:rPr>
              <w:t xml:space="preserve">ამრიგად, ზემოაღნიშნულიდან გამომდინარე, მიგვაჩნია, რომ </w:t>
            </w:r>
            <w:r>
              <w:rPr>
                <w:rFonts w:ascii="Sylfaen" w:hAnsi="Sylfaen" w:cs="Sylfaen"/>
                <w:lang w:val="ka-GE"/>
              </w:rPr>
              <w:t>ცესკოში წევრის დანიშვნის</w:t>
            </w:r>
            <w:r w:rsidRPr="007A1601">
              <w:rPr>
                <w:rFonts w:ascii="Sylfaen" w:hAnsi="Sylfaen" w:cs="Sylfaen"/>
                <w:lang w:val="ka-GE"/>
              </w:rPr>
              <w:t xml:space="preserve"> მიზნისთვის, შე</w:t>
            </w:r>
            <w:r>
              <w:rPr>
                <w:rFonts w:ascii="Sylfaen" w:hAnsi="Sylfaen" w:cs="Sylfaen"/>
                <w:lang w:val="ka-GE"/>
              </w:rPr>
              <w:t>სადარებელი პოლიტიკური პარტიები</w:t>
            </w:r>
            <w:r w:rsidRPr="007A1601">
              <w:rPr>
                <w:rFonts w:ascii="Sylfaen" w:hAnsi="Sylfaen" w:cs="Sylfaen"/>
                <w:lang w:val="ka-GE"/>
              </w:rPr>
              <w:t xml:space="preserve"> ერთმანეთთან უნდა გავათანაბროთ არა </w:t>
            </w:r>
            <w:r w:rsidRPr="00B14A42">
              <w:rPr>
                <w:rFonts w:ascii="Sylfaen" w:hAnsi="Sylfaen" w:cs="Sylfaen"/>
                <w:lang w:val="ka-GE"/>
              </w:rPr>
              <w:t>2021 წლის 19 აპრილის მდგომარეობით</w:t>
            </w:r>
            <w:r>
              <w:rPr>
                <w:rFonts w:ascii="Sylfaen" w:hAnsi="Sylfaen" w:cs="Sylfaen"/>
                <w:lang w:val="ka-GE"/>
              </w:rPr>
              <w:t xml:space="preserve"> საქართველოს პარლამენტში </w:t>
            </w:r>
            <w:r w:rsidRPr="00FC2254">
              <w:rPr>
                <w:rFonts w:ascii="Sylfaen" w:hAnsi="Sylfaen" w:cs="Sylfaen"/>
                <w:lang w:val="ka-GE"/>
              </w:rPr>
              <w:t xml:space="preserve">პარტიის სიით </w:t>
            </w:r>
            <w:r>
              <w:rPr>
                <w:rFonts w:ascii="Sylfaen" w:hAnsi="Sylfaen" w:cs="Sylfaen"/>
                <w:lang w:val="ka-GE"/>
              </w:rPr>
              <w:t>არჩეული ყველა წევრის პარტიული კუთვნილების</w:t>
            </w:r>
            <w:r w:rsidRPr="007A1601">
              <w:rPr>
                <w:rFonts w:ascii="Sylfaen" w:hAnsi="Sylfaen" w:cs="Sylfaen"/>
                <w:lang w:val="ka-GE"/>
              </w:rPr>
              <w:t xml:space="preserve">, არამედ, </w:t>
            </w:r>
            <w:r w:rsidRPr="00C038E3">
              <w:rPr>
                <w:rFonts w:ascii="Sylfaen" w:hAnsi="Sylfaen" w:cs="Sylfaen"/>
                <w:lang w:val="ka-GE"/>
              </w:rPr>
              <w:t>საქართველოს პარლამენტის ბოლო არჩევნებში</w:t>
            </w:r>
            <w:r>
              <w:rPr>
                <w:rFonts w:ascii="Sylfaen" w:hAnsi="Sylfaen" w:cs="Sylfaen"/>
                <w:lang w:val="ka-GE"/>
              </w:rPr>
              <w:t xml:space="preserve"> ამომრჩევლის მიერ მინიჭებული ლეგიტიმაციის</w:t>
            </w:r>
            <w:r w:rsidRPr="007A1601">
              <w:rPr>
                <w:rFonts w:ascii="Sylfaen" w:hAnsi="Sylfaen" w:cs="Sylfaen"/>
                <w:lang w:val="ka-GE"/>
              </w:rPr>
              <w:t xml:space="preserve"> მიხედვით.</w:t>
            </w:r>
          </w:p>
          <w:p w14:paraId="373C87EA" w14:textId="77777777" w:rsidR="00B27AB0" w:rsidRPr="000C73CA" w:rsidRDefault="00B27AB0" w:rsidP="00877E9D">
            <w:pPr>
              <w:spacing w:before="100" w:beforeAutospacing="1" w:after="100" w:afterAutospacing="1" w:line="276" w:lineRule="auto"/>
              <w:jc w:val="both"/>
              <w:rPr>
                <w:rFonts w:ascii="Sylfaen" w:hAnsi="Sylfaen" w:cs="Sylfaen"/>
                <w:b/>
                <w:lang w:val="ka-GE"/>
              </w:rPr>
            </w:pPr>
            <w:r w:rsidRPr="000C73CA">
              <w:rPr>
                <w:rFonts w:ascii="Sylfaen" w:hAnsi="Sylfaen" w:cs="Sylfaen"/>
                <w:b/>
                <w:lang w:val="ka-GE"/>
              </w:rPr>
              <w:t>შეზღუდვის კონსტიტუციურობა</w:t>
            </w:r>
          </w:p>
          <w:p w14:paraId="2836FBFE" w14:textId="77777777" w:rsidR="00B27AB0" w:rsidRPr="007A1601" w:rsidRDefault="00B27AB0" w:rsidP="00877E9D">
            <w:pPr>
              <w:spacing w:before="100" w:beforeAutospacing="1" w:after="100" w:afterAutospacing="1" w:line="276" w:lineRule="auto"/>
              <w:jc w:val="both"/>
              <w:rPr>
                <w:rFonts w:ascii="Sylfaen" w:hAnsi="Sylfaen" w:cs="Sylfaen"/>
                <w:lang w:val="ka-GE"/>
              </w:rPr>
            </w:pPr>
            <w:r w:rsidRPr="007A1601">
              <w:rPr>
                <w:rFonts w:ascii="Sylfaen" w:hAnsi="Sylfaen" w:cs="Sylfaen"/>
                <w:lang w:val="ka-GE"/>
              </w:rPr>
              <w:t>საქართველოს კონსტიტუციის მე-11 მუხლის პირველი პუნქტით გარანტირებული სამართლის წინაშე თანასწორობის უფლება არ არის აბსოლუტური და შესაძლებელია, დემოკრატიულ სახელმწიფოში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7A1601">
              <w:rPr>
                <w:rStyle w:val="FootnoteReference"/>
                <w:rFonts w:ascii="Sylfaen" w:hAnsi="Sylfaen" w:cs="Sylfaen"/>
                <w:lang w:val="ka-GE"/>
              </w:rPr>
              <w:footnoteReference w:id="21"/>
            </w:r>
            <w:r w:rsidRPr="007A1601">
              <w:rPr>
                <w:rFonts w:ascii="Sylfaen" w:hAnsi="Sylfaen" w:cs="Sylfaen"/>
                <w:lang w:val="ka-GE"/>
              </w:rPr>
              <w:t xml:space="preserve"> </w:t>
            </w:r>
          </w:p>
          <w:p w14:paraId="606E0CE6" w14:textId="77777777" w:rsidR="00B27AB0" w:rsidRPr="007A1601" w:rsidRDefault="00B27AB0" w:rsidP="00877E9D">
            <w:pPr>
              <w:spacing w:before="100" w:beforeAutospacing="1" w:after="100" w:afterAutospacing="1" w:line="276" w:lineRule="auto"/>
              <w:jc w:val="both"/>
              <w:rPr>
                <w:rFonts w:ascii="Sylfaen" w:hAnsi="Sylfaen" w:cs="Sylfaen"/>
                <w:lang w:val="ka-GE"/>
              </w:rPr>
            </w:pPr>
            <w:r w:rsidRPr="007A1601">
              <w:rPr>
                <w:rFonts w:ascii="Sylfaen" w:hAnsi="Sylfaen" w:cs="Sylfaen"/>
                <w:lang w:val="ka-GE"/>
              </w:rPr>
              <w:lastRenderedPageBreak/>
              <w:t xml:space="preserve">საკონსტიტუციო სასამართლოს განმარტებით, დიფერენცირების არსებობის ყველა ინდივიდუალურ შემთხვევაში მისი </w:t>
            </w:r>
            <w:proofErr w:type="spellStart"/>
            <w:r w:rsidRPr="007A1601">
              <w:rPr>
                <w:rFonts w:ascii="Sylfaen" w:hAnsi="Sylfaen" w:cs="Sylfaen"/>
                <w:lang w:val="ka-GE"/>
              </w:rPr>
              <w:t>დისკრიმინაციულობის</w:t>
            </w:r>
            <w:proofErr w:type="spellEnd"/>
            <w:r w:rsidRPr="007A1601">
              <w:rPr>
                <w:rFonts w:ascii="Sylfaen" w:hAnsi="Sylfaen" w:cs="Sylfaen"/>
                <w:lang w:val="ka-GE"/>
              </w:rPr>
              <w:t xml:space="preserve"> მასშტაბი იდენტური არ არის და დამოკიდებულია უთანასწორო მოპყრობის თავისებურებებზე.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w:t>
            </w:r>
            <w:proofErr w:type="spellStart"/>
            <w:r w:rsidRPr="007A1601">
              <w:rPr>
                <w:rFonts w:ascii="Sylfaen" w:hAnsi="Sylfaen" w:cs="Sylfaen"/>
                <w:lang w:val="ka-GE"/>
              </w:rPr>
              <w:t>რეალისტურობა</w:t>
            </w:r>
            <w:proofErr w:type="spellEnd"/>
            <w:r w:rsidRPr="007A1601">
              <w:rPr>
                <w:rFonts w:ascii="Sylfaen" w:hAnsi="Sylfaen" w:cs="Sylfaen"/>
                <w:lang w:val="ka-GE"/>
              </w:rPr>
              <w:t>.“</w:t>
            </w:r>
            <w:r w:rsidRPr="007A1601">
              <w:rPr>
                <w:rStyle w:val="FootnoteReference"/>
                <w:rFonts w:ascii="Sylfaen" w:hAnsi="Sylfaen" w:cs="Sylfaen"/>
                <w:lang w:val="ka-GE"/>
              </w:rPr>
              <w:footnoteReference w:id="22"/>
            </w:r>
            <w:r w:rsidRPr="007A1601">
              <w:rPr>
                <w:rFonts w:ascii="Sylfaen" w:hAnsi="Sylfaen" w:cs="Sylfaen"/>
                <w:lang w:val="ka-GE"/>
              </w:rPr>
              <w:t xml:space="preserve"> </w:t>
            </w:r>
          </w:p>
          <w:p w14:paraId="78F1B449" w14:textId="77777777" w:rsidR="00B27AB0" w:rsidRPr="007A1601" w:rsidRDefault="00B27AB0" w:rsidP="00877E9D">
            <w:pPr>
              <w:spacing w:before="100" w:beforeAutospacing="1" w:after="100" w:afterAutospacing="1" w:line="276" w:lineRule="auto"/>
              <w:jc w:val="both"/>
              <w:rPr>
                <w:rFonts w:ascii="Sylfaen" w:hAnsi="Sylfaen" w:cs="Sylfaen"/>
                <w:lang w:val="ka-GE"/>
              </w:rPr>
            </w:pPr>
            <w:r w:rsidRPr="007A1601">
              <w:rPr>
                <w:rFonts w:ascii="Sylfaen" w:hAnsi="Sylfaen" w:cs="Sylfaen"/>
                <w:lang w:val="ka-GE"/>
              </w:rPr>
              <w:t xml:space="preserve">დამკვიდრებული სასამართლო პრაქტიკის თანახმად, თანასწორობის უფლებასთან სადავო ნორმების შეფასებისას, ჩარევის ინტენსივობისა და დიფერენცირების ნიშნის გათვალისწინებით, სასამართლო იყენებს რაციონალური დიფერენცირების ან შეფასების მკაცრ ტესტს. </w:t>
            </w:r>
          </w:p>
          <w:p w14:paraId="6B9E4177" w14:textId="77777777" w:rsidR="00B27AB0" w:rsidRDefault="00B27AB0" w:rsidP="00877E9D">
            <w:pPr>
              <w:spacing w:before="100" w:beforeAutospacing="1" w:after="100" w:afterAutospacing="1" w:line="276" w:lineRule="auto"/>
              <w:jc w:val="both"/>
              <w:rPr>
                <w:rFonts w:ascii="Sylfaen" w:hAnsi="Sylfaen" w:cs="Sylfaen"/>
                <w:b/>
                <w:i/>
                <w:lang w:val="ka-GE"/>
              </w:rPr>
            </w:pPr>
            <w:r w:rsidRPr="007A1601">
              <w:rPr>
                <w:rFonts w:ascii="Sylfaen" w:hAnsi="Sylfaen" w:cs="Sylfaen"/>
                <w:lang w:val="ka-GE"/>
              </w:rPr>
              <w:t>საკონსტიტუციო სასამართლოს პრაქტიკის მიხედვით, დიფერენცირების ინტენსივობის განსაზღვრისას გადამწყვეტი მნიშვნელობა ენიჭება იმას, თუ „არსებითად თანასწორი პირები რამდენად მნიშვნელოვნად განსხვავებულ პირობებში იმყოფებიან, დიფერენცირება რამდენად მკვეთრად დააცილებს ამ უკანასკნელთ კონკრეტულ საზოგადოებრივ ურთიერთობებში მონაწილეობის თანაბარი შესაძლებლობებიდან.“</w:t>
            </w:r>
            <w:r w:rsidRPr="007A1601">
              <w:rPr>
                <w:rStyle w:val="FootnoteReference"/>
                <w:rFonts w:ascii="Sylfaen" w:hAnsi="Sylfaen" w:cs="Sylfaen"/>
                <w:lang w:val="ka-GE"/>
              </w:rPr>
              <w:footnoteReference w:id="23"/>
            </w:r>
            <w:r w:rsidRPr="007A1601">
              <w:rPr>
                <w:rFonts w:ascii="Sylfaen" w:hAnsi="Sylfaen" w:cs="Sylfaen"/>
                <w:lang w:val="ka-GE"/>
              </w:rPr>
              <w:t xml:space="preserve"> განსახილველ შემთხვევაში, სადავო ნორმ</w:t>
            </w:r>
            <w:r>
              <w:rPr>
                <w:rFonts w:ascii="Sylfaen" w:hAnsi="Sylfaen" w:cs="Sylfaen"/>
                <w:lang w:val="ka-GE"/>
              </w:rPr>
              <w:t>ა ყოველგვარი დასაბუთების გარეშე, კონკრეტულ დროის პერიოდზე მითითებით (</w:t>
            </w:r>
            <w:r w:rsidRPr="00161C18">
              <w:rPr>
                <w:rFonts w:ascii="Sylfaen" w:hAnsi="Sylfaen" w:cs="Sylfaen"/>
                <w:lang w:val="ka-GE"/>
              </w:rPr>
              <w:t>2021 წლის 19 აპრილი</w:t>
            </w:r>
            <w:r>
              <w:rPr>
                <w:rFonts w:ascii="Sylfaen" w:hAnsi="Sylfaen" w:cs="Sylfaen"/>
                <w:lang w:val="ka-GE"/>
              </w:rPr>
              <w:t>)</w:t>
            </w:r>
            <w:r w:rsidRPr="007A1601">
              <w:rPr>
                <w:rFonts w:ascii="Sylfaen" w:hAnsi="Sylfaen" w:cs="Sylfaen"/>
                <w:lang w:val="ka-GE"/>
              </w:rPr>
              <w:t xml:space="preserve"> უფლებაში მაღალი ინტენსივობით </w:t>
            </w:r>
            <w:r>
              <w:rPr>
                <w:rFonts w:ascii="Sylfaen" w:hAnsi="Sylfaen" w:cs="Sylfaen"/>
                <w:lang w:val="ka-GE"/>
              </w:rPr>
              <w:t>ერევა</w:t>
            </w:r>
            <w:r w:rsidRPr="007A1601">
              <w:rPr>
                <w:rFonts w:ascii="Sylfaen" w:hAnsi="Sylfaen" w:cs="Sylfaen"/>
                <w:lang w:val="ka-GE"/>
              </w:rPr>
              <w:t xml:space="preserve">, ვინაიდან, </w:t>
            </w:r>
            <w:r>
              <w:rPr>
                <w:rFonts w:ascii="Sylfaen" w:hAnsi="Sylfaen" w:cs="Sylfaen"/>
                <w:lang w:val="ka-GE"/>
              </w:rPr>
              <w:t xml:space="preserve">პარტიას, რომლმაც მიიღო ამომრჩევლის ლეგიტიმაცია უკრძალავს ცესკოში წევრის დანიშვნის უფლებას და ამ უფლებას გადასცემს პარტიას რომლისთვისაც ამომრჩეველს არ მიუცია ლეგიტიმაცია. აქვე მხედველობაშია მისაღები საქართველოს კონსტიტუციის მე-3 მუხლის მე-4 პუნქტი, რომლის თანახმად, პოლიტიკური პარტიების საქმიანობა, მათ შორის, ეფუძნება მათ თანასწორობას, რისი დარღვევაც პირდაპირ ეწინააღმდეგება კონსტიტუციის მე-3 მუხლით განსაზღვრულ დემოკრატიის კონსტიტუციურ პრინციპს. </w:t>
            </w:r>
            <w:r w:rsidRPr="00225F28">
              <w:rPr>
                <w:rFonts w:ascii="Sylfaen" w:hAnsi="Sylfaen" w:cs="Sylfaen"/>
                <w:b/>
                <w:i/>
                <w:lang w:val="ka-GE"/>
              </w:rPr>
              <w:t>ამდენად, სადავო ნორმების კონსტიტუციურობის საკითხი უნდა გადაწყდეს შეფასების მკაცრი ტესტის გამოყენებით.</w:t>
            </w:r>
          </w:p>
          <w:p w14:paraId="31425044" w14:textId="77777777" w:rsidR="00B27AB0" w:rsidRPr="007A1601" w:rsidRDefault="00B27AB0" w:rsidP="00877E9D">
            <w:pPr>
              <w:spacing w:before="100" w:beforeAutospacing="1" w:after="100" w:afterAutospacing="1" w:line="276" w:lineRule="auto"/>
              <w:jc w:val="both"/>
              <w:rPr>
                <w:rFonts w:ascii="Sylfaen" w:hAnsi="Sylfaen" w:cs="Sylfaen"/>
                <w:lang w:val="ka-GE"/>
              </w:rPr>
            </w:pPr>
            <w:r w:rsidRPr="007A1601">
              <w:rPr>
                <w:rFonts w:ascii="Sylfaen" w:hAnsi="Sylfaen" w:cs="Sylfaen"/>
                <w:lang w:val="ka-GE"/>
              </w:rPr>
              <w:t>ნორმის კონსტიტუციურობის შეფასებისათვის აუცილებელია, პირველ რიგში, დადგინდეს, სადავო რეგულაცია ემსახურება თუ არა ლეგიტიმური მიზნის მიღწევას. „მკაცრი ტესტის“ ფარგლებში დიფერენცირების შეფასებისას აუცილებელია დადგინდეს, რამდენად არის სახელმწიფოს მიერ უთანასწორო მოპყრობა აუცილებელი და არსებობს თუ არა დაუძლეველი სახელმწიფო ინტერესი.“</w:t>
            </w:r>
            <w:r w:rsidRPr="007A1601">
              <w:rPr>
                <w:rStyle w:val="FootnoteReference"/>
                <w:rFonts w:ascii="Sylfaen" w:hAnsi="Sylfaen" w:cs="Sylfaen"/>
                <w:lang w:val="ka-GE"/>
              </w:rPr>
              <w:footnoteReference w:id="24"/>
            </w:r>
            <w:r w:rsidRPr="007A1601">
              <w:rPr>
                <w:rFonts w:ascii="Sylfaen" w:hAnsi="Sylfaen" w:cs="Sylfaen"/>
                <w:lang w:val="ka-GE"/>
              </w:rPr>
              <w:t xml:space="preserve"> „(...) ასევე მნიშვნელოვანია, რომ შეზღუდვით დაცული სიკეთე უფლებაში ჩარევის შედეგად ხელყოფილ ინტერესზე აღმატებული იყოს.“</w:t>
            </w:r>
            <w:r w:rsidRPr="007A1601">
              <w:rPr>
                <w:rStyle w:val="FootnoteReference"/>
                <w:rFonts w:ascii="Sylfaen" w:hAnsi="Sylfaen" w:cs="Sylfaen"/>
                <w:lang w:val="ka-GE"/>
              </w:rPr>
              <w:footnoteReference w:id="25"/>
            </w:r>
          </w:p>
          <w:p w14:paraId="580E190B" w14:textId="77777777" w:rsidR="00B27AB0" w:rsidRDefault="00B27AB0" w:rsidP="00877E9D">
            <w:pPr>
              <w:spacing w:before="100" w:beforeAutospacing="1" w:after="100" w:afterAutospacing="1" w:line="276" w:lineRule="auto"/>
              <w:jc w:val="both"/>
              <w:rPr>
                <w:rFonts w:ascii="Sylfaen" w:hAnsi="Sylfaen" w:cs="Sylfaen"/>
                <w:lang w:val="ka-GE"/>
              </w:rPr>
            </w:pPr>
            <w:r>
              <w:rPr>
                <w:rFonts w:ascii="Sylfaen" w:hAnsi="Sylfaen" w:cs="Sylfaen"/>
                <w:lang w:val="ka-GE"/>
              </w:rPr>
              <w:t xml:space="preserve">როგორც უკვე აღვნიშნეთ, კანონპროექტის საპარლამენტო განხილვისას, მიუხედავად აღნიშნულ ნორმასთან დაკავშირებით დასმული კითხვებისა, კანონპროექტის ავტორის მიერ არ იქნა დასახელებული სადავო ნორმით დადგენილი წესის ლეგიტიმური მიზანი. </w:t>
            </w:r>
          </w:p>
          <w:p w14:paraId="2FE39AC1" w14:textId="77777777" w:rsidR="00B27AB0" w:rsidRDefault="00B27AB0" w:rsidP="00877E9D">
            <w:pPr>
              <w:spacing w:before="100" w:beforeAutospacing="1" w:after="100" w:afterAutospacing="1" w:line="276" w:lineRule="auto"/>
              <w:jc w:val="both"/>
              <w:rPr>
                <w:rFonts w:ascii="Sylfaen" w:hAnsi="Sylfaen"/>
                <w:lang w:val="ka-GE"/>
              </w:rPr>
            </w:pPr>
            <w:r w:rsidRPr="00E66109">
              <w:rPr>
                <w:rFonts w:ascii="Sylfaen" w:hAnsi="Sylfaen" w:cs="Sylfaen"/>
                <w:lang w:val="ka-GE"/>
              </w:rPr>
              <w:t xml:space="preserve">როგორც განვიხილეთ, ცესკოს 9 წევრის დანიშვნის უფლება გადაცემული აქვთ პოლიტიკურ პარტიებს, თუმცა შეიძლება რომ პოლიტიკური პარტიების რაოდენობა 9-ზე მეტი იყოს, ასეთ შემთხვევაში </w:t>
            </w:r>
            <w:r w:rsidRPr="00E66109">
              <w:rPr>
                <w:rFonts w:ascii="Sylfaen" w:hAnsi="Sylfaen"/>
                <w:lang w:val="ka-GE"/>
              </w:rPr>
              <w:t>კანონმდებლის ლეგიტიმური ინტერესი იქნება, რომ სამართლიანი და თანასწორი პირობების საფუძველზე ყველა პარტიიდან შეარჩიოს მხოლოდ 9</w:t>
            </w:r>
            <w:r>
              <w:rPr>
                <w:rFonts w:ascii="Sylfaen" w:hAnsi="Sylfaen"/>
                <w:lang w:val="ka-GE"/>
              </w:rPr>
              <w:t xml:space="preserve"> პარტია,</w:t>
            </w:r>
            <w:r w:rsidRPr="00E66109">
              <w:rPr>
                <w:rFonts w:ascii="Sylfaen" w:hAnsi="Sylfaen"/>
                <w:lang w:val="ka-GE"/>
              </w:rPr>
              <w:t xml:space="preserve"> რომელსაც ექნება წევრის დანიშვნის </w:t>
            </w:r>
            <w:r w:rsidRPr="00E66109">
              <w:rPr>
                <w:rFonts w:ascii="Sylfaen" w:hAnsi="Sylfaen"/>
                <w:lang w:val="ka-GE"/>
              </w:rPr>
              <w:lastRenderedPageBreak/>
              <w:t>უფლება</w:t>
            </w:r>
            <w:r>
              <w:rPr>
                <w:rFonts w:ascii="Sylfaen" w:hAnsi="Sylfaen"/>
                <w:lang w:val="ka-GE"/>
              </w:rPr>
              <w:t xml:space="preserve"> და ამ მხრივ დააწესოს გონივრული რეგულაცია.</w:t>
            </w:r>
            <w:r w:rsidRPr="00E66109">
              <w:rPr>
                <w:rFonts w:ascii="Sylfaen" w:hAnsi="Sylfaen"/>
                <w:lang w:val="ka-GE"/>
              </w:rPr>
              <w:t xml:space="preserve"> თუმცა ამ შემთხვევაში სადავო ნორმის მიზანი ვერ იქნება სამართლიანი პირობების დადგენა 9 პარტიის გამოსავლენად, ვინაიდან ლეგიტიმაციის მქონე ერთ</w:t>
            </w:r>
            <w:r>
              <w:rPr>
                <w:rFonts w:ascii="Sylfaen" w:hAnsi="Sylfaen"/>
                <w:lang w:val="ka-GE"/>
              </w:rPr>
              <w:t>ი</w:t>
            </w:r>
            <w:r w:rsidRPr="00E66109">
              <w:rPr>
                <w:rFonts w:ascii="Sylfaen" w:hAnsi="Sylfaen"/>
                <w:lang w:val="ka-GE"/>
              </w:rPr>
              <w:t xml:space="preserve"> პარტიის უფლება </w:t>
            </w:r>
            <w:r>
              <w:rPr>
                <w:rFonts w:ascii="Sylfaen" w:hAnsi="Sylfaen"/>
                <w:lang w:val="ka-GE"/>
              </w:rPr>
              <w:t>გადაეცემა</w:t>
            </w:r>
            <w:r w:rsidRPr="00E66109">
              <w:rPr>
                <w:rFonts w:ascii="Sylfaen" w:hAnsi="Sylfaen"/>
                <w:lang w:val="ka-GE"/>
              </w:rPr>
              <w:t xml:space="preserve"> მეორე - </w:t>
            </w:r>
            <w:r>
              <w:rPr>
                <w:rFonts w:ascii="Sylfaen" w:hAnsi="Sylfaen"/>
                <w:lang w:val="ka-GE"/>
              </w:rPr>
              <w:t xml:space="preserve">დემოკრატიული </w:t>
            </w:r>
            <w:r w:rsidRPr="00E66109">
              <w:rPr>
                <w:rFonts w:ascii="Sylfaen" w:hAnsi="Sylfaen"/>
                <w:lang w:val="ka-GE"/>
              </w:rPr>
              <w:t>ლეგიტიმაციის არ მქონე პარტიას.</w:t>
            </w:r>
          </w:p>
          <w:p w14:paraId="49B4BD32" w14:textId="77777777" w:rsidR="00B27AB0" w:rsidRDefault="00B27AB0" w:rsidP="00877E9D">
            <w:pPr>
              <w:spacing w:before="100" w:beforeAutospacing="1" w:after="100" w:afterAutospacing="1" w:line="276" w:lineRule="auto"/>
              <w:jc w:val="both"/>
              <w:rPr>
                <w:rFonts w:ascii="Sylfaen" w:hAnsi="Sylfaen" w:cs="Sylfaen"/>
                <w:lang w:val="ka-GE"/>
              </w:rPr>
            </w:pPr>
            <w:r w:rsidRPr="001919B6">
              <w:rPr>
                <w:rFonts w:ascii="Sylfaen" w:hAnsi="Sylfaen" w:cs="Sylfaen"/>
                <w:lang w:val="ka-GE"/>
              </w:rPr>
              <w:t xml:space="preserve">ამდენად, თავისთავად ცხადია, რომ მსგავს დიფერენცირებას არ გააჩნია რაიმე ლოგიკური ახსნა. არ არსებობს სადავო ნორმებით დადგენილი დიფერენციაციის აბსოლუტურად აუცილებელი ან/და უფლებაში ამგვარი ჩარევის დაუძლეველი საჯარო ინტერესი. </w:t>
            </w:r>
            <w:r w:rsidRPr="001919B6">
              <w:rPr>
                <w:rFonts w:ascii="Sylfaen" w:hAnsi="Sylfaen"/>
                <w:lang w:val="ka-GE"/>
              </w:rPr>
              <w:t xml:space="preserve">პარტიას რომელმაც გადალახა ბარიერი და მიიღო მანდატი, უნდა ჰქონდეს ცესკოში წევრის დანიშვნის უფლება და მის ხარჯზე, ლეგიტიმაციის არმქონე ახალი პარტია არ უნდა იყოს პრივილეგირებულ მდგომარეობაში ჩაყენებული. </w:t>
            </w:r>
            <w:r w:rsidRPr="001919B6">
              <w:rPr>
                <w:rFonts w:ascii="Sylfaen" w:hAnsi="Sylfaen" w:cs="Sylfaen"/>
                <w:lang w:val="ka-GE"/>
              </w:rPr>
              <w:t>ხაზგასასმელია, რომ ცესკოში წევრის დანიშვნის უფლება</w:t>
            </w:r>
            <w:r>
              <w:rPr>
                <w:rFonts w:ascii="Sylfaen" w:hAnsi="Sylfaen" w:cs="Sylfaen"/>
                <w:lang w:val="ka-GE"/>
              </w:rPr>
              <w:t xml:space="preserve"> საქართველოს კანონმდებლობის მიხედვით</w:t>
            </w:r>
            <w:r w:rsidRPr="001919B6">
              <w:rPr>
                <w:rFonts w:ascii="Sylfaen" w:hAnsi="Sylfaen" w:cs="Sylfaen"/>
                <w:lang w:val="ka-GE"/>
              </w:rPr>
              <w:t xml:space="preserve"> არის პოლიტიკური პარტიის და არა პარლამენტის ცალკეული წევრების</w:t>
            </w:r>
            <w:r>
              <w:rPr>
                <w:rFonts w:ascii="Sylfaen" w:hAnsi="Sylfaen" w:cs="Sylfaen"/>
                <w:lang w:val="ka-GE"/>
              </w:rPr>
              <w:t xml:space="preserve"> </w:t>
            </w:r>
            <w:r w:rsidRPr="001919B6">
              <w:rPr>
                <w:rFonts w:ascii="Sylfaen" w:hAnsi="Sylfaen" w:cs="Sylfaen"/>
                <w:lang w:val="ka-GE"/>
              </w:rPr>
              <w:t xml:space="preserve">უფლება. შესაბამისად, უფლების მქონე სუბიექტს, რომელსაც ამომრჩეველთა საკმარისმა რაოდენობამ გამოუცხადა ნდობა, დაუშვებელია წაერთვას ის უფლებები, რაც მას როგორც კვალიფიციურ პოლიტიკურ პარტიას გააჩნია. ინდივიდუალური დეპუტატების პოლიტიკური შეხედულების თუ პარტიის ცვლილების მიუხედავად, ამ პარტიას ეს უფლებები უნარჩუნდება. </w:t>
            </w:r>
          </w:p>
          <w:p w14:paraId="35CB1443" w14:textId="77777777" w:rsidR="00B27AB0" w:rsidRPr="00B27AB0" w:rsidRDefault="00B27AB0" w:rsidP="00877E9D">
            <w:pPr>
              <w:spacing w:before="100" w:beforeAutospacing="1" w:after="100" w:afterAutospacing="1" w:line="276" w:lineRule="auto"/>
              <w:jc w:val="both"/>
              <w:rPr>
                <w:rFonts w:ascii="Sylfaen" w:hAnsi="Sylfaen" w:cs="Sylfaen"/>
                <w:lang w:val="ka-GE"/>
              </w:rPr>
            </w:pPr>
            <w:r>
              <w:rPr>
                <w:rFonts w:ascii="Sylfaen" w:hAnsi="Sylfaen" w:cs="Sylfaen"/>
                <w:lang w:val="ka-GE"/>
              </w:rPr>
              <w:t xml:space="preserve">ყოველივე ზემოაღნიშნულიდან გამომდინარე, </w:t>
            </w:r>
            <w:r w:rsidRPr="00225F28">
              <w:rPr>
                <w:rFonts w:ascii="Sylfaen" w:hAnsi="Sylfaen" w:cs="Sylfaen"/>
                <w:b/>
                <w:i/>
                <w:lang w:val="ka-GE"/>
              </w:rPr>
              <w:t>სადავო ნორმით გათვალისწინებული შეზღუდვა ვერ აკმაყოფილებს მკაცრი ტესტით გათვალისწინებულ მოთხოვნებს.</w:t>
            </w:r>
            <w:r>
              <w:rPr>
                <w:rFonts w:ascii="Sylfaen" w:hAnsi="Sylfaen" w:cs="Sylfaen"/>
                <w:lang w:val="ka-GE"/>
              </w:rPr>
              <w:t xml:space="preserve"> </w:t>
            </w:r>
            <w:r w:rsidRPr="001919B6">
              <w:rPr>
                <w:rFonts w:ascii="Sylfaen" w:hAnsi="Sylfaen" w:cs="Sylfaen"/>
                <w:lang w:val="ka-GE"/>
              </w:rPr>
              <w:t>შესაბამისად, სახალხო დამცველი მიიჩნევს, რომ №1636 კონსტიტუციური სარჩელით გასაჩივრებული საქართველოს ორგანული კანონის „საქართველოს საარჩევნო კოდექსის“ 196</w:t>
            </w:r>
            <w:r w:rsidRPr="001919B6">
              <w:rPr>
                <w:rFonts w:ascii="Sylfaen" w:hAnsi="Sylfaen" w:cs="Sylfaen"/>
                <w:vertAlign w:val="superscript"/>
                <w:lang w:val="ka-GE"/>
              </w:rPr>
              <w:t>1</w:t>
            </w:r>
            <w:r w:rsidRPr="001919B6">
              <w:rPr>
                <w:rFonts w:ascii="Sylfaen" w:hAnsi="Sylfaen" w:cs="Sylfaen"/>
                <w:lang w:val="ka-GE"/>
              </w:rPr>
              <w:t xml:space="preserve"> მუხლის მე-4 პუნქტი</w:t>
            </w:r>
            <w:r w:rsidRPr="001919B6">
              <w:rPr>
                <w:rFonts w:ascii="Sylfaen" w:hAnsi="Sylfaen"/>
                <w:lang w:val="ka-GE"/>
              </w:rPr>
              <w:t xml:space="preserve"> </w:t>
            </w:r>
            <w:r w:rsidRPr="001919B6">
              <w:rPr>
                <w:rFonts w:ascii="Sylfaen" w:hAnsi="Sylfaen" w:cs="Sylfaen"/>
                <w:lang w:val="ka-GE"/>
              </w:rPr>
              <w:t>დისკრიმინაციულია და ეწინააღმდეგება საქართველოს კონსტიტუციის მე-11 მუხლის პირველი პუნქტის მოთხოვნებს.</w:t>
            </w:r>
          </w:p>
        </w:tc>
      </w:tr>
    </w:tbl>
    <w:p w14:paraId="6B65618F"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2B5C8CBB"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188FBD6C"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5D62A9C1"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2D1742EE"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706F7AED"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7FCBC776"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47AFF353"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4416A1ED"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334ED4B8"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72436597"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1E9D4E63"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315"/>
        <w:gridCol w:w="485"/>
      </w:tblGrid>
      <w:tr w:rsidR="00B27AB0" w:rsidRPr="00B27AB0" w14:paraId="6DAB88BF" w14:textId="77777777" w:rsidTr="00FC75A0">
        <w:tc>
          <w:tcPr>
            <w:tcW w:w="11016" w:type="dxa"/>
            <w:gridSpan w:val="2"/>
            <w:tcBorders>
              <w:left w:val="nil"/>
              <w:right w:val="nil"/>
            </w:tcBorders>
            <w:shd w:val="clear" w:color="auto" w:fill="D9D9D9"/>
          </w:tcPr>
          <w:p w14:paraId="13D5019C" w14:textId="77777777" w:rsidR="00B27AB0" w:rsidRPr="00B27AB0" w:rsidRDefault="00B27AB0" w:rsidP="004D34B6">
            <w:pPr>
              <w:spacing w:before="100" w:beforeAutospacing="1" w:after="100" w:afterAutospacing="1"/>
              <w:jc w:val="center"/>
              <w:rPr>
                <w:rFonts w:ascii="Sylfaen" w:eastAsia="Calibri" w:hAnsi="Sylfaen" w:cs="Times New Roman"/>
                <w:b/>
                <w:color w:val="000000"/>
                <w:sz w:val="36"/>
                <w:lang w:val="ka-GE"/>
              </w:rPr>
            </w:pPr>
            <w:r w:rsidRPr="00B27AB0">
              <w:rPr>
                <w:rFonts w:ascii="Sylfaen" w:eastAsia="Calibri" w:hAnsi="Sylfaen" w:cs="Times New Roman"/>
                <w:b/>
                <w:color w:val="000000"/>
                <w:sz w:val="36"/>
              </w:rPr>
              <w:lastRenderedPageBreak/>
              <w:t>IV.</w:t>
            </w:r>
            <w:r w:rsidRPr="00B27AB0">
              <w:rPr>
                <w:rFonts w:ascii="Sylfaen" w:eastAsia="Calibri" w:hAnsi="Sylfaen" w:cs="Times New Roman"/>
                <w:b/>
                <w:color w:val="000000"/>
                <w:sz w:val="36"/>
                <w:lang w:val="ka-GE"/>
              </w:rPr>
              <w:t>თანდართული დოკუმენტების სია</w:t>
            </w:r>
          </w:p>
        </w:tc>
      </w:tr>
      <w:tr w:rsidR="00B27AB0" w:rsidRPr="00B27AB0" w14:paraId="5DF7BD58" w14:textId="77777777" w:rsidTr="00FC75A0">
        <w:trPr>
          <w:trHeight w:val="378"/>
        </w:trPr>
        <w:tc>
          <w:tcPr>
            <w:tcW w:w="11016" w:type="dxa"/>
            <w:gridSpan w:val="2"/>
          </w:tcPr>
          <w:p w14:paraId="68AA07BD" w14:textId="77777777" w:rsidR="00B27AB0" w:rsidRPr="00B27AB0" w:rsidRDefault="00B27AB0" w:rsidP="004D34B6">
            <w:pPr>
              <w:spacing w:before="100" w:beforeAutospacing="1" w:after="100" w:afterAutospacing="1"/>
              <w:jc w:val="left"/>
              <w:rPr>
                <w:rFonts w:ascii="Sylfaen" w:eastAsia="Calibri" w:hAnsi="Sylfaen" w:cs="Sylfaen"/>
                <w:i/>
                <w:color w:val="000000"/>
                <w:lang w:val="ka-GE"/>
              </w:rPr>
            </w:pPr>
          </w:p>
        </w:tc>
      </w:tr>
      <w:tr w:rsidR="00B27AB0" w:rsidRPr="00B27AB0" w14:paraId="01C163DA" w14:textId="77777777" w:rsidTr="00FC75A0">
        <w:tc>
          <w:tcPr>
            <w:tcW w:w="11016" w:type="dxa"/>
            <w:gridSpan w:val="2"/>
            <w:tcBorders>
              <w:left w:val="nil"/>
              <w:bottom w:val="nil"/>
              <w:right w:val="nil"/>
            </w:tcBorders>
            <w:shd w:val="clear" w:color="auto" w:fill="D9D9D9"/>
          </w:tcPr>
          <w:p w14:paraId="0427B117" w14:textId="77777777" w:rsidR="00B27AB0" w:rsidRPr="00B27AB0" w:rsidRDefault="00B27AB0" w:rsidP="004D34B6">
            <w:pPr>
              <w:spacing w:before="100" w:beforeAutospacing="1" w:after="100" w:afterAutospacing="1"/>
              <w:jc w:val="left"/>
              <w:rPr>
                <w:rFonts w:ascii="Sylfaen" w:eastAsia="Calibri" w:hAnsi="Sylfaen" w:cs="Times New Roman"/>
                <w:i/>
                <w:iCs/>
                <w:color w:val="000000"/>
                <w:lang w:val="ka-GE"/>
              </w:rPr>
            </w:pPr>
            <w:r w:rsidRPr="00B27AB0">
              <w:rPr>
                <w:rFonts w:ascii="Sylfaen" w:eastAsia="Calibri" w:hAnsi="Sylfaen" w:cs="Times New Roman"/>
                <w:color w:val="000000"/>
                <w:lang w:val="ka-GE"/>
              </w:rPr>
              <w:t xml:space="preserve">ა. </w:t>
            </w:r>
            <w:r w:rsidRPr="00B27AB0">
              <w:rPr>
                <w:rFonts w:ascii="Sylfaen" w:eastAsia="Calibri" w:hAnsi="Sylfaen" w:cs="Times New Roman"/>
                <w:i/>
                <w:iCs/>
                <w:color w:val="000000"/>
                <w:lang w:val="ka-GE"/>
              </w:rPr>
              <w:t xml:space="preserve">დოკუმენტები, რომლებიც სასურველია  </w:t>
            </w:r>
            <w:proofErr w:type="spellStart"/>
            <w:r w:rsidRPr="00B27AB0">
              <w:rPr>
                <w:rFonts w:ascii="Sylfaen" w:eastAsia="Calibri" w:hAnsi="Sylfaen" w:cs="Times New Roman"/>
                <w:i/>
                <w:iCs/>
                <w:color w:val="000000"/>
                <w:lang w:val="ka-GE"/>
              </w:rPr>
              <w:t>ერთვოდეს</w:t>
            </w:r>
            <w:proofErr w:type="spellEnd"/>
            <w:r w:rsidRPr="00B27AB0">
              <w:rPr>
                <w:rFonts w:ascii="Sylfaen" w:eastAsia="Calibri" w:hAnsi="Sylfaen" w:cs="Times New Roman"/>
                <w:i/>
                <w:iCs/>
                <w:color w:val="000000"/>
                <w:lang w:val="ka-GE"/>
              </w:rPr>
              <w:t xml:space="preserve">  მოსაზრებას (გთხოვთ, მონიშნოთ შესაბამისი უჯრა)</w:t>
            </w:r>
          </w:p>
        </w:tc>
      </w:tr>
      <w:tr w:rsidR="00B27AB0" w:rsidRPr="00B27AB0" w14:paraId="0E9B5037" w14:textId="77777777" w:rsidTr="00FC75A0">
        <w:tc>
          <w:tcPr>
            <w:tcW w:w="10531" w:type="dxa"/>
            <w:tcBorders>
              <w:top w:val="nil"/>
              <w:left w:val="nil"/>
              <w:bottom w:val="nil"/>
              <w:right w:val="nil"/>
            </w:tcBorders>
            <w:shd w:val="clear" w:color="auto" w:fill="auto"/>
          </w:tcPr>
          <w:p w14:paraId="732040EA" w14:textId="77777777" w:rsidR="00B27AB0" w:rsidRPr="00B27AB0" w:rsidRDefault="00B27AB0" w:rsidP="004D34B6">
            <w:pPr>
              <w:spacing w:before="100" w:beforeAutospacing="1" w:after="100" w:afterAutospacing="1"/>
              <w:jc w:val="left"/>
              <w:rPr>
                <w:rFonts w:ascii="Sylfaen" w:eastAsia="Calibri" w:hAnsi="Sylfaen" w:cs="Times New Roman"/>
                <w:color w:val="000000"/>
                <w:lang w:val="ka-GE"/>
              </w:rPr>
            </w:pPr>
            <w:r w:rsidRPr="00B27AB0">
              <w:rPr>
                <w:rFonts w:ascii="Calibri" w:eastAsia="Calibri" w:hAnsi="Calibri" w:cs="Times New Roman"/>
                <w:color w:val="000000"/>
              </w:rPr>
              <w:t>1.</w:t>
            </w:r>
            <w:r w:rsidRPr="00B27AB0">
              <w:rPr>
                <w:rFonts w:ascii="Sylfaen" w:eastAsia="Calibri" w:hAnsi="Sylfaen" w:cs="Sylfaen"/>
                <w:color w:val="000000"/>
              </w:rPr>
              <w:t xml:space="preserve"> </w:t>
            </w:r>
            <w:proofErr w:type="spellStart"/>
            <w:r w:rsidRPr="00B27AB0">
              <w:rPr>
                <w:rFonts w:ascii="Sylfaen" w:eastAsia="Calibri" w:hAnsi="Sylfaen" w:cs="Sylfaen"/>
                <w:color w:val="000000"/>
              </w:rPr>
              <w:t>სადავო</w:t>
            </w:r>
            <w:proofErr w:type="spellEnd"/>
            <w:r w:rsidRPr="00B27AB0">
              <w:rPr>
                <w:rFonts w:ascii="Calibri" w:eastAsia="Calibri" w:hAnsi="Calibri" w:cs="Times New Roman"/>
                <w:color w:val="000000"/>
              </w:rPr>
              <w:t xml:space="preserve"> </w:t>
            </w:r>
            <w:proofErr w:type="spellStart"/>
            <w:r w:rsidRPr="00B27AB0">
              <w:rPr>
                <w:rFonts w:ascii="Sylfaen" w:eastAsia="Calibri" w:hAnsi="Sylfaen" w:cs="Sylfaen"/>
                <w:color w:val="000000"/>
              </w:rPr>
              <w:t>ნორმატიული</w:t>
            </w:r>
            <w:proofErr w:type="spellEnd"/>
            <w:r w:rsidRPr="00B27AB0">
              <w:rPr>
                <w:rFonts w:ascii="Calibri" w:eastAsia="Calibri" w:hAnsi="Calibri" w:cs="Times New Roman"/>
                <w:color w:val="000000"/>
              </w:rPr>
              <w:t xml:space="preserve"> </w:t>
            </w:r>
            <w:proofErr w:type="spellStart"/>
            <w:r w:rsidRPr="00B27AB0">
              <w:rPr>
                <w:rFonts w:ascii="Sylfaen" w:eastAsia="Calibri" w:hAnsi="Sylfaen" w:cs="Sylfaen"/>
                <w:color w:val="000000"/>
              </w:rPr>
              <w:t>აქტის</w:t>
            </w:r>
            <w:proofErr w:type="spellEnd"/>
            <w:r w:rsidRPr="00B27AB0">
              <w:rPr>
                <w:rFonts w:ascii="Calibri" w:eastAsia="Calibri" w:hAnsi="Calibri" w:cs="Times New Roman"/>
                <w:color w:val="000000"/>
              </w:rPr>
              <w:t xml:space="preserve"> </w:t>
            </w:r>
            <w:proofErr w:type="spellStart"/>
            <w:r w:rsidRPr="00B27AB0">
              <w:rPr>
                <w:rFonts w:ascii="Sylfaen" w:eastAsia="Calibri" w:hAnsi="Sylfaen" w:cs="Sylfaen"/>
                <w:color w:val="000000"/>
              </w:rPr>
              <w:t>ტექსტი</w:t>
            </w:r>
            <w:proofErr w:type="spellEnd"/>
            <w:r w:rsidRPr="00B27AB0">
              <w:rPr>
                <w:rFonts w:ascii="Sylfaen" w:eastAsia="Calibri" w:hAnsi="Sylfaen" w:cs="Sylfaen"/>
                <w:color w:val="000000"/>
              </w:rPr>
              <w:t>.</w:t>
            </w:r>
            <w:r w:rsidRPr="00B27AB0">
              <w:rPr>
                <w:rFonts w:ascii="Calibri" w:eastAsia="Calibri" w:hAnsi="Calibri" w:cs="Times New Roman"/>
                <w:color w:val="000000"/>
              </w:rPr>
              <w:tab/>
            </w:r>
          </w:p>
        </w:tc>
        <w:tc>
          <w:tcPr>
            <w:tcW w:w="485" w:type="dxa"/>
            <w:tcBorders>
              <w:top w:val="nil"/>
              <w:left w:val="nil"/>
              <w:bottom w:val="nil"/>
              <w:right w:val="nil"/>
            </w:tcBorders>
            <w:shd w:val="clear" w:color="auto" w:fill="auto"/>
            <w:vAlign w:val="center"/>
          </w:tcPr>
          <w:p w14:paraId="37673CFC" w14:textId="77777777" w:rsidR="00B27AB0" w:rsidRPr="00B27AB0" w:rsidRDefault="00B27AB0" w:rsidP="004D34B6">
            <w:pPr>
              <w:spacing w:before="100" w:beforeAutospacing="1" w:after="100" w:afterAutospacing="1"/>
              <w:jc w:val="center"/>
              <w:rPr>
                <w:rFonts w:ascii="Sylfaen" w:eastAsia="Calibri" w:hAnsi="Sylfaen" w:cs="Times New Roman"/>
                <w:color w:val="000000"/>
              </w:rPr>
            </w:pPr>
            <w:r w:rsidRPr="00B27AB0">
              <w:rPr>
                <w:rFonts w:ascii="Calibri" w:eastAsia="Calibri" w:hAnsi="Calibri" w:cs="Times New Roman"/>
                <w:color w:val="000000"/>
              </w:rPr>
              <w:fldChar w:fldCharType="begin">
                <w:ffData>
                  <w:name w:val="Check1"/>
                  <w:enabled/>
                  <w:calcOnExit w:val="0"/>
                  <w:checkBox>
                    <w:sizeAuto/>
                    <w:default w:val="1"/>
                  </w:checkBox>
                </w:ffData>
              </w:fldChar>
            </w:r>
            <w:bookmarkStart w:id="3" w:name="Check1"/>
            <w:r w:rsidRPr="00B27AB0">
              <w:rPr>
                <w:rFonts w:ascii="Calibri" w:eastAsia="Calibri" w:hAnsi="Calibri" w:cs="Times New Roman"/>
                <w:color w:val="000000"/>
              </w:rPr>
              <w:instrText xml:space="preserve"> FORMCHECKBOX </w:instrText>
            </w:r>
            <w:r w:rsidR="00750B44">
              <w:rPr>
                <w:rFonts w:ascii="Calibri" w:eastAsia="Calibri" w:hAnsi="Calibri" w:cs="Times New Roman"/>
                <w:color w:val="000000"/>
              </w:rPr>
            </w:r>
            <w:r w:rsidR="00750B44">
              <w:rPr>
                <w:rFonts w:ascii="Calibri" w:eastAsia="Calibri" w:hAnsi="Calibri" w:cs="Times New Roman"/>
                <w:color w:val="000000"/>
              </w:rPr>
              <w:fldChar w:fldCharType="separate"/>
            </w:r>
            <w:r w:rsidRPr="00B27AB0">
              <w:rPr>
                <w:rFonts w:ascii="Calibri" w:eastAsia="Calibri" w:hAnsi="Calibri" w:cs="Times New Roman"/>
                <w:color w:val="000000"/>
              </w:rPr>
              <w:fldChar w:fldCharType="end"/>
            </w:r>
            <w:bookmarkEnd w:id="3"/>
          </w:p>
        </w:tc>
      </w:tr>
      <w:tr w:rsidR="00B27AB0" w:rsidRPr="00B27AB0" w14:paraId="35FB5E7B" w14:textId="77777777" w:rsidTr="00FC75A0">
        <w:trPr>
          <w:trHeight w:val="477"/>
        </w:trPr>
        <w:tc>
          <w:tcPr>
            <w:tcW w:w="10531" w:type="dxa"/>
            <w:tcBorders>
              <w:top w:val="nil"/>
              <w:left w:val="nil"/>
              <w:bottom w:val="nil"/>
              <w:right w:val="nil"/>
            </w:tcBorders>
            <w:shd w:val="clear" w:color="auto" w:fill="auto"/>
          </w:tcPr>
          <w:p w14:paraId="7760F816" w14:textId="77777777" w:rsidR="00B27AB0" w:rsidRPr="00B27AB0" w:rsidRDefault="00B27AB0" w:rsidP="004D34B6">
            <w:pPr>
              <w:spacing w:before="100" w:beforeAutospacing="1" w:after="100" w:afterAutospacing="1"/>
              <w:jc w:val="left"/>
              <w:rPr>
                <w:rFonts w:ascii="Sylfaen" w:eastAsia="Calibri" w:hAnsi="Sylfaen" w:cs="Times New Roman"/>
                <w:color w:val="000000"/>
                <w:lang w:val="ka-GE"/>
              </w:rPr>
            </w:pPr>
            <w:r w:rsidRPr="00B27AB0">
              <w:rPr>
                <w:rFonts w:ascii="Sylfaen" w:eastAsia="Calibri" w:hAnsi="Sylfaen" w:cs="Times New Roman"/>
                <w:color w:val="000000"/>
                <w:lang w:val="ka-GE"/>
              </w:rPr>
              <w:t>2</w:t>
            </w:r>
            <w:r w:rsidRPr="00B27AB0">
              <w:rPr>
                <w:rFonts w:ascii="Calibri" w:eastAsia="Calibri" w:hAnsi="Calibri" w:cs="Times New Roman"/>
                <w:color w:val="000000"/>
              </w:rPr>
              <w:t>.</w:t>
            </w:r>
            <w:r w:rsidRPr="00B27AB0">
              <w:rPr>
                <w:rFonts w:ascii="Sylfaen" w:eastAsia="Calibri" w:hAnsi="Sylfaen" w:cs="Sylfaen"/>
                <w:color w:val="000000"/>
              </w:rPr>
              <w:t xml:space="preserve"> </w:t>
            </w:r>
            <w:r w:rsidRPr="00B27AB0">
              <w:rPr>
                <w:rFonts w:ascii="Sylfaen" w:eastAsia="Calibri" w:hAnsi="Sylfaen" w:cs="Sylfaen"/>
                <w:color w:val="000000"/>
                <w:lang w:val="ka-GE"/>
              </w:rPr>
              <w:t>„სასამართლოს მეგობრის“ მოსაზრების</w:t>
            </w:r>
            <w:r w:rsidRPr="00B27AB0">
              <w:rPr>
                <w:rFonts w:ascii="Calibri" w:eastAsia="Calibri" w:hAnsi="Calibri" w:cs="Times New Roman"/>
                <w:color w:val="000000"/>
              </w:rPr>
              <w:t xml:space="preserve"> </w:t>
            </w:r>
            <w:proofErr w:type="spellStart"/>
            <w:r w:rsidRPr="00B27AB0">
              <w:rPr>
                <w:rFonts w:ascii="Sylfaen" w:eastAsia="Calibri" w:hAnsi="Sylfaen" w:cs="Sylfaen"/>
                <w:color w:val="000000"/>
              </w:rPr>
              <w:t>ელექტრონული</w:t>
            </w:r>
            <w:proofErr w:type="spellEnd"/>
            <w:r w:rsidRPr="00B27AB0">
              <w:rPr>
                <w:rFonts w:ascii="Calibri" w:eastAsia="Calibri" w:hAnsi="Calibri" w:cs="Times New Roman"/>
                <w:color w:val="000000"/>
              </w:rPr>
              <w:t xml:space="preserve"> </w:t>
            </w:r>
            <w:proofErr w:type="spellStart"/>
            <w:r w:rsidRPr="00B27AB0">
              <w:rPr>
                <w:rFonts w:ascii="Sylfaen" w:eastAsia="Calibri" w:hAnsi="Sylfaen" w:cs="Sylfaen"/>
                <w:color w:val="000000"/>
              </w:rPr>
              <w:t>ვერსია</w:t>
            </w:r>
            <w:proofErr w:type="spellEnd"/>
            <w:r w:rsidRPr="00B27AB0">
              <w:rPr>
                <w:rFonts w:ascii="Calibri" w:eastAsia="Calibri" w:hAnsi="Calibri" w:cs="Times New Roman"/>
                <w:color w:val="000000"/>
              </w:rPr>
              <w:t xml:space="preserve">.   </w:t>
            </w:r>
          </w:p>
        </w:tc>
        <w:tc>
          <w:tcPr>
            <w:tcW w:w="485" w:type="dxa"/>
            <w:tcBorders>
              <w:top w:val="nil"/>
              <w:left w:val="nil"/>
              <w:bottom w:val="nil"/>
              <w:right w:val="nil"/>
            </w:tcBorders>
            <w:shd w:val="clear" w:color="auto" w:fill="auto"/>
            <w:vAlign w:val="center"/>
          </w:tcPr>
          <w:p w14:paraId="5E1A6757" w14:textId="77777777" w:rsidR="00B27AB0" w:rsidRPr="00B27AB0" w:rsidRDefault="00B27AB0" w:rsidP="004D34B6">
            <w:pPr>
              <w:spacing w:before="100" w:beforeAutospacing="1" w:after="100" w:afterAutospacing="1"/>
              <w:jc w:val="center"/>
              <w:rPr>
                <w:rFonts w:ascii="Sylfaen" w:eastAsia="Calibri" w:hAnsi="Sylfaen" w:cs="Times New Roman"/>
                <w:color w:val="000000"/>
                <w:lang w:val="ka-GE"/>
              </w:rPr>
            </w:pPr>
            <w:r w:rsidRPr="00B27AB0">
              <w:rPr>
                <w:rFonts w:ascii="Calibri" w:eastAsia="Calibri" w:hAnsi="Calibri" w:cs="Times New Roman"/>
                <w:color w:val="000000"/>
              </w:rPr>
              <w:fldChar w:fldCharType="begin">
                <w:ffData>
                  <w:name w:val=""/>
                  <w:enabled/>
                  <w:calcOnExit w:val="0"/>
                  <w:checkBox>
                    <w:sizeAuto/>
                    <w:default w:val="1"/>
                  </w:checkBox>
                </w:ffData>
              </w:fldChar>
            </w:r>
            <w:r w:rsidRPr="00B27AB0">
              <w:rPr>
                <w:rFonts w:ascii="Calibri" w:eastAsia="Calibri" w:hAnsi="Calibri" w:cs="Times New Roman"/>
                <w:color w:val="000000"/>
              </w:rPr>
              <w:instrText xml:space="preserve"> FORMCHECKBOX </w:instrText>
            </w:r>
            <w:r w:rsidR="00750B44">
              <w:rPr>
                <w:rFonts w:ascii="Calibri" w:eastAsia="Calibri" w:hAnsi="Calibri" w:cs="Times New Roman"/>
                <w:color w:val="000000"/>
              </w:rPr>
            </w:r>
            <w:r w:rsidR="00750B44">
              <w:rPr>
                <w:rFonts w:ascii="Calibri" w:eastAsia="Calibri" w:hAnsi="Calibri" w:cs="Times New Roman"/>
                <w:color w:val="000000"/>
              </w:rPr>
              <w:fldChar w:fldCharType="separate"/>
            </w:r>
            <w:r w:rsidRPr="00B27AB0">
              <w:rPr>
                <w:rFonts w:ascii="Calibri" w:eastAsia="Calibri" w:hAnsi="Calibri" w:cs="Times New Roman"/>
                <w:color w:val="000000"/>
              </w:rPr>
              <w:fldChar w:fldCharType="end"/>
            </w:r>
          </w:p>
        </w:tc>
      </w:tr>
      <w:tr w:rsidR="00B27AB0" w:rsidRPr="00B27AB0" w14:paraId="30F9D2FC" w14:textId="77777777" w:rsidTr="00FC75A0">
        <w:trPr>
          <w:trHeight w:val="423"/>
        </w:trPr>
        <w:tc>
          <w:tcPr>
            <w:tcW w:w="11016" w:type="dxa"/>
            <w:gridSpan w:val="2"/>
            <w:tcBorders>
              <w:top w:val="nil"/>
              <w:left w:val="nil"/>
              <w:bottom w:val="nil"/>
              <w:right w:val="nil"/>
            </w:tcBorders>
            <w:shd w:val="clear" w:color="auto" w:fill="C0C0C0"/>
          </w:tcPr>
          <w:p w14:paraId="0764616A" w14:textId="77777777" w:rsidR="00B27AB0" w:rsidRPr="00B27AB0" w:rsidRDefault="00B27AB0" w:rsidP="004D34B6">
            <w:pPr>
              <w:spacing w:before="100" w:beforeAutospacing="1" w:after="100" w:afterAutospacing="1"/>
              <w:jc w:val="left"/>
              <w:rPr>
                <w:rFonts w:ascii="Sylfaen" w:eastAsia="Calibri" w:hAnsi="Sylfaen" w:cs="Times New Roman"/>
                <w:i/>
                <w:color w:val="000000"/>
                <w:lang w:val="ka-GE"/>
              </w:rPr>
            </w:pPr>
            <w:r w:rsidRPr="00B27AB0">
              <w:rPr>
                <w:rFonts w:ascii="Sylfaen" w:eastAsia="Calibri" w:hAnsi="Sylfaen" w:cs="Times New Roman"/>
                <w:i/>
                <w:color w:val="000000"/>
                <w:lang w:val="ka-GE"/>
              </w:rPr>
              <w:t>ბ. სხვა დოკუმენტები:</w:t>
            </w:r>
          </w:p>
        </w:tc>
      </w:tr>
      <w:tr w:rsidR="00B27AB0" w:rsidRPr="00B27AB0" w14:paraId="10C340BD" w14:textId="77777777" w:rsidTr="00FC75A0">
        <w:trPr>
          <w:trHeight w:val="197"/>
        </w:trPr>
        <w:tc>
          <w:tcPr>
            <w:tcW w:w="11016" w:type="dxa"/>
            <w:gridSpan w:val="2"/>
            <w:tcBorders>
              <w:top w:val="nil"/>
              <w:left w:val="nil"/>
              <w:bottom w:val="nil"/>
              <w:right w:val="nil"/>
            </w:tcBorders>
            <w:shd w:val="clear" w:color="auto" w:fill="FFFFFF"/>
          </w:tcPr>
          <w:p w14:paraId="7B1FDF37" w14:textId="77777777" w:rsidR="00B27AB0" w:rsidRPr="00B27AB0" w:rsidRDefault="00B27AB0" w:rsidP="004D34B6">
            <w:pPr>
              <w:spacing w:before="100" w:beforeAutospacing="1" w:after="100" w:afterAutospacing="1"/>
              <w:jc w:val="left"/>
              <w:rPr>
                <w:rFonts w:ascii="Sylfaen" w:eastAsia="Calibri" w:hAnsi="Sylfaen" w:cs="Times New Roman"/>
                <w:color w:val="000000"/>
                <w:sz w:val="12"/>
                <w:szCs w:val="12"/>
                <w:lang w:val="ka-GE"/>
              </w:rPr>
            </w:pPr>
          </w:p>
        </w:tc>
      </w:tr>
      <w:tr w:rsidR="00B27AB0" w:rsidRPr="00B27AB0" w14:paraId="7D23C230" w14:textId="77777777" w:rsidTr="00FC75A0">
        <w:trPr>
          <w:trHeight w:val="423"/>
        </w:trPr>
        <w:tc>
          <w:tcPr>
            <w:tcW w:w="11016" w:type="dxa"/>
            <w:gridSpan w:val="2"/>
            <w:tcBorders>
              <w:top w:val="nil"/>
              <w:bottom w:val="single" w:sz="4" w:space="0" w:color="auto"/>
            </w:tcBorders>
          </w:tcPr>
          <w:p w14:paraId="2D973A99" w14:textId="77777777" w:rsidR="00B27AB0" w:rsidRPr="00B27AB0" w:rsidRDefault="00B27AB0" w:rsidP="004D34B6">
            <w:pPr>
              <w:spacing w:before="100" w:beforeAutospacing="1" w:after="100" w:afterAutospacing="1"/>
              <w:jc w:val="left"/>
              <w:rPr>
                <w:rFonts w:ascii="Sylfaen" w:eastAsia="Calibri" w:hAnsi="Sylfaen" w:cs="Times New Roman"/>
                <w:color w:val="000000"/>
                <w:lang w:val="ka-GE"/>
              </w:rPr>
            </w:pPr>
            <w:r w:rsidRPr="00B27AB0">
              <w:rPr>
                <w:rFonts w:ascii="Sylfaen" w:eastAsia="Calibri" w:hAnsi="Sylfaen" w:cs="Times New Roman"/>
                <w:color w:val="000000"/>
                <w:lang w:val="ka-GE"/>
              </w:rPr>
              <w:t xml:space="preserve">1. </w:t>
            </w:r>
            <w:r w:rsidRPr="00B27AB0">
              <w:rPr>
                <w:rFonts w:ascii="Sylfaen" w:eastAsia="Calibri" w:hAnsi="Sylfaen" w:cs="Times New Roman"/>
                <w:color w:val="000000"/>
                <w:lang w:val="ka-GE"/>
              </w:rPr>
              <w:fldChar w:fldCharType="begin">
                <w:ffData>
                  <w:name w:val="Text9"/>
                  <w:enabled/>
                  <w:calcOnExit w:val="0"/>
                  <w:textInput/>
                </w:ffData>
              </w:fldChar>
            </w:r>
            <w:bookmarkStart w:id="4" w:name="Text9"/>
            <w:r w:rsidRPr="00B27AB0">
              <w:rPr>
                <w:rFonts w:ascii="Sylfaen" w:eastAsia="Calibri" w:hAnsi="Sylfaen" w:cs="Times New Roman"/>
                <w:color w:val="000000"/>
                <w:lang w:val="ka-GE"/>
              </w:rPr>
              <w:instrText xml:space="preserve"> FORMTEXT </w:instrText>
            </w:r>
            <w:r w:rsidRPr="00B27AB0">
              <w:rPr>
                <w:rFonts w:ascii="Sylfaen" w:eastAsia="Calibri" w:hAnsi="Sylfaen" w:cs="Times New Roman"/>
                <w:color w:val="000000"/>
                <w:lang w:val="ka-GE"/>
              </w:rPr>
            </w:r>
            <w:r w:rsidRPr="00B27AB0">
              <w:rPr>
                <w:rFonts w:ascii="Sylfaen" w:eastAsia="Calibri" w:hAnsi="Sylfaen" w:cs="Times New Roman"/>
                <w:color w:val="000000"/>
                <w:lang w:val="ka-GE"/>
              </w:rPr>
              <w:fldChar w:fldCharType="separate"/>
            </w:r>
            <w:r w:rsidRPr="00B27AB0">
              <w:rPr>
                <w:rFonts w:ascii="Sylfaen" w:eastAsia="Calibri" w:hAnsi="Sylfaen" w:cs="Times New Roman"/>
                <w:noProof/>
                <w:color w:val="000000"/>
                <w:lang w:val="ka-GE"/>
              </w:rPr>
              <w:t> </w:t>
            </w:r>
            <w:r w:rsidRPr="00B27AB0">
              <w:rPr>
                <w:rFonts w:ascii="Sylfaen" w:eastAsia="Calibri" w:hAnsi="Sylfaen" w:cs="Times New Roman"/>
                <w:noProof/>
                <w:color w:val="000000"/>
                <w:lang w:val="ka-GE"/>
              </w:rPr>
              <w:t> </w:t>
            </w:r>
            <w:r w:rsidRPr="00B27AB0">
              <w:rPr>
                <w:rFonts w:ascii="Sylfaen" w:eastAsia="Calibri" w:hAnsi="Sylfaen" w:cs="Times New Roman"/>
                <w:noProof/>
                <w:color w:val="000000"/>
                <w:lang w:val="ka-GE"/>
              </w:rPr>
              <w:t> </w:t>
            </w:r>
            <w:r w:rsidRPr="00B27AB0">
              <w:rPr>
                <w:rFonts w:ascii="Sylfaen" w:eastAsia="Calibri" w:hAnsi="Sylfaen" w:cs="Times New Roman"/>
                <w:noProof/>
                <w:color w:val="000000"/>
                <w:lang w:val="ka-GE"/>
              </w:rPr>
              <w:t> </w:t>
            </w:r>
            <w:r w:rsidRPr="00B27AB0">
              <w:rPr>
                <w:rFonts w:ascii="Sylfaen" w:eastAsia="Calibri" w:hAnsi="Sylfaen" w:cs="Times New Roman"/>
                <w:noProof/>
                <w:color w:val="000000"/>
                <w:lang w:val="ka-GE"/>
              </w:rPr>
              <w:t> </w:t>
            </w:r>
            <w:r w:rsidRPr="00B27AB0">
              <w:rPr>
                <w:rFonts w:ascii="Sylfaen" w:eastAsia="Calibri" w:hAnsi="Sylfaen" w:cs="Times New Roman"/>
                <w:color w:val="000000"/>
                <w:lang w:val="ka-GE"/>
              </w:rPr>
              <w:fldChar w:fldCharType="end"/>
            </w:r>
            <w:bookmarkEnd w:id="4"/>
          </w:p>
          <w:p w14:paraId="1DAFD24E" w14:textId="77777777" w:rsidR="00B27AB0" w:rsidRPr="00B27AB0" w:rsidRDefault="00B27AB0" w:rsidP="004D34B6">
            <w:pPr>
              <w:spacing w:before="100" w:beforeAutospacing="1" w:after="100" w:afterAutospacing="1"/>
              <w:jc w:val="left"/>
              <w:rPr>
                <w:rFonts w:ascii="Sylfaen" w:eastAsia="Calibri" w:hAnsi="Sylfaen" w:cs="Times New Roman"/>
                <w:color w:val="000000"/>
                <w:lang w:val="ka-GE"/>
              </w:rPr>
            </w:pPr>
            <w:r w:rsidRPr="00B27AB0">
              <w:rPr>
                <w:rFonts w:ascii="Sylfaen" w:eastAsia="Calibri" w:hAnsi="Sylfaen" w:cs="Times New Roman"/>
                <w:color w:val="000000"/>
                <w:lang w:val="ka-GE"/>
              </w:rPr>
              <w:t xml:space="preserve">2. </w:t>
            </w:r>
            <w:r w:rsidRPr="00B27AB0">
              <w:rPr>
                <w:rFonts w:ascii="Sylfaen" w:eastAsia="Calibri" w:hAnsi="Sylfaen" w:cs="Times New Roman"/>
                <w:color w:val="000000"/>
                <w:lang w:val="ka-GE"/>
              </w:rPr>
              <w:fldChar w:fldCharType="begin">
                <w:ffData>
                  <w:name w:val="Text10"/>
                  <w:enabled/>
                  <w:calcOnExit w:val="0"/>
                  <w:textInput/>
                </w:ffData>
              </w:fldChar>
            </w:r>
            <w:bookmarkStart w:id="5" w:name="Text10"/>
            <w:r w:rsidRPr="00B27AB0">
              <w:rPr>
                <w:rFonts w:ascii="Sylfaen" w:eastAsia="Calibri" w:hAnsi="Sylfaen" w:cs="Times New Roman"/>
                <w:color w:val="000000"/>
                <w:lang w:val="ka-GE"/>
              </w:rPr>
              <w:instrText xml:space="preserve"> FORMTEXT </w:instrText>
            </w:r>
            <w:r w:rsidRPr="00B27AB0">
              <w:rPr>
                <w:rFonts w:ascii="Sylfaen" w:eastAsia="Calibri" w:hAnsi="Sylfaen" w:cs="Times New Roman"/>
                <w:color w:val="000000"/>
                <w:lang w:val="ka-GE"/>
              </w:rPr>
            </w:r>
            <w:r w:rsidRPr="00B27AB0">
              <w:rPr>
                <w:rFonts w:ascii="Sylfaen" w:eastAsia="Calibri" w:hAnsi="Sylfaen" w:cs="Times New Roman"/>
                <w:color w:val="000000"/>
                <w:lang w:val="ka-GE"/>
              </w:rPr>
              <w:fldChar w:fldCharType="separate"/>
            </w:r>
            <w:r w:rsidRPr="00B27AB0">
              <w:rPr>
                <w:rFonts w:ascii="Sylfaen" w:eastAsia="Calibri" w:hAnsi="Sylfaen" w:cs="Times New Roman"/>
                <w:noProof/>
                <w:color w:val="000000"/>
                <w:lang w:val="ka-GE"/>
              </w:rPr>
              <w:t> </w:t>
            </w:r>
            <w:r w:rsidRPr="00B27AB0">
              <w:rPr>
                <w:rFonts w:ascii="Sylfaen" w:eastAsia="Calibri" w:hAnsi="Sylfaen" w:cs="Times New Roman"/>
                <w:noProof/>
                <w:color w:val="000000"/>
                <w:lang w:val="ka-GE"/>
              </w:rPr>
              <w:t> </w:t>
            </w:r>
            <w:r w:rsidRPr="00B27AB0">
              <w:rPr>
                <w:rFonts w:ascii="Sylfaen" w:eastAsia="Calibri" w:hAnsi="Sylfaen" w:cs="Times New Roman"/>
                <w:noProof/>
                <w:color w:val="000000"/>
                <w:lang w:val="ka-GE"/>
              </w:rPr>
              <w:t> </w:t>
            </w:r>
            <w:r w:rsidRPr="00B27AB0">
              <w:rPr>
                <w:rFonts w:ascii="Sylfaen" w:eastAsia="Calibri" w:hAnsi="Sylfaen" w:cs="Times New Roman"/>
                <w:noProof/>
                <w:color w:val="000000"/>
                <w:lang w:val="ka-GE"/>
              </w:rPr>
              <w:t> </w:t>
            </w:r>
            <w:r w:rsidRPr="00B27AB0">
              <w:rPr>
                <w:rFonts w:ascii="Sylfaen" w:eastAsia="Calibri" w:hAnsi="Sylfaen" w:cs="Times New Roman"/>
                <w:noProof/>
                <w:color w:val="000000"/>
                <w:lang w:val="ka-GE"/>
              </w:rPr>
              <w:t> </w:t>
            </w:r>
            <w:r w:rsidRPr="00B27AB0">
              <w:rPr>
                <w:rFonts w:ascii="Sylfaen" w:eastAsia="Calibri" w:hAnsi="Sylfaen" w:cs="Times New Roman"/>
                <w:color w:val="000000"/>
                <w:lang w:val="ka-GE"/>
              </w:rPr>
              <w:fldChar w:fldCharType="end"/>
            </w:r>
            <w:bookmarkEnd w:id="5"/>
          </w:p>
        </w:tc>
      </w:tr>
      <w:tr w:rsidR="00B27AB0" w:rsidRPr="00B27AB0" w14:paraId="572B1798" w14:textId="77777777" w:rsidTr="00FC75A0">
        <w:trPr>
          <w:trHeight w:val="423"/>
        </w:trPr>
        <w:tc>
          <w:tcPr>
            <w:tcW w:w="11016" w:type="dxa"/>
            <w:gridSpan w:val="2"/>
            <w:tcBorders>
              <w:top w:val="single" w:sz="4" w:space="0" w:color="auto"/>
              <w:bottom w:val="nil"/>
            </w:tcBorders>
          </w:tcPr>
          <w:p w14:paraId="5FDDB30E" w14:textId="77777777" w:rsidR="00B27AB0" w:rsidRPr="00B27AB0" w:rsidRDefault="00B27AB0" w:rsidP="004D34B6">
            <w:pPr>
              <w:spacing w:before="100" w:beforeAutospacing="1" w:after="100" w:afterAutospacing="1"/>
              <w:jc w:val="left"/>
              <w:rPr>
                <w:rFonts w:ascii="Calibri" w:eastAsia="Calibri" w:hAnsi="Calibri" w:cs="Times New Roman"/>
                <w:color w:val="000000"/>
              </w:rPr>
            </w:pPr>
          </w:p>
        </w:tc>
      </w:tr>
    </w:tbl>
    <w:p w14:paraId="2B35178F"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2ED58DA9"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51A85586"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41E5DA4F"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29F4E05E"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32503D8E"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4B564E65"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490A626A"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2E6E61AA"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5BA57279"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7525833D"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3B28C1F5"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p w14:paraId="25A5A527" w14:textId="77777777" w:rsidR="00B27AB0" w:rsidRPr="00B27AB0" w:rsidRDefault="00B27AB0" w:rsidP="004D34B6">
      <w:pPr>
        <w:spacing w:before="100" w:beforeAutospacing="1" w:after="100" w:afterAutospacing="1" w:line="276" w:lineRule="auto"/>
        <w:jc w:val="left"/>
        <w:rPr>
          <w:rFonts w:ascii="Sylfaen" w:eastAsia="Calibri" w:hAnsi="Sylfaen" w:cs="Times New Roma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327"/>
        <w:gridCol w:w="3463"/>
      </w:tblGrid>
      <w:tr w:rsidR="00B27AB0" w:rsidRPr="00B27AB0" w14:paraId="6CAE094C" w14:textId="77777777" w:rsidTr="00FC75A0">
        <w:trPr>
          <w:trHeight w:val="423"/>
        </w:trPr>
        <w:tc>
          <w:tcPr>
            <w:tcW w:w="7488" w:type="dxa"/>
          </w:tcPr>
          <w:p w14:paraId="5EBD9824" w14:textId="77777777" w:rsidR="00B27AB0" w:rsidRPr="00B27AB0" w:rsidRDefault="00B27AB0" w:rsidP="004D34B6">
            <w:pPr>
              <w:spacing w:before="100" w:beforeAutospacing="1" w:after="100" w:afterAutospacing="1"/>
              <w:jc w:val="left"/>
              <w:rPr>
                <w:rFonts w:ascii="Sylfaen" w:eastAsia="Calibri" w:hAnsi="Sylfaen" w:cs="Times New Roman"/>
                <w:color w:val="000000"/>
              </w:rPr>
            </w:pPr>
            <w:r w:rsidRPr="00B27AB0">
              <w:rPr>
                <w:rFonts w:ascii="Sylfaen" w:eastAsia="Calibri" w:hAnsi="Sylfaen" w:cs="Times New Roman"/>
                <w:color w:val="000000"/>
                <w:lang w:val="ka-GE"/>
              </w:rPr>
              <w:t>მოსაზრების ავტორის ხელმოწერა</w:t>
            </w:r>
            <w:r w:rsidRPr="00B27AB0">
              <w:rPr>
                <w:rFonts w:ascii="Calibri" w:eastAsia="Calibri" w:hAnsi="Calibri" w:cs="Times New Roman"/>
                <w:color w:val="000000"/>
                <w:lang w:val="ka-GE"/>
              </w:rPr>
              <w:t>:</w:t>
            </w:r>
            <w:r w:rsidRPr="00B27AB0">
              <w:rPr>
                <w:rFonts w:ascii="Sylfaen" w:eastAsia="Calibri" w:hAnsi="Sylfaen" w:cs="Times New Roman"/>
                <w:color w:val="000000"/>
                <w:lang w:val="ka-GE"/>
              </w:rPr>
              <w:t xml:space="preserve"> </w:t>
            </w:r>
          </w:p>
        </w:tc>
        <w:tc>
          <w:tcPr>
            <w:tcW w:w="3528" w:type="dxa"/>
          </w:tcPr>
          <w:p w14:paraId="2A828827" w14:textId="77777777" w:rsidR="00B27AB0" w:rsidRPr="00B27AB0" w:rsidRDefault="00B27AB0" w:rsidP="004D34B6">
            <w:pPr>
              <w:spacing w:before="100" w:beforeAutospacing="1" w:after="100" w:afterAutospacing="1"/>
              <w:jc w:val="left"/>
              <w:rPr>
                <w:rFonts w:ascii="Calibri" w:eastAsia="Calibri" w:hAnsi="Calibri" w:cs="Times New Roman"/>
                <w:color w:val="000000"/>
              </w:rPr>
            </w:pPr>
            <w:r w:rsidRPr="00B27AB0">
              <w:rPr>
                <w:rFonts w:ascii="Sylfaen" w:eastAsia="Calibri" w:hAnsi="Sylfaen" w:cs="Times New Roman"/>
                <w:color w:val="000000"/>
                <w:lang w:val="ka-GE"/>
              </w:rPr>
              <w:t>თარიღი:</w:t>
            </w:r>
          </w:p>
        </w:tc>
      </w:tr>
    </w:tbl>
    <w:p w14:paraId="6BA78D3C" w14:textId="77777777" w:rsidR="00B27AB0" w:rsidRPr="00B27AB0" w:rsidRDefault="00B27AB0" w:rsidP="00877E9D">
      <w:pPr>
        <w:spacing w:before="100" w:beforeAutospacing="1" w:after="100" w:afterAutospacing="1" w:line="276" w:lineRule="auto"/>
        <w:jc w:val="left"/>
        <w:rPr>
          <w:rFonts w:ascii="Sylfaen" w:eastAsia="Calibri" w:hAnsi="Sylfaen" w:cs="Times New Roman"/>
        </w:rPr>
      </w:pPr>
    </w:p>
    <w:sectPr w:rsidR="00B27AB0" w:rsidRPr="00B27AB0" w:rsidSect="007F70A8">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9CF9" w14:textId="77777777" w:rsidR="00750B44" w:rsidRDefault="00750B44" w:rsidP="00B27AB0">
      <w:r>
        <w:separator/>
      </w:r>
    </w:p>
  </w:endnote>
  <w:endnote w:type="continuationSeparator" w:id="0">
    <w:p w14:paraId="2B0B3FE6" w14:textId="77777777" w:rsidR="00750B44" w:rsidRDefault="00750B44" w:rsidP="00B2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ylfaen,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2717" w14:textId="77777777" w:rsidR="00750B44" w:rsidRDefault="00750B44" w:rsidP="00B27AB0">
      <w:r>
        <w:separator/>
      </w:r>
    </w:p>
  </w:footnote>
  <w:footnote w:type="continuationSeparator" w:id="0">
    <w:p w14:paraId="7758AA0F" w14:textId="77777777" w:rsidR="00750B44" w:rsidRDefault="00750B44" w:rsidP="00B27AB0">
      <w:r>
        <w:continuationSeparator/>
      </w:r>
    </w:p>
  </w:footnote>
  <w:footnote w:id="1">
    <w:p w14:paraId="0910BE9B" w14:textId="77777777" w:rsidR="00B27AB0" w:rsidRPr="00877E9D" w:rsidRDefault="00B27AB0" w:rsidP="00B27AB0">
      <w:pPr>
        <w:pStyle w:val="FootnoteText"/>
        <w:jc w:val="both"/>
        <w:rPr>
          <w:rFonts w:ascii="Sylfaen" w:hAnsi="Sylfaen"/>
          <w:sz w:val="18"/>
          <w:szCs w:val="18"/>
          <w:lang w:val="ka-GE"/>
        </w:rPr>
      </w:pPr>
      <w:r w:rsidRPr="00877E9D">
        <w:rPr>
          <w:rFonts w:ascii="Sylfaen" w:hAnsi="Sylfaen"/>
          <w:sz w:val="18"/>
          <w:szCs w:val="18"/>
          <w:lang w:val="ka-GE"/>
        </w:rPr>
        <w:t>შენიშვნა 1</w:t>
      </w:r>
      <w:r w:rsidRPr="00877E9D">
        <w:rPr>
          <w:rFonts w:ascii="Sylfaen" w:hAnsi="Sylfaen"/>
          <w:sz w:val="18"/>
          <w:szCs w:val="18"/>
        </w:rPr>
        <w:t xml:space="preserve"> - </w:t>
      </w:r>
      <w:r w:rsidRPr="00877E9D">
        <w:rPr>
          <w:rFonts w:ascii="Sylfaen" w:hAnsi="Sylfaen"/>
          <w:sz w:val="18"/>
          <w:szCs w:val="18"/>
          <w:lang w:val="ka-GE"/>
        </w:rPr>
        <w:t>ქვემოთ მოცემულ ველში უნდა მიეთითოს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საფუძველზეც სასამართლოსთვის ცხადი გახდება</w:t>
      </w:r>
      <w:r w:rsidRPr="00877E9D">
        <w:rPr>
          <w:rFonts w:ascii="Sylfaen" w:hAnsi="Sylfaen"/>
          <w:sz w:val="18"/>
          <w:szCs w:val="18"/>
        </w:rPr>
        <w:t>,</w:t>
      </w:r>
      <w:r w:rsidRPr="00877E9D">
        <w:rPr>
          <w:rFonts w:ascii="Sylfaen" w:hAnsi="Sylfaen"/>
          <w:sz w:val="18"/>
          <w:szCs w:val="18"/>
          <w:lang w:val="ka-GE"/>
        </w:rPr>
        <w:t xml:space="preserve"> თუ რომელ საქმესთან დაკავშირებითაა მომზადებული მოსაზრება.</w:t>
      </w:r>
    </w:p>
  </w:footnote>
  <w:footnote w:id="2">
    <w:p w14:paraId="626D0398" w14:textId="77777777" w:rsidR="00B27AB0" w:rsidRPr="00877E9D" w:rsidRDefault="00B27AB0" w:rsidP="00B27AB0">
      <w:pPr>
        <w:pStyle w:val="FootnoteText"/>
        <w:jc w:val="both"/>
        <w:rPr>
          <w:rFonts w:ascii="Sylfaen" w:hAnsi="Sylfaen"/>
          <w:sz w:val="18"/>
          <w:szCs w:val="18"/>
          <w:lang w:val="ka-GE"/>
        </w:rPr>
      </w:pPr>
      <w:r w:rsidRPr="00877E9D">
        <w:rPr>
          <w:rFonts w:ascii="Sylfaen" w:hAnsi="Sylfaen"/>
          <w:sz w:val="18"/>
          <w:szCs w:val="18"/>
          <w:lang w:val="ka-GE"/>
        </w:rPr>
        <w:t xml:space="preserve">შენიშვნა 2 - ქვემოთ მოცემულ ველში უნდა მიეთითოს „სასამართლოს მეგობრის“ 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p>
  </w:footnote>
  <w:footnote w:id="3">
    <w:p w14:paraId="0B2FBC68"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rPr>
        <w:footnoteRef/>
      </w:r>
      <w:r w:rsidRPr="00877E9D">
        <w:rPr>
          <w:rFonts w:ascii="Sylfaen" w:hAnsi="Sylfaen"/>
          <w:sz w:val="18"/>
          <w:szCs w:val="18"/>
          <w:lang w:val="ka-GE"/>
        </w:rPr>
        <w:t xml:space="preserve"> განმარტებითი ბარათი საქართველოს ორგანული კანონის პროექტზე „საქართველოს ორგანულ კანონში „საქართველოს საარჩევნო კოდექსი“ ცვლილების შეტანის შესახებ“, გვ. 1, ხელმისაწვდომია: &lt; </w:t>
      </w:r>
      <w:hyperlink r:id="rId1" w:history="1">
        <w:r w:rsidRPr="00877E9D">
          <w:rPr>
            <w:rStyle w:val="Hyperlink"/>
            <w:rFonts w:ascii="Sylfaen" w:hAnsi="Sylfaen"/>
            <w:sz w:val="18"/>
            <w:szCs w:val="18"/>
            <w:lang w:val="ka-GE"/>
          </w:rPr>
          <w:t>https://bit.ly/2W8RZjr</w:t>
        </w:r>
      </w:hyperlink>
      <w:r w:rsidRPr="00877E9D">
        <w:rPr>
          <w:rFonts w:ascii="Sylfaen" w:hAnsi="Sylfaen"/>
          <w:sz w:val="18"/>
          <w:szCs w:val="18"/>
          <w:lang w:val="ka-GE"/>
        </w:rPr>
        <w:t xml:space="preserve"> &gt;;</w:t>
      </w:r>
      <w:r w:rsidRPr="00877E9D">
        <w:rPr>
          <w:rFonts w:ascii="Sylfaen" w:hAnsi="Sylfaen" w:cs="Segoe UI Semilight"/>
          <w:sz w:val="18"/>
          <w:szCs w:val="18"/>
          <w:lang w:val="ka-GE"/>
        </w:rPr>
        <w:t xml:space="preserve">   </w:t>
      </w:r>
    </w:p>
  </w:footnote>
  <w:footnote w:id="4">
    <w:p w14:paraId="415BA19F"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rPr>
        <w:footnoteRef/>
      </w:r>
      <w:r w:rsidRPr="00877E9D">
        <w:rPr>
          <w:rFonts w:ascii="Sylfaen" w:hAnsi="Sylfaen"/>
          <w:sz w:val="18"/>
          <w:szCs w:val="18"/>
          <w:lang w:val="ka-GE"/>
        </w:rPr>
        <w:t xml:space="preserve"> საქართველოს ორგანული კანონის „საქართველოს საარჩევნო კოდექსის“ მე-7 მუხლის მე-3 ნაწილი;</w:t>
      </w:r>
    </w:p>
  </w:footnote>
  <w:footnote w:id="5">
    <w:p w14:paraId="7354214F"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rPr>
        <w:footnoteRef/>
      </w:r>
      <w:r w:rsidRPr="00877E9D">
        <w:rPr>
          <w:rFonts w:ascii="Sylfaen" w:hAnsi="Sylfaen"/>
          <w:sz w:val="18"/>
          <w:szCs w:val="18"/>
          <w:lang w:val="ka-GE"/>
        </w:rPr>
        <w:t xml:space="preserve">  საქართველოს ორგანული კანონის „საქართველოს საარჩევნო კოდექსის“ მე-10 მუხლის პირველი ნაწილი;</w:t>
      </w:r>
    </w:p>
  </w:footnote>
  <w:footnote w:id="6">
    <w:p w14:paraId="7D8EB7A6"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rPr>
        <w:footnoteRef/>
      </w:r>
      <w:r w:rsidRPr="00877E9D">
        <w:rPr>
          <w:rFonts w:ascii="Sylfaen" w:hAnsi="Sylfaen"/>
          <w:sz w:val="18"/>
          <w:szCs w:val="18"/>
          <w:lang w:val="ka-GE"/>
        </w:rPr>
        <w:t xml:space="preserve"> საქართველოს ორგანული კანონის „საქართველოს საარჩევნო კოდექსის“ მე-13 მუხლის პირველი ნაწილი;</w:t>
      </w:r>
    </w:p>
  </w:footnote>
  <w:footnote w:id="7">
    <w:p w14:paraId="6728677E"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rPr>
        <w:footnoteRef/>
      </w:r>
      <w:r w:rsidRPr="00877E9D">
        <w:rPr>
          <w:rFonts w:ascii="Sylfaen" w:hAnsi="Sylfaen"/>
          <w:sz w:val="18"/>
          <w:szCs w:val="18"/>
          <w:lang w:val="ka-GE"/>
        </w:rPr>
        <w:t xml:space="preserve"> საქართველოს ორგანული კანონის „საქართველოს საარჩევნო კოდექსის“ 125-ე მუხლის მე-4, მე-5 და მე-9 ნაწილი;</w:t>
      </w:r>
    </w:p>
  </w:footnote>
  <w:footnote w:id="8">
    <w:p w14:paraId="14174749"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rPr>
        <w:footnoteRef/>
      </w:r>
      <w:r w:rsidRPr="00877E9D">
        <w:rPr>
          <w:rFonts w:ascii="Sylfaen" w:hAnsi="Sylfaen"/>
          <w:sz w:val="18"/>
          <w:szCs w:val="18"/>
          <w:lang w:val="ka-GE"/>
        </w:rPr>
        <w:t xml:space="preserve"> საქართველოს ორგანული კანონის „საქართველოს საარჩევნო კოდექსის“ 196</w:t>
      </w:r>
      <w:r w:rsidRPr="00877E9D">
        <w:rPr>
          <w:rFonts w:ascii="Sylfaen" w:hAnsi="Sylfaen"/>
          <w:sz w:val="18"/>
          <w:szCs w:val="18"/>
          <w:vertAlign w:val="superscript"/>
          <w:lang w:val="ka-GE"/>
        </w:rPr>
        <w:t>1</w:t>
      </w:r>
      <w:r w:rsidRPr="00877E9D">
        <w:rPr>
          <w:rFonts w:ascii="Sylfaen" w:hAnsi="Sylfaen"/>
          <w:sz w:val="18"/>
          <w:szCs w:val="18"/>
          <w:lang w:val="ka-GE"/>
        </w:rPr>
        <w:t>-ე მუხლის პირველი ნაწილი;</w:t>
      </w:r>
    </w:p>
  </w:footnote>
  <w:footnote w:id="9">
    <w:p w14:paraId="5C166E52"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rPr>
        <w:footnoteRef/>
      </w:r>
      <w:r w:rsidRPr="00877E9D">
        <w:rPr>
          <w:rFonts w:ascii="Sylfaen" w:hAnsi="Sylfaen"/>
          <w:sz w:val="18"/>
          <w:szCs w:val="18"/>
          <w:lang w:val="ka-GE"/>
        </w:rPr>
        <w:t xml:space="preserve"> საქართველოს პარლამენტის რეგლამენტის 224-ე მუხლის მე-10 პუნქტის შესაბამისად, თუ პარლამენტის წევრი არ არის არცერთი კომიტეტის შემადგენლობაში, ითვლება, რომ იგი არ ახორციელებს პარლამენტის წევრის უფლებამოსილებას;</w:t>
      </w:r>
    </w:p>
  </w:footnote>
  <w:footnote w:id="10">
    <w:p w14:paraId="63931F78"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rPr>
        <w:footnoteRef/>
      </w:r>
      <w:r w:rsidRPr="00877E9D">
        <w:rPr>
          <w:rFonts w:ascii="Sylfaen" w:hAnsi="Sylfaen"/>
          <w:sz w:val="18"/>
          <w:szCs w:val="18"/>
          <w:lang w:val="ka-GE"/>
        </w:rPr>
        <w:t xml:space="preserve"> „საქართველოს ორგანულ კანონში „საქართველოს საარჩევნო კოდექსი“ ცვლილების შეტანის შესახებ“ საქართველოს ორგანული კანონის პროექტის მე-2 მოსმენით განხილვის 2020 წლის 24 ივნისის აუდიო-ჩანაწერი, ნაწილი 5, ხელმისაწვდომია: &lt; </w:t>
      </w:r>
      <w:hyperlink r:id="rId2" w:history="1">
        <w:r w:rsidRPr="00877E9D">
          <w:rPr>
            <w:rStyle w:val="Hyperlink"/>
            <w:rFonts w:ascii="Sylfaen" w:hAnsi="Sylfaen"/>
            <w:sz w:val="18"/>
            <w:szCs w:val="18"/>
            <w:lang w:val="ka-GE"/>
          </w:rPr>
          <w:t>https://bit.ly/3miTfLr</w:t>
        </w:r>
      </w:hyperlink>
      <w:r w:rsidRPr="00877E9D">
        <w:rPr>
          <w:rFonts w:ascii="Sylfaen" w:hAnsi="Sylfaen"/>
          <w:sz w:val="18"/>
          <w:szCs w:val="18"/>
          <w:lang w:val="ka-GE"/>
        </w:rPr>
        <w:t xml:space="preserve"> &gt;;</w:t>
      </w:r>
      <w:r w:rsidRPr="00877E9D">
        <w:rPr>
          <w:rFonts w:ascii="Sylfaen" w:hAnsi="Sylfaen" w:cs="Segoe UI Semilight"/>
          <w:sz w:val="18"/>
          <w:szCs w:val="18"/>
          <w:lang w:val="ka-GE"/>
        </w:rPr>
        <w:t xml:space="preserve">   </w:t>
      </w:r>
    </w:p>
  </w:footnote>
  <w:footnote w:id="11">
    <w:p w14:paraId="1E2B3D13"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rPr>
        <w:footnoteRef/>
      </w:r>
      <w:r w:rsidRPr="00877E9D">
        <w:rPr>
          <w:rFonts w:ascii="Sylfaen" w:hAnsi="Sylfaen"/>
          <w:sz w:val="18"/>
          <w:szCs w:val="18"/>
          <w:lang w:val="ka-GE"/>
        </w:rPr>
        <w:t xml:space="preserve"> საქართველოს ორგანული კანონის „საქართველოს საარჩევნო კოდექსის“ მე-13 მუხლის პირველი ნაწილი;</w:t>
      </w:r>
    </w:p>
  </w:footnote>
  <w:footnote w:id="12">
    <w:p w14:paraId="7BD2CCC1"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rPr>
        <w:footnoteRef/>
      </w:r>
      <w:r w:rsidRPr="00877E9D">
        <w:rPr>
          <w:rFonts w:ascii="Sylfaen" w:hAnsi="Sylfaen"/>
          <w:sz w:val="18"/>
          <w:szCs w:val="18"/>
          <w:lang w:val="ka-GE"/>
        </w:rPr>
        <w:t xml:space="preserve"> საქართველოს ორგანული კანონის „საქართველოს საარჩევნო კოდექსის“ 186-ე მუხლის მე-2 ნაწილი;</w:t>
      </w:r>
    </w:p>
  </w:footnote>
  <w:footnote w:id="13">
    <w:p w14:paraId="6105F38F"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rPr>
        <w:footnoteRef/>
      </w:r>
      <w:r w:rsidRPr="00877E9D">
        <w:rPr>
          <w:rFonts w:ascii="Sylfaen" w:hAnsi="Sylfaen"/>
          <w:sz w:val="18"/>
          <w:szCs w:val="18"/>
          <w:lang w:val="ka-GE"/>
        </w:rPr>
        <w:t xml:space="preserve"> </w:t>
      </w:r>
      <w:proofErr w:type="spellStart"/>
      <w:r w:rsidRPr="00877E9D">
        <w:rPr>
          <w:rFonts w:ascii="Sylfaen" w:hAnsi="Sylfaen"/>
          <w:sz w:val="18"/>
          <w:szCs w:val="18"/>
          <w:lang w:val="ka-GE"/>
        </w:rPr>
        <w:t>Venice</w:t>
      </w:r>
      <w:proofErr w:type="spellEnd"/>
      <w:r w:rsidRPr="00877E9D">
        <w:rPr>
          <w:rFonts w:ascii="Sylfaen" w:hAnsi="Sylfaen"/>
          <w:sz w:val="18"/>
          <w:szCs w:val="18"/>
          <w:lang w:val="ka-GE"/>
        </w:rPr>
        <w:t xml:space="preserve"> </w:t>
      </w:r>
      <w:proofErr w:type="spellStart"/>
      <w:r w:rsidRPr="00877E9D">
        <w:rPr>
          <w:rFonts w:ascii="Sylfaen" w:hAnsi="Sylfaen"/>
          <w:sz w:val="18"/>
          <w:szCs w:val="18"/>
          <w:lang w:val="ka-GE"/>
        </w:rPr>
        <w:t>Commission</w:t>
      </w:r>
      <w:proofErr w:type="spellEnd"/>
      <w:r w:rsidRPr="00877E9D">
        <w:rPr>
          <w:rFonts w:ascii="Sylfaen" w:hAnsi="Sylfaen"/>
          <w:sz w:val="18"/>
          <w:szCs w:val="18"/>
          <w:lang w:val="ka-GE"/>
        </w:rPr>
        <w:t xml:space="preserve"> </w:t>
      </w:r>
      <w:proofErr w:type="spellStart"/>
      <w:r w:rsidRPr="00877E9D">
        <w:rPr>
          <w:rFonts w:ascii="Sylfaen" w:hAnsi="Sylfaen"/>
          <w:sz w:val="18"/>
          <w:szCs w:val="18"/>
          <w:lang w:val="ka-GE"/>
        </w:rPr>
        <w:t>Urgent</w:t>
      </w:r>
      <w:proofErr w:type="spellEnd"/>
      <w:r w:rsidRPr="00877E9D">
        <w:rPr>
          <w:rFonts w:ascii="Sylfaen" w:hAnsi="Sylfaen"/>
          <w:sz w:val="18"/>
          <w:szCs w:val="18"/>
          <w:lang w:val="ka-GE"/>
        </w:rPr>
        <w:t xml:space="preserve"> </w:t>
      </w:r>
      <w:proofErr w:type="spellStart"/>
      <w:r w:rsidRPr="00877E9D">
        <w:rPr>
          <w:rFonts w:ascii="Sylfaen" w:hAnsi="Sylfaen"/>
          <w:sz w:val="18"/>
          <w:szCs w:val="18"/>
          <w:lang w:val="ka-GE"/>
        </w:rPr>
        <w:t>Joint</w:t>
      </w:r>
      <w:proofErr w:type="spellEnd"/>
      <w:r w:rsidRPr="00877E9D">
        <w:rPr>
          <w:rFonts w:ascii="Sylfaen" w:hAnsi="Sylfaen"/>
          <w:sz w:val="18"/>
          <w:szCs w:val="18"/>
          <w:lang w:val="ka-GE"/>
        </w:rPr>
        <w:t xml:space="preserve"> </w:t>
      </w:r>
      <w:proofErr w:type="spellStart"/>
      <w:r w:rsidRPr="00877E9D">
        <w:rPr>
          <w:rFonts w:ascii="Sylfaen" w:hAnsi="Sylfaen"/>
          <w:sz w:val="18"/>
          <w:szCs w:val="18"/>
          <w:lang w:val="ka-GE"/>
        </w:rPr>
        <w:t>Opinion</w:t>
      </w:r>
      <w:proofErr w:type="spellEnd"/>
      <w:r w:rsidRPr="00877E9D">
        <w:rPr>
          <w:rFonts w:ascii="Sylfaen" w:hAnsi="Sylfaen"/>
          <w:sz w:val="18"/>
          <w:szCs w:val="18"/>
          <w:lang w:val="ka-GE"/>
        </w:rPr>
        <w:t xml:space="preserve"> </w:t>
      </w:r>
      <w:proofErr w:type="spellStart"/>
      <w:r w:rsidRPr="00877E9D">
        <w:rPr>
          <w:rFonts w:ascii="Sylfaen" w:hAnsi="Sylfaen"/>
          <w:sz w:val="18"/>
          <w:szCs w:val="18"/>
          <w:lang w:val="ka-GE"/>
        </w:rPr>
        <w:t>on</w:t>
      </w:r>
      <w:proofErr w:type="spellEnd"/>
      <w:r w:rsidRPr="00877E9D">
        <w:rPr>
          <w:rFonts w:ascii="Sylfaen" w:hAnsi="Sylfaen"/>
          <w:sz w:val="18"/>
          <w:szCs w:val="18"/>
          <w:lang w:val="ka-GE"/>
        </w:rPr>
        <w:t xml:space="preserve"> </w:t>
      </w:r>
      <w:proofErr w:type="spellStart"/>
      <w:r w:rsidRPr="00877E9D">
        <w:rPr>
          <w:rFonts w:ascii="Sylfaen" w:hAnsi="Sylfaen"/>
          <w:sz w:val="18"/>
          <w:szCs w:val="18"/>
          <w:lang w:val="ka-GE"/>
        </w:rPr>
        <w:t>revised</w:t>
      </w:r>
      <w:proofErr w:type="spellEnd"/>
      <w:r w:rsidRPr="00877E9D">
        <w:rPr>
          <w:rFonts w:ascii="Sylfaen" w:hAnsi="Sylfaen"/>
          <w:sz w:val="18"/>
          <w:szCs w:val="18"/>
          <w:lang w:val="ka-GE"/>
        </w:rPr>
        <w:t xml:space="preserve"> </w:t>
      </w:r>
      <w:proofErr w:type="spellStart"/>
      <w:r w:rsidRPr="00877E9D">
        <w:rPr>
          <w:rFonts w:ascii="Sylfaen" w:hAnsi="Sylfaen"/>
          <w:sz w:val="18"/>
          <w:szCs w:val="18"/>
          <w:lang w:val="ka-GE"/>
        </w:rPr>
        <w:t>draft</w:t>
      </w:r>
      <w:proofErr w:type="spellEnd"/>
      <w:r w:rsidRPr="00877E9D">
        <w:rPr>
          <w:rFonts w:ascii="Sylfaen" w:hAnsi="Sylfaen"/>
          <w:sz w:val="18"/>
          <w:szCs w:val="18"/>
          <w:lang w:val="ka-GE"/>
        </w:rPr>
        <w:t xml:space="preserve"> </w:t>
      </w:r>
      <w:proofErr w:type="spellStart"/>
      <w:r w:rsidRPr="00877E9D">
        <w:rPr>
          <w:rFonts w:ascii="Sylfaen" w:hAnsi="Sylfaen"/>
          <w:sz w:val="18"/>
          <w:szCs w:val="18"/>
          <w:lang w:val="ka-GE"/>
        </w:rPr>
        <w:t>amendments</w:t>
      </w:r>
      <w:proofErr w:type="spellEnd"/>
      <w:r w:rsidRPr="00877E9D">
        <w:rPr>
          <w:rFonts w:ascii="Sylfaen" w:hAnsi="Sylfaen"/>
          <w:sz w:val="18"/>
          <w:szCs w:val="18"/>
          <w:lang w:val="ka-GE"/>
        </w:rPr>
        <w:t xml:space="preserve"> </w:t>
      </w:r>
      <w:proofErr w:type="spellStart"/>
      <w:r w:rsidRPr="00877E9D">
        <w:rPr>
          <w:rFonts w:ascii="Sylfaen" w:hAnsi="Sylfaen"/>
          <w:sz w:val="18"/>
          <w:szCs w:val="18"/>
          <w:lang w:val="ka-GE"/>
        </w:rPr>
        <w:t>to</w:t>
      </w:r>
      <w:proofErr w:type="spellEnd"/>
      <w:r w:rsidRPr="00877E9D">
        <w:rPr>
          <w:rFonts w:ascii="Sylfaen" w:hAnsi="Sylfaen"/>
          <w:sz w:val="18"/>
          <w:szCs w:val="18"/>
          <w:lang w:val="ka-GE"/>
        </w:rPr>
        <w:t xml:space="preserve"> </w:t>
      </w:r>
      <w:proofErr w:type="spellStart"/>
      <w:r w:rsidRPr="00877E9D">
        <w:rPr>
          <w:rFonts w:ascii="Sylfaen" w:hAnsi="Sylfaen"/>
          <w:sz w:val="18"/>
          <w:szCs w:val="18"/>
          <w:lang w:val="ka-GE"/>
        </w:rPr>
        <w:t>the</w:t>
      </w:r>
      <w:proofErr w:type="spellEnd"/>
      <w:r w:rsidRPr="00877E9D">
        <w:rPr>
          <w:rFonts w:ascii="Sylfaen" w:hAnsi="Sylfaen"/>
          <w:sz w:val="18"/>
          <w:szCs w:val="18"/>
          <w:lang w:val="ka-GE"/>
        </w:rPr>
        <w:t xml:space="preserve"> </w:t>
      </w:r>
      <w:proofErr w:type="spellStart"/>
      <w:r w:rsidRPr="00877E9D">
        <w:rPr>
          <w:rFonts w:ascii="Sylfaen" w:hAnsi="Sylfaen"/>
          <w:sz w:val="18"/>
          <w:szCs w:val="18"/>
          <w:lang w:val="ka-GE"/>
        </w:rPr>
        <w:t>Election</w:t>
      </w:r>
      <w:proofErr w:type="spellEnd"/>
      <w:r w:rsidRPr="00877E9D">
        <w:rPr>
          <w:rFonts w:ascii="Sylfaen" w:hAnsi="Sylfaen"/>
          <w:sz w:val="18"/>
          <w:szCs w:val="18"/>
          <w:lang w:val="ka-GE"/>
        </w:rPr>
        <w:t xml:space="preserve"> </w:t>
      </w:r>
      <w:proofErr w:type="spellStart"/>
      <w:r w:rsidRPr="00877E9D">
        <w:rPr>
          <w:rFonts w:ascii="Sylfaen" w:hAnsi="Sylfaen"/>
          <w:sz w:val="18"/>
          <w:szCs w:val="18"/>
          <w:lang w:val="ka-GE"/>
        </w:rPr>
        <w:t>Code</w:t>
      </w:r>
      <w:proofErr w:type="spellEnd"/>
      <w:r w:rsidRPr="00877E9D">
        <w:rPr>
          <w:rFonts w:ascii="Sylfaen" w:hAnsi="Sylfaen"/>
          <w:sz w:val="18"/>
          <w:szCs w:val="18"/>
          <w:lang w:val="ka-GE"/>
        </w:rPr>
        <w:t xml:space="preserve">, CDL-AD(2021)026, § 26, ხელმისაწვდომია: &lt; </w:t>
      </w:r>
      <w:hyperlink r:id="rId3" w:history="1">
        <w:r w:rsidRPr="00877E9D">
          <w:rPr>
            <w:rStyle w:val="Hyperlink"/>
            <w:rFonts w:ascii="Sylfaen" w:hAnsi="Sylfaen"/>
            <w:sz w:val="18"/>
            <w:szCs w:val="18"/>
            <w:lang w:val="ka-GE"/>
          </w:rPr>
          <w:t>https://bit.ly/2W9vWsH</w:t>
        </w:r>
      </w:hyperlink>
      <w:r w:rsidRPr="00877E9D">
        <w:rPr>
          <w:rFonts w:ascii="Sylfaen" w:hAnsi="Sylfaen"/>
          <w:sz w:val="18"/>
          <w:szCs w:val="18"/>
          <w:lang w:val="ka-GE"/>
        </w:rPr>
        <w:t xml:space="preserve"> &gt;;</w:t>
      </w:r>
      <w:r w:rsidRPr="00877E9D">
        <w:rPr>
          <w:rFonts w:ascii="Sylfaen" w:hAnsi="Sylfaen" w:cs="Segoe UI Semilight"/>
          <w:sz w:val="18"/>
          <w:szCs w:val="18"/>
          <w:lang w:val="ka-GE"/>
        </w:rPr>
        <w:t xml:space="preserve">   </w:t>
      </w:r>
    </w:p>
  </w:footnote>
  <w:footnote w:id="14">
    <w:p w14:paraId="3C5DA112"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lang w:val="ka-GE"/>
        </w:rPr>
        <w:footnoteRef/>
      </w:r>
      <w:r w:rsidRPr="00877E9D">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1;</w:t>
      </w:r>
    </w:p>
  </w:footnote>
  <w:footnote w:id="15">
    <w:p w14:paraId="6EF90D7F"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lang w:val="ka-GE"/>
        </w:rPr>
        <w:footnoteRef/>
      </w:r>
      <w:r w:rsidRPr="00877E9D">
        <w:rPr>
          <w:rFonts w:ascii="Sylfaen" w:hAnsi="Sylfaen"/>
          <w:sz w:val="18"/>
          <w:szCs w:val="18"/>
          <w:lang w:val="ka-GE"/>
        </w:rPr>
        <w:t xml:space="preserve"> საქართველოს საკონსტიტუციო სასამართლოს 2013 წლის 11 ივნისის №1/3/534 გადაწყვეტილება, II. პ. 3;</w:t>
      </w:r>
    </w:p>
  </w:footnote>
  <w:footnote w:id="16">
    <w:p w14:paraId="6387B8CC"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lang w:val="ka-GE"/>
        </w:rPr>
        <w:footnoteRef/>
      </w:r>
      <w:r w:rsidRPr="00877E9D">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1;</w:t>
      </w:r>
    </w:p>
  </w:footnote>
  <w:footnote w:id="17">
    <w:p w14:paraId="68C94718"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rPr>
        <w:footnoteRef/>
      </w:r>
      <w:r w:rsidRPr="00877E9D">
        <w:rPr>
          <w:rFonts w:ascii="Sylfaen" w:hAnsi="Sylfaen"/>
          <w:sz w:val="18"/>
          <w:szCs w:val="18"/>
          <w:lang w:val="ka-GE"/>
        </w:rPr>
        <w:t xml:space="preserve"> </w:t>
      </w:r>
      <w:r w:rsidRPr="00877E9D">
        <w:rPr>
          <w:rFonts w:ascii="Sylfaen" w:hAnsi="Sylfaen" w:cs="Sylfaen"/>
          <w:sz w:val="18"/>
          <w:szCs w:val="18"/>
          <w:lang w:val="ka-GE"/>
        </w:rPr>
        <w:t>საქართველოს კონსტიტუციის 34-ე მულის პირველი პუნქტი;</w:t>
      </w:r>
    </w:p>
  </w:footnote>
  <w:footnote w:id="18">
    <w:p w14:paraId="0CB94D85"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lang w:val="ka-GE"/>
        </w:rPr>
        <w:footnoteRef/>
      </w:r>
      <w:r w:rsidRPr="00877E9D">
        <w:rPr>
          <w:rFonts w:ascii="Sylfaen" w:hAnsi="Sylfaen"/>
          <w:sz w:val="18"/>
          <w:szCs w:val="18"/>
          <w:lang w:val="ka-GE"/>
        </w:rPr>
        <w:t xml:space="preserve"> საქართველოს საკონსტიტუციო სასამართლოს 2014 წლის 4 თებერვლის №2/1/536 გადაწყვეტილება, II. პ. 10;</w:t>
      </w:r>
    </w:p>
  </w:footnote>
  <w:footnote w:id="19">
    <w:p w14:paraId="3BDFAD13"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rPr>
        <w:footnoteRef/>
      </w:r>
      <w:r w:rsidRPr="00877E9D">
        <w:rPr>
          <w:rFonts w:ascii="Sylfaen" w:hAnsi="Sylfaen"/>
          <w:sz w:val="18"/>
          <w:szCs w:val="18"/>
          <w:lang w:val="ka-GE"/>
        </w:rPr>
        <w:t xml:space="preserve"> საქართველოს საკონსტიტუციო სასამართლოს 2014 წლის 4 თებერვლის №2/1/536 გადაწყვეტილება, II. პ. 17;</w:t>
      </w:r>
    </w:p>
  </w:footnote>
  <w:footnote w:id="20">
    <w:p w14:paraId="0EFF8FDE" w14:textId="77777777" w:rsidR="00B27AB0" w:rsidRPr="00877E9D" w:rsidRDefault="00B27AB0" w:rsidP="00B27AB0">
      <w:pPr>
        <w:autoSpaceDE w:val="0"/>
        <w:autoSpaceDN w:val="0"/>
        <w:adjustRightInd w:val="0"/>
        <w:jc w:val="both"/>
        <w:rPr>
          <w:rFonts w:ascii="Sylfaen" w:hAnsi="Sylfaen"/>
          <w:sz w:val="18"/>
          <w:szCs w:val="18"/>
          <w:lang w:val="ka-GE"/>
        </w:rPr>
      </w:pPr>
      <w:r w:rsidRPr="00877E9D">
        <w:rPr>
          <w:rStyle w:val="FootnoteReference"/>
          <w:rFonts w:ascii="Sylfaen" w:hAnsi="Sylfaen"/>
          <w:sz w:val="18"/>
          <w:szCs w:val="18"/>
        </w:rPr>
        <w:footnoteRef/>
      </w:r>
      <w:r w:rsidRPr="00877E9D">
        <w:rPr>
          <w:rFonts w:ascii="Sylfaen" w:hAnsi="Sylfaen"/>
          <w:sz w:val="18"/>
          <w:szCs w:val="18"/>
          <w:lang w:val="ka-GE"/>
        </w:rPr>
        <w:t xml:space="preserve"> </w:t>
      </w:r>
      <w:r w:rsidRPr="00877E9D">
        <w:rPr>
          <w:rFonts w:ascii="Sylfaen" w:hAnsi="Sylfaen" w:cs="Sylfaen"/>
          <w:sz w:val="18"/>
          <w:szCs w:val="18"/>
        </w:rPr>
        <w:t xml:space="preserve">ECtHR, </w:t>
      </w:r>
      <w:proofErr w:type="spellStart"/>
      <w:r w:rsidRPr="00877E9D">
        <w:rPr>
          <w:rFonts w:ascii="Sylfaen" w:hAnsi="Sylfaen" w:cs="Sylfaen,Italic"/>
          <w:iCs/>
          <w:sz w:val="18"/>
          <w:szCs w:val="18"/>
        </w:rPr>
        <w:t>Eweida</w:t>
      </w:r>
      <w:proofErr w:type="spellEnd"/>
      <w:r w:rsidRPr="00877E9D">
        <w:rPr>
          <w:rFonts w:ascii="Sylfaen" w:hAnsi="Sylfaen" w:cs="Sylfaen,Italic"/>
          <w:iCs/>
          <w:sz w:val="18"/>
          <w:szCs w:val="18"/>
        </w:rPr>
        <w:t xml:space="preserve"> and others v. United Kingdom </w:t>
      </w:r>
      <w:r w:rsidRPr="00877E9D">
        <w:rPr>
          <w:rFonts w:ascii="Sylfaen" w:hAnsi="Sylfaen" w:cs="Sylfaen"/>
          <w:sz w:val="18"/>
          <w:szCs w:val="18"/>
        </w:rPr>
        <w:t xml:space="preserve">, nos. 48420/10, 59842/10, 51671/10, 36516/10, 15/01/2013, § 87-88; </w:t>
      </w:r>
      <w:r w:rsidRPr="00877E9D">
        <w:rPr>
          <w:rFonts w:ascii="Sylfaen" w:hAnsi="Sylfaen" w:cs="Sylfaen,Italic"/>
          <w:iCs/>
          <w:sz w:val="18"/>
          <w:szCs w:val="18"/>
        </w:rPr>
        <w:t xml:space="preserve">Burden v. United Kingdom, </w:t>
      </w:r>
      <w:r w:rsidRPr="00877E9D">
        <w:rPr>
          <w:rFonts w:ascii="Sylfaen" w:hAnsi="Sylfaen" w:cs="Sylfaen"/>
          <w:sz w:val="18"/>
          <w:szCs w:val="18"/>
        </w:rPr>
        <w:t>nos. 13378/05, 29/04/2008, 29/04/2008, § 60;</w:t>
      </w:r>
    </w:p>
  </w:footnote>
  <w:footnote w:id="21">
    <w:p w14:paraId="7D3EE294"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lang w:val="ka-GE"/>
        </w:rPr>
        <w:footnoteRef/>
      </w:r>
      <w:r w:rsidRPr="00877E9D">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3;</w:t>
      </w:r>
    </w:p>
  </w:footnote>
  <w:footnote w:id="22">
    <w:p w14:paraId="70874B0A"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lang w:val="ka-GE"/>
        </w:rPr>
        <w:footnoteRef/>
      </w:r>
      <w:r w:rsidRPr="00877E9D">
        <w:rPr>
          <w:rFonts w:ascii="Sylfaen" w:hAnsi="Sylfaen"/>
          <w:sz w:val="18"/>
          <w:szCs w:val="18"/>
          <w:lang w:val="ka-GE"/>
        </w:rPr>
        <w:t xml:space="preserve"> იქვე, II. პ. 5;</w:t>
      </w:r>
    </w:p>
  </w:footnote>
  <w:footnote w:id="23">
    <w:p w14:paraId="1156A177"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rPr>
        <w:footnoteRef/>
      </w:r>
      <w:r w:rsidRPr="00877E9D">
        <w:rPr>
          <w:rFonts w:ascii="Sylfaen" w:hAnsi="Sylfaen"/>
          <w:sz w:val="18"/>
          <w:szCs w:val="18"/>
          <w:lang w:val="ka-GE"/>
        </w:rPr>
        <w:t xml:space="preserve"> საქართველოს საკონსტიტუციო სასამართლოს 2013 წლის 11 ივნისის №1/3/534 გადაწყვეტილება, II. პ. 25;</w:t>
      </w:r>
    </w:p>
  </w:footnote>
  <w:footnote w:id="24">
    <w:p w14:paraId="437D1C2F"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lang w:val="ka-GE"/>
        </w:rPr>
        <w:footnoteRef/>
      </w:r>
      <w:r w:rsidRPr="00877E9D">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II. პ. 115;</w:t>
      </w:r>
    </w:p>
  </w:footnote>
  <w:footnote w:id="25">
    <w:p w14:paraId="31AF1BA1" w14:textId="77777777" w:rsidR="00B27AB0" w:rsidRPr="00877E9D" w:rsidRDefault="00B27AB0" w:rsidP="00B27AB0">
      <w:pPr>
        <w:pStyle w:val="FootnoteText"/>
        <w:jc w:val="both"/>
        <w:rPr>
          <w:rFonts w:ascii="Sylfaen" w:hAnsi="Sylfaen"/>
          <w:sz w:val="18"/>
          <w:szCs w:val="18"/>
          <w:lang w:val="ka-GE"/>
        </w:rPr>
      </w:pPr>
      <w:r w:rsidRPr="00877E9D">
        <w:rPr>
          <w:rStyle w:val="FootnoteReference"/>
          <w:rFonts w:ascii="Sylfaen" w:hAnsi="Sylfaen"/>
          <w:sz w:val="18"/>
          <w:szCs w:val="18"/>
          <w:lang w:val="ka-GE"/>
        </w:rPr>
        <w:footnoteRef/>
      </w:r>
      <w:r w:rsidRPr="00877E9D">
        <w:rPr>
          <w:rFonts w:ascii="Sylfaen" w:hAnsi="Sylfaen"/>
          <w:sz w:val="18"/>
          <w:szCs w:val="18"/>
          <w:lang w:val="ka-GE"/>
        </w:rPr>
        <w:t xml:space="preserve"> იქვე, II. პ. 117;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911FF"/>
    <w:multiLevelType w:val="hybridMultilevel"/>
    <w:tmpl w:val="02024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B0"/>
    <w:rsid w:val="003637C2"/>
    <w:rsid w:val="004D34B6"/>
    <w:rsid w:val="007126B3"/>
    <w:rsid w:val="00714C2A"/>
    <w:rsid w:val="00750B44"/>
    <w:rsid w:val="00877E9D"/>
    <w:rsid w:val="008845D1"/>
    <w:rsid w:val="00920A25"/>
    <w:rsid w:val="009221FF"/>
    <w:rsid w:val="00B27AB0"/>
    <w:rsid w:val="00B57D7A"/>
    <w:rsid w:val="00D56142"/>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2D2A"/>
  <w15:chartTrackingRefBased/>
  <w15:docId w15:val="{F2241B02-108A-4EC8-AEB4-D422B3F9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27AB0"/>
    <w:rPr>
      <w:color w:val="0000FF"/>
      <w:u w:val="single"/>
    </w:rPr>
  </w:style>
  <w:style w:type="paragraph" w:styleId="FootnoteText">
    <w:name w:val="footnote text"/>
    <w:basedOn w:val="Normal"/>
    <w:link w:val="FootnoteTextChar"/>
    <w:uiPriority w:val="99"/>
    <w:semiHidden/>
    <w:unhideWhenUsed/>
    <w:rsid w:val="00B27AB0"/>
    <w:pPr>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27AB0"/>
    <w:rPr>
      <w:rFonts w:ascii="Calibri" w:eastAsia="Calibri" w:hAnsi="Calibri" w:cs="Times New Roman"/>
      <w:sz w:val="20"/>
      <w:szCs w:val="20"/>
    </w:rPr>
  </w:style>
  <w:style w:type="character" w:styleId="FootnoteReference">
    <w:name w:val="footnote reference"/>
    <w:uiPriority w:val="99"/>
    <w:semiHidden/>
    <w:unhideWhenUsed/>
    <w:rsid w:val="00B27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it.ly/2W9vWsH" TargetMode="External"/><Relationship Id="rId2" Type="http://schemas.openxmlformats.org/officeDocument/2006/relationships/hyperlink" Target="https://bit.ly/3miTfLr" TargetMode="External"/><Relationship Id="rId1" Type="http://schemas.openxmlformats.org/officeDocument/2006/relationships/hyperlink" Target="https://bit.ly/2W8RZj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GvantsaDanelia</cp:lastModifiedBy>
  <cp:revision>4</cp:revision>
  <dcterms:created xsi:type="dcterms:W3CDTF">2021-08-23T09:17:00Z</dcterms:created>
  <dcterms:modified xsi:type="dcterms:W3CDTF">2021-09-27T11:59:00Z</dcterms:modified>
</cp:coreProperties>
</file>