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0B8C" w14:textId="77777777" w:rsidR="00AF3007" w:rsidRPr="00446395" w:rsidRDefault="00AF3007" w:rsidP="00261AD9">
      <w:pPr>
        <w:jc w:val="both"/>
        <w:rPr>
          <w:b/>
          <w:bCs/>
          <w:color w:val="000000"/>
          <w:sz w:val="24"/>
          <w:szCs w:val="24"/>
          <w:highlight w:val="yellow"/>
          <w:shd w:val="clear" w:color="auto" w:fill="FFFFFF"/>
          <w:lang w:val="ka-GE"/>
        </w:rPr>
      </w:pPr>
    </w:p>
    <w:p w14:paraId="5AC9A9BD" w14:textId="77777777" w:rsidR="0067025D" w:rsidRPr="00446395" w:rsidRDefault="0067025D" w:rsidP="00BE40C8">
      <w:pPr>
        <w:ind w:firstLine="360"/>
        <w:jc w:val="both"/>
        <w:rPr>
          <w:b/>
          <w:bCs/>
          <w:color w:val="000000"/>
          <w:sz w:val="24"/>
          <w:szCs w:val="24"/>
          <w:highlight w:val="yellow"/>
          <w:shd w:val="clear" w:color="auto" w:fill="FFFFFF"/>
          <w:lang w:val="ka-GE"/>
        </w:rPr>
      </w:pPr>
    </w:p>
    <w:p w14:paraId="05819420" w14:textId="77777777" w:rsidR="00933746" w:rsidRPr="00446395" w:rsidRDefault="00933746" w:rsidP="00BE40C8">
      <w:pPr>
        <w:ind w:firstLine="360"/>
        <w:jc w:val="both"/>
        <w:rPr>
          <w:b/>
          <w:bCs/>
          <w:color w:val="000000"/>
          <w:sz w:val="24"/>
          <w:szCs w:val="24"/>
          <w:highlight w:val="yellow"/>
          <w:shd w:val="clear" w:color="auto" w:fill="FFFFFF"/>
          <w:lang w:val="ka-GE"/>
        </w:rPr>
      </w:pPr>
    </w:p>
    <w:p w14:paraId="571C48A5" w14:textId="77777777" w:rsidR="00933746" w:rsidRPr="00446395" w:rsidRDefault="00933746" w:rsidP="00BE40C8">
      <w:pPr>
        <w:ind w:firstLine="360"/>
        <w:jc w:val="both"/>
        <w:rPr>
          <w:b/>
          <w:bCs/>
          <w:color w:val="000000"/>
          <w:sz w:val="24"/>
          <w:szCs w:val="24"/>
          <w:highlight w:val="yellow"/>
          <w:shd w:val="clear" w:color="auto" w:fill="FFFFFF"/>
          <w:lang w:val="ka-GE"/>
        </w:rPr>
      </w:pPr>
    </w:p>
    <w:p w14:paraId="731BC48B" w14:textId="77777777" w:rsidR="0067025D" w:rsidRPr="00446395" w:rsidRDefault="0067025D" w:rsidP="00BE40C8">
      <w:pPr>
        <w:ind w:firstLine="360"/>
        <w:jc w:val="both"/>
        <w:rPr>
          <w:b/>
          <w:bCs/>
          <w:color w:val="000000"/>
          <w:sz w:val="24"/>
          <w:szCs w:val="24"/>
          <w:highlight w:val="yellow"/>
          <w:shd w:val="clear" w:color="auto" w:fill="FFFFFF"/>
          <w:lang w:val="ka-GE"/>
        </w:rPr>
      </w:pPr>
    </w:p>
    <w:p w14:paraId="0B500A33" w14:textId="77777777" w:rsidR="0067025D" w:rsidRPr="00446395" w:rsidRDefault="0067025D" w:rsidP="00BE40C8">
      <w:pPr>
        <w:ind w:firstLine="360"/>
        <w:jc w:val="both"/>
        <w:rPr>
          <w:b/>
          <w:bCs/>
          <w:color w:val="000000"/>
          <w:sz w:val="24"/>
          <w:szCs w:val="24"/>
          <w:highlight w:val="yellow"/>
          <w:shd w:val="clear" w:color="auto" w:fill="FFFFFF"/>
          <w:lang w:val="ka-GE"/>
        </w:rPr>
      </w:pPr>
    </w:p>
    <w:p w14:paraId="18A40A31" w14:textId="77777777" w:rsidR="0067025D" w:rsidRPr="00446395" w:rsidRDefault="0067025D" w:rsidP="00BE40C8">
      <w:pPr>
        <w:ind w:firstLine="360"/>
        <w:jc w:val="both"/>
        <w:rPr>
          <w:b/>
          <w:bCs/>
          <w:color w:val="000000"/>
          <w:sz w:val="24"/>
          <w:szCs w:val="24"/>
          <w:highlight w:val="yellow"/>
          <w:shd w:val="clear" w:color="auto" w:fill="FFFFFF"/>
          <w:lang w:val="ka-GE"/>
        </w:rPr>
      </w:pPr>
    </w:p>
    <w:p w14:paraId="6827AE19" w14:textId="77777777" w:rsidR="0067025D" w:rsidRPr="00446395" w:rsidRDefault="0067025D" w:rsidP="00BE40C8">
      <w:pPr>
        <w:ind w:firstLine="360"/>
        <w:jc w:val="both"/>
        <w:rPr>
          <w:b/>
          <w:bCs/>
          <w:color w:val="000000"/>
          <w:sz w:val="24"/>
          <w:szCs w:val="24"/>
          <w:highlight w:val="yellow"/>
          <w:shd w:val="clear" w:color="auto" w:fill="FFFFFF"/>
          <w:lang w:val="ka-GE"/>
        </w:rPr>
      </w:pPr>
    </w:p>
    <w:p w14:paraId="554EED0B" w14:textId="6913C282" w:rsidR="006F27EE" w:rsidRPr="00446395" w:rsidRDefault="004E2E81" w:rsidP="00BE40C8">
      <w:pPr>
        <w:ind w:firstLine="360"/>
        <w:jc w:val="both"/>
        <w:rPr>
          <w:b/>
          <w:sz w:val="24"/>
          <w:szCs w:val="24"/>
          <w:lang w:val="ka-GE"/>
        </w:rPr>
      </w:pPr>
      <w:r w:rsidRPr="00A309AD">
        <w:rPr>
          <w:b/>
          <w:bCs/>
          <w:color w:val="000000"/>
          <w:sz w:val="24"/>
          <w:szCs w:val="24"/>
          <w:shd w:val="clear" w:color="auto" w:fill="FFFFFF"/>
          <w:lang w:val="ka-GE"/>
        </w:rPr>
        <w:t>№</w:t>
      </w:r>
      <w:r w:rsidR="008A0039" w:rsidRPr="00A309AD">
        <w:rPr>
          <w:b/>
          <w:bCs/>
          <w:color w:val="000000"/>
          <w:sz w:val="24"/>
          <w:szCs w:val="24"/>
          <w:shd w:val="clear" w:color="auto" w:fill="FFFFFF"/>
          <w:lang w:val="ka-GE"/>
        </w:rPr>
        <w:t>2</w:t>
      </w:r>
      <w:r w:rsidRPr="00A309AD">
        <w:rPr>
          <w:b/>
          <w:bCs/>
          <w:color w:val="000000"/>
          <w:sz w:val="24"/>
          <w:szCs w:val="24"/>
          <w:shd w:val="clear" w:color="auto" w:fill="FFFFFF"/>
          <w:lang w:val="ka-GE"/>
        </w:rPr>
        <w:t>/</w:t>
      </w:r>
      <w:r w:rsidR="00A309AD">
        <w:rPr>
          <w:b/>
          <w:bCs/>
          <w:color w:val="000000"/>
          <w:sz w:val="24"/>
          <w:szCs w:val="24"/>
          <w:shd w:val="clear" w:color="auto" w:fill="FFFFFF"/>
        </w:rPr>
        <w:t>13</w:t>
      </w:r>
      <w:r w:rsidR="00F51539" w:rsidRPr="00A309AD">
        <w:rPr>
          <w:b/>
          <w:bCs/>
          <w:color w:val="000000"/>
          <w:sz w:val="24"/>
          <w:szCs w:val="24"/>
          <w:shd w:val="clear" w:color="auto" w:fill="FFFFFF"/>
          <w:lang w:val="ka-GE"/>
        </w:rPr>
        <w:t>/</w:t>
      </w:r>
      <w:r w:rsidR="008A0039" w:rsidRPr="00A309AD">
        <w:rPr>
          <w:b/>
          <w:bCs/>
          <w:color w:val="000000"/>
          <w:sz w:val="24"/>
          <w:szCs w:val="24"/>
          <w:shd w:val="clear" w:color="auto" w:fill="FFFFFF"/>
          <w:lang w:val="ka-GE"/>
        </w:rPr>
        <w:t>728</w:t>
      </w:r>
      <w:r w:rsidR="00963F34" w:rsidRPr="00446395">
        <w:rPr>
          <w:b/>
          <w:sz w:val="24"/>
          <w:szCs w:val="24"/>
          <w:lang w:val="ka-GE"/>
        </w:rPr>
        <w:tab/>
      </w:r>
      <w:r w:rsidR="00963F34" w:rsidRPr="00446395">
        <w:rPr>
          <w:b/>
          <w:sz w:val="24"/>
          <w:szCs w:val="24"/>
          <w:lang w:val="ka-GE"/>
        </w:rPr>
        <w:tab/>
      </w:r>
      <w:r w:rsidR="00963F34" w:rsidRPr="00446395">
        <w:rPr>
          <w:b/>
          <w:sz w:val="24"/>
          <w:szCs w:val="24"/>
          <w:lang w:val="ka-GE"/>
        </w:rPr>
        <w:tab/>
      </w:r>
      <w:r w:rsidR="00963F34" w:rsidRPr="00446395">
        <w:rPr>
          <w:b/>
          <w:sz w:val="24"/>
          <w:szCs w:val="24"/>
          <w:lang w:val="ka-GE"/>
        </w:rPr>
        <w:tab/>
      </w:r>
      <w:r w:rsidR="00963F34" w:rsidRPr="00446395">
        <w:rPr>
          <w:b/>
          <w:sz w:val="24"/>
          <w:szCs w:val="24"/>
          <w:lang w:val="ka-GE"/>
        </w:rPr>
        <w:tab/>
      </w:r>
      <w:r w:rsidR="00963F34" w:rsidRPr="00446395">
        <w:rPr>
          <w:b/>
          <w:sz w:val="24"/>
          <w:szCs w:val="24"/>
          <w:lang w:val="ka-GE"/>
        </w:rPr>
        <w:tab/>
      </w:r>
      <w:r w:rsidR="006F27EE" w:rsidRPr="00446395">
        <w:rPr>
          <w:b/>
          <w:sz w:val="24"/>
          <w:szCs w:val="24"/>
          <w:lang w:val="ka-GE"/>
        </w:rPr>
        <w:t>ბათუმი, 20</w:t>
      </w:r>
      <w:r w:rsidR="008A0039" w:rsidRPr="00446395">
        <w:rPr>
          <w:b/>
          <w:sz w:val="24"/>
          <w:szCs w:val="24"/>
          <w:lang w:val="ka-GE"/>
        </w:rPr>
        <w:t>23</w:t>
      </w:r>
      <w:r w:rsidR="006F27EE" w:rsidRPr="00446395">
        <w:rPr>
          <w:b/>
          <w:sz w:val="24"/>
          <w:szCs w:val="24"/>
          <w:lang w:val="ka-GE"/>
        </w:rPr>
        <w:t xml:space="preserve"> წლის</w:t>
      </w:r>
      <w:r w:rsidR="00963F34" w:rsidRPr="00446395">
        <w:rPr>
          <w:b/>
          <w:sz w:val="24"/>
          <w:szCs w:val="24"/>
        </w:rPr>
        <w:t xml:space="preserve"> 6 </w:t>
      </w:r>
      <w:r w:rsidR="00963F34" w:rsidRPr="00446395">
        <w:rPr>
          <w:b/>
          <w:sz w:val="24"/>
          <w:szCs w:val="24"/>
          <w:lang w:val="ka-GE"/>
        </w:rPr>
        <w:t>ივლისი</w:t>
      </w:r>
    </w:p>
    <w:p w14:paraId="4FE8916B" w14:textId="77777777" w:rsidR="008A0039" w:rsidRPr="00446395" w:rsidRDefault="008A0039" w:rsidP="00BE40C8">
      <w:pPr>
        <w:spacing w:after="0"/>
        <w:ind w:firstLine="360"/>
        <w:jc w:val="both"/>
        <w:rPr>
          <w:b/>
          <w:sz w:val="24"/>
          <w:szCs w:val="24"/>
          <w:lang w:val="ka-GE"/>
        </w:rPr>
      </w:pPr>
      <w:r w:rsidRPr="00446395">
        <w:rPr>
          <w:b/>
          <w:sz w:val="24"/>
          <w:szCs w:val="24"/>
          <w:lang w:val="ka-GE"/>
        </w:rPr>
        <w:t xml:space="preserve">კოლეგიის შემადგენლობა: </w:t>
      </w:r>
    </w:p>
    <w:p w14:paraId="281F8838" w14:textId="77777777" w:rsidR="008A0039" w:rsidRPr="00446395" w:rsidRDefault="008A0039" w:rsidP="00BE40C8">
      <w:pPr>
        <w:spacing w:after="0"/>
        <w:ind w:firstLine="360"/>
        <w:jc w:val="both"/>
        <w:rPr>
          <w:bCs/>
          <w:sz w:val="24"/>
          <w:szCs w:val="24"/>
          <w:lang w:val="ka-GE"/>
        </w:rPr>
      </w:pPr>
      <w:r w:rsidRPr="00446395">
        <w:rPr>
          <w:bCs/>
          <w:sz w:val="24"/>
          <w:szCs w:val="24"/>
          <w:lang w:val="ka-GE"/>
        </w:rPr>
        <w:t>მანანა კობახიძე – სხდომის თავმჯდომარე;</w:t>
      </w:r>
    </w:p>
    <w:p w14:paraId="5CB997B8" w14:textId="77777777" w:rsidR="008A0039" w:rsidRPr="00446395" w:rsidRDefault="008A0039" w:rsidP="00BE40C8">
      <w:pPr>
        <w:spacing w:after="0"/>
        <w:ind w:firstLine="360"/>
        <w:jc w:val="both"/>
        <w:rPr>
          <w:bCs/>
          <w:sz w:val="24"/>
          <w:szCs w:val="24"/>
          <w:lang w:val="ka-GE"/>
        </w:rPr>
      </w:pPr>
      <w:r w:rsidRPr="00446395">
        <w:rPr>
          <w:bCs/>
          <w:sz w:val="24"/>
          <w:szCs w:val="24"/>
          <w:lang w:val="ka-GE"/>
        </w:rPr>
        <w:t xml:space="preserve">ირინე იმერლიშვილი - წევრი; </w:t>
      </w:r>
    </w:p>
    <w:p w14:paraId="56FE63B4" w14:textId="77777777" w:rsidR="008A0039" w:rsidRPr="00446395" w:rsidRDefault="008A0039" w:rsidP="00BE40C8">
      <w:pPr>
        <w:spacing w:after="0"/>
        <w:ind w:firstLine="360"/>
        <w:jc w:val="both"/>
        <w:rPr>
          <w:bCs/>
          <w:sz w:val="24"/>
          <w:szCs w:val="24"/>
          <w:lang w:val="ka-GE"/>
        </w:rPr>
      </w:pPr>
      <w:r w:rsidRPr="00446395">
        <w:rPr>
          <w:bCs/>
          <w:sz w:val="24"/>
          <w:szCs w:val="24"/>
          <w:lang w:val="ka-GE"/>
        </w:rPr>
        <w:t>ხვიჩა კიკილაშვილი - წევრი, მომხსენებელი მოსამართლე;</w:t>
      </w:r>
    </w:p>
    <w:p w14:paraId="7843E5E0" w14:textId="77777777" w:rsidR="00F42847" w:rsidRPr="00446395" w:rsidRDefault="008A0039" w:rsidP="00BE40C8">
      <w:pPr>
        <w:spacing w:after="0"/>
        <w:ind w:firstLine="360"/>
        <w:jc w:val="both"/>
        <w:rPr>
          <w:bCs/>
          <w:sz w:val="24"/>
          <w:szCs w:val="24"/>
          <w:lang w:val="ka-GE"/>
        </w:rPr>
      </w:pPr>
      <w:r w:rsidRPr="00446395">
        <w:rPr>
          <w:bCs/>
          <w:sz w:val="24"/>
          <w:szCs w:val="24"/>
          <w:lang w:val="ka-GE"/>
        </w:rPr>
        <w:t>თეიმურაზ ტუღუში - წევრი.</w:t>
      </w:r>
    </w:p>
    <w:p w14:paraId="5FD6BB62" w14:textId="77777777" w:rsidR="008A0039" w:rsidRPr="00446395" w:rsidRDefault="008A0039" w:rsidP="00BE40C8">
      <w:pPr>
        <w:spacing w:after="0"/>
        <w:ind w:firstLine="360"/>
        <w:jc w:val="both"/>
        <w:rPr>
          <w:bCs/>
          <w:sz w:val="24"/>
          <w:szCs w:val="24"/>
          <w:lang w:val="ka-GE"/>
        </w:rPr>
      </w:pPr>
      <w:r w:rsidRPr="00446395">
        <w:rPr>
          <w:bCs/>
          <w:sz w:val="24"/>
          <w:szCs w:val="24"/>
          <w:lang w:val="ka-GE"/>
        </w:rPr>
        <w:t xml:space="preserve"> </w:t>
      </w:r>
    </w:p>
    <w:p w14:paraId="4BDF85ED" w14:textId="77777777" w:rsidR="00BE40C8" w:rsidRPr="00446395" w:rsidRDefault="006F27EE" w:rsidP="00BE40C8">
      <w:pPr>
        <w:ind w:firstLine="360"/>
        <w:jc w:val="both"/>
        <w:rPr>
          <w:bCs/>
          <w:sz w:val="24"/>
          <w:szCs w:val="24"/>
          <w:lang w:val="ka-GE"/>
        </w:rPr>
      </w:pPr>
      <w:r w:rsidRPr="00446395">
        <w:rPr>
          <w:b/>
          <w:sz w:val="24"/>
          <w:szCs w:val="24"/>
          <w:lang w:val="ka-GE"/>
        </w:rPr>
        <w:t>სხდომის მდივანი:</w:t>
      </w:r>
      <w:r w:rsidR="00F42847" w:rsidRPr="00446395">
        <w:rPr>
          <w:b/>
          <w:sz w:val="24"/>
          <w:szCs w:val="24"/>
          <w:lang w:val="ka-GE"/>
        </w:rPr>
        <w:t xml:space="preserve"> </w:t>
      </w:r>
      <w:r w:rsidR="00F42847" w:rsidRPr="00446395">
        <w:rPr>
          <w:bCs/>
          <w:sz w:val="24"/>
          <w:szCs w:val="24"/>
          <w:lang w:val="ka-GE"/>
        </w:rPr>
        <w:t>მანანა ლომთათიძე</w:t>
      </w:r>
      <w:r w:rsidR="00BE40C8" w:rsidRPr="00446395">
        <w:rPr>
          <w:bCs/>
          <w:sz w:val="24"/>
          <w:szCs w:val="24"/>
          <w:lang w:val="ka-GE"/>
        </w:rPr>
        <w:t>.</w:t>
      </w:r>
    </w:p>
    <w:p w14:paraId="5921C171" w14:textId="77777777" w:rsidR="006F27EE" w:rsidRPr="00446395" w:rsidRDefault="00BE40C8" w:rsidP="00BE40C8">
      <w:pPr>
        <w:ind w:firstLine="360"/>
        <w:jc w:val="both"/>
        <w:rPr>
          <w:bCs/>
          <w:sz w:val="24"/>
          <w:szCs w:val="24"/>
          <w:lang w:val="ka-GE"/>
        </w:rPr>
      </w:pPr>
      <w:r w:rsidRPr="00446395">
        <w:rPr>
          <w:b/>
          <w:sz w:val="24"/>
          <w:szCs w:val="24"/>
          <w:lang w:val="ka-GE"/>
        </w:rPr>
        <w:t>საქმის დასახელება:</w:t>
      </w:r>
      <w:r w:rsidRPr="00446395">
        <w:rPr>
          <w:bCs/>
          <w:sz w:val="24"/>
          <w:szCs w:val="24"/>
          <w:lang w:val="ka-GE"/>
        </w:rPr>
        <w:t xml:space="preserve"> რევაზ ლორთქიფანიძე საქართველოს პარლამენტის წინააღმდეგ.</w:t>
      </w:r>
      <w:r w:rsidR="008A0039" w:rsidRPr="00446395">
        <w:rPr>
          <w:bCs/>
          <w:sz w:val="24"/>
          <w:szCs w:val="24"/>
          <w:lang w:val="ka-GE"/>
        </w:rPr>
        <w:t xml:space="preserve">                    </w:t>
      </w:r>
    </w:p>
    <w:p w14:paraId="7F06FEEA" w14:textId="77777777" w:rsidR="004F2146" w:rsidRPr="00446395" w:rsidRDefault="004F2146" w:rsidP="00BE40C8">
      <w:pPr>
        <w:spacing w:after="0"/>
        <w:ind w:firstLine="360"/>
        <w:jc w:val="both"/>
        <w:rPr>
          <w:sz w:val="24"/>
          <w:szCs w:val="24"/>
          <w:lang w:val="ka-GE"/>
        </w:rPr>
      </w:pPr>
      <w:r w:rsidRPr="00446395">
        <w:rPr>
          <w:b/>
          <w:sz w:val="24"/>
          <w:szCs w:val="24"/>
          <w:lang w:val="ka-GE"/>
        </w:rPr>
        <w:t xml:space="preserve">დავის საგანი: </w:t>
      </w:r>
      <w:r w:rsidRPr="00446395">
        <w:rPr>
          <w:sz w:val="24"/>
          <w:szCs w:val="24"/>
          <w:lang w:val="ka-GE"/>
        </w:rPr>
        <w:t>საქართველოს სისხლის სამართლის კოდექსის 223</w:t>
      </w:r>
      <w:r w:rsidRPr="00446395">
        <w:rPr>
          <w:sz w:val="24"/>
          <w:szCs w:val="24"/>
          <w:vertAlign w:val="superscript"/>
          <w:lang w:val="ka-GE"/>
        </w:rPr>
        <w:t>1</w:t>
      </w:r>
      <w:r w:rsidRPr="00446395">
        <w:rPr>
          <w:sz w:val="24"/>
          <w:szCs w:val="24"/>
          <w:lang w:val="ka-GE"/>
        </w:rPr>
        <w:t xml:space="preserve"> მუხლის მე-2 ნაწილის</w:t>
      </w:r>
      <w:r w:rsidR="00411F93" w:rsidRPr="00446395">
        <w:rPr>
          <w:sz w:val="24"/>
          <w:szCs w:val="24"/>
          <w:lang w:val="ka-GE"/>
        </w:rPr>
        <w:t xml:space="preserve"> (2018 წლის პირველ მაისამდე მოქმედი რედაქცია)</w:t>
      </w:r>
      <w:r w:rsidRPr="00446395">
        <w:rPr>
          <w:sz w:val="24"/>
          <w:szCs w:val="24"/>
          <w:lang w:val="ka-GE"/>
        </w:rPr>
        <w:t xml:space="preserve"> კონსტიტუციურობა საქართველოს კონსტიტუციის მე-18 მუხლის პირველ პუნქტთან</w:t>
      </w:r>
      <w:r w:rsidR="00B5561F" w:rsidRPr="00446395">
        <w:rPr>
          <w:sz w:val="24"/>
          <w:szCs w:val="24"/>
          <w:lang w:val="ka-GE"/>
        </w:rPr>
        <w:t xml:space="preserve"> (2018 წლის 16 დეკემბრამდე მოქმედი რედაქცია)</w:t>
      </w:r>
      <w:r w:rsidRPr="00446395">
        <w:rPr>
          <w:sz w:val="24"/>
          <w:szCs w:val="24"/>
          <w:lang w:val="ka-GE"/>
        </w:rPr>
        <w:t xml:space="preserve"> მიმართებით.</w:t>
      </w:r>
      <w:r w:rsidR="00B5561F" w:rsidRPr="00446395">
        <w:rPr>
          <w:sz w:val="24"/>
          <w:szCs w:val="24"/>
          <w:lang w:val="ka-GE"/>
        </w:rPr>
        <w:t xml:space="preserve"> </w:t>
      </w:r>
    </w:p>
    <w:p w14:paraId="4A6E424E" w14:textId="77777777" w:rsidR="004F2146" w:rsidRPr="00446395" w:rsidRDefault="004F2146" w:rsidP="00BE40C8">
      <w:pPr>
        <w:spacing w:after="0"/>
        <w:ind w:firstLine="360"/>
        <w:jc w:val="center"/>
        <w:rPr>
          <w:b/>
          <w:sz w:val="24"/>
          <w:szCs w:val="24"/>
          <w:lang w:val="ka-GE"/>
        </w:rPr>
      </w:pPr>
    </w:p>
    <w:p w14:paraId="02F28860" w14:textId="77777777" w:rsidR="004F2146" w:rsidRPr="00446395" w:rsidRDefault="004F2146" w:rsidP="00BE40C8">
      <w:pPr>
        <w:spacing w:after="0"/>
        <w:ind w:firstLine="360"/>
        <w:jc w:val="center"/>
        <w:rPr>
          <w:b/>
          <w:sz w:val="24"/>
          <w:szCs w:val="24"/>
          <w:lang w:val="ka-GE"/>
        </w:rPr>
      </w:pPr>
    </w:p>
    <w:p w14:paraId="2D667CC7" w14:textId="77777777" w:rsidR="004F2146" w:rsidRPr="00446395" w:rsidRDefault="004F2146" w:rsidP="00446395">
      <w:pPr>
        <w:pStyle w:val="Heading1"/>
        <w:rPr>
          <w:sz w:val="24"/>
        </w:rPr>
      </w:pPr>
      <w:r w:rsidRPr="00446395">
        <w:rPr>
          <w:sz w:val="24"/>
        </w:rPr>
        <w:t>I</w:t>
      </w:r>
      <w:r w:rsidR="00446395" w:rsidRPr="00446395">
        <w:rPr>
          <w:sz w:val="24"/>
        </w:rPr>
        <w:br/>
      </w:r>
      <w:r w:rsidRPr="00446395">
        <w:rPr>
          <w:sz w:val="24"/>
        </w:rPr>
        <w:t>აღწერილობითი ნაწილი</w:t>
      </w:r>
    </w:p>
    <w:p w14:paraId="4FCDB716" w14:textId="77777777" w:rsidR="004F2146" w:rsidRPr="00446395" w:rsidRDefault="004F2146" w:rsidP="00BE40C8">
      <w:pPr>
        <w:pStyle w:val="ListParagraph"/>
        <w:numPr>
          <w:ilvl w:val="0"/>
          <w:numId w:val="9"/>
        </w:numPr>
        <w:tabs>
          <w:tab w:val="left" w:pos="1170"/>
        </w:tabs>
        <w:spacing w:after="0"/>
        <w:ind w:left="0" w:firstLine="360"/>
        <w:jc w:val="both"/>
        <w:rPr>
          <w:sz w:val="24"/>
          <w:szCs w:val="24"/>
          <w:lang w:val="ka-GE"/>
        </w:rPr>
      </w:pPr>
      <w:r w:rsidRPr="00446395">
        <w:rPr>
          <w:sz w:val="24"/>
          <w:szCs w:val="24"/>
          <w:lang w:val="ka-GE"/>
        </w:rPr>
        <w:t>საქართველოს საკონსტიტუციო სასამართლოს 2016 წლის 29 თებერვალს კონსტიტუციური სარჩელით (რეგისტრაციის №728) მომართა საქართველოს მოქალაქე რევაზ ლორთქიფანიძემ. №728 კონსტიტუციური სარჩელი საკონსტიტუციო სასამართლოს მეორე კოლეგიას</w:t>
      </w:r>
      <w:r w:rsidR="006461D3" w:rsidRPr="00446395">
        <w:rPr>
          <w:sz w:val="24"/>
          <w:szCs w:val="24"/>
          <w:lang w:val="ka-GE"/>
        </w:rPr>
        <w:t>,</w:t>
      </w:r>
      <w:r w:rsidRPr="00446395">
        <w:rPr>
          <w:sz w:val="24"/>
          <w:szCs w:val="24"/>
          <w:lang w:val="ka-GE"/>
        </w:rPr>
        <w:t xml:space="preserve"> არსებითად განსახილველად მიღების საკითხის გადასაწყვეტად</w:t>
      </w:r>
      <w:r w:rsidR="006461D3" w:rsidRPr="00446395">
        <w:rPr>
          <w:sz w:val="24"/>
          <w:szCs w:val="24"/>
          <w:lang w:val="ka-GE"/>
        </w:rPr>
        <w:t>,</w:t>
      </w:r>
      <w:r w:rsidRPr="00446395">
        <w:rPr>
          <w:sz w:val="24"/>
          <w:szCs w:val="24"/>
          <w:lang w:val="ka-GE"/>
        </w:rPr>
        <w:t xml:space="preserve"> გადმოეცა 201</w:t>
      </w:r>
      <w:r w:rsidR="00411F93" w:rsidRPr="00446395">
        <w:rPr>
          <w:sz w:val="24"/>
          <w:szCs w:val="24"/>
        </w:rPr>
        <w:t>6</w:t>
      </w:r>
      <w:r w:rsidRPr="00446395">
        <w:rPr>
          <w:sz w:val="24"/>
          <w:szCs w:val="24"/>
          <w:lang w:val="ka-GE"/>
        </w:rPr>
        <w:t xml:space="preserve"> წლის პირველ მარტს.</w:t>
      </w:r>
      <w:r w:rsidR="00714095" w:rsidRPr="00446395">
        <w:rPr>
          <w:sz w:val="24"/>
          <w:szCs w:val="24"/>
          <w:lang w:val="ka-GE"/>
        </w:rPr>
        <w:t xml:space="preserve"> </w:t>
      </w:r>
      <w:r w:rsidRPr="00446395">
        <w:rPr>
          <w:sz w:val="24"/>
          <w:szCs w:val="24"/>
          <w:lang w:val="ka-GE"/>
        </w:rPr>
        <w:t xml:space="preserve">№728 </w:t>
      </w:r>
      <w:r w:rsidRPr="00446395">
        <w:rPr>
          <w:sz w:val="24"/>
          <w:szCs w:val="24"/>
          <w:lang w:val="ka-GE"/>
        </w:rPr>
        <w:lastRenderedPageBreak/>
        <w:t>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w:t>
      </w:r>
      <w:r w:rsidR="00411F93" w:rsidRPr="00446395">
        <w:rPr>
          <w:sz w:val="24"/>
          <w:szCs w:val="24"/>
        </w:rPr>
        <w:t>7</w:t>
      </w:r>
      <w:r w:rsidRPr="00446395">
        <w:rPr>
          <w:sz w:val="24"/>
          <w:szCs w:val="24"/>
          <w:lang w:val="ka-GE"/>
        </w:rPr>
        <w:t xml:space="preserve"> წლის 27 იანვარს. საქართველოს საკონსტიტუციო სასამართლოს 2017 წლის 27 იანვრ</w:t>
      </w:r>
      <w:r w:rsidR="006461D3" w:rsidRPr="00446395">
        <w:rPr>
          <w:sz w:val="24"/>
          <w:szCs w:val="24"/>
          <w:lang w:val="ka-GE"/>
        </w:rPr>
        <w:t>ი</w:t>
      </w:r>
      <w:r w:rsidRPr="00446395">
        <w:rPr>
          <w:sz w:val="24"/>
          <w:szCs w:val="24"/>
          <w:lang w:val="ka-GE"/>
        </w:rPr>
        <w:t xml:space="preserve">ს №2/1/728 საოქმო ჩანაწერით, №728 კონსტიტუციური სარჩელი </w:t>
      </w:r>
      <w:r w:rsidR="00411F93" w:rsidRPr="00446395">
        <w:rPr>
          <w:sz w:val="24"/>
          <w:szCs w:val="24"/>
          <w:lang w:val="ka-GE"/>
        </w:rPr>
        <w:t xml:space="preserve">ნაწილობრივ </w:t>
      </w:r>
      <w:r w:rsidRPr="00446395">
        <w:rPr>
          <w:sz w:val="24"/>
          <w:szCs w:val="24"/>
          <w:lang w:val="ka-GE"/>
        </w:rPr>
        <w:t>მიღებულ იქნა არსებითად განსახილველად.</w:t>
      </w:r>
    </w:p>
    <w:p w14:paraId="21F59AD7" w14:textId="77777777" w:rsidR="004F2146" w:rsidRPr="00446395" w:rsidRDefault="004F2146" w:rsidP="00BE40C8">
      <w:pPr>
        <w:pStyle w:val="ListParagraph"/>
        <w:numPr>
          <w:ilvl w:val="0"/>
          <w:numId w:val="9"/>
        </w:numPr>
        <w:tabs>
          <w:tab w:val="left" w:pos="1170"/>
        </w:tabs>
        <w:spacing w:after="0"/>
        <w:ind w:left="0" w:firstLine="360"/>
        <w:jc w:val="both"/>
        <w:rPr>
          <w:sz w:val="24"/>
          <w:szCs w:val="24"/>
          <w:lang w:val="ka-GE"/>
        </w:rPr>
      </w:pPr>
      <w:r w:rsidRPr="00446395">
        <w:rPr>
          <w:sz w:val="24"/>
          <w:szCs w:val="24"/>
          <w:lang w:val="ka-GE"/>
        </w:rPr>
        <w:t xml:space="preserve">№728 კონსტიტუციურ სარჩელში საკონსტიტუციო სასამართლოსათვის მომართვის </w:t>
      </w:r>
      <w:r w:rsidR="00411F93" w:rsidRPr="00446395">
        <w:rPr>
          <w:sz w:val="24"/>
          <w:szCs w:val="24"/>
          <w:lang w:val="ka-GE"/>
        </w:rPr>
        <w:t xml:space="preserve">სამართლებრივ </w:t>
      </w:r>
      <w:r w:rsidRPr="00446395">
        <w:rPr>
          <w:sz w:val="24"/>
          <w:szCs w:val="24"/>
          <w:lang w:val="ka-GE"/>
        </w:rPr>
        <w:t>საფუძვლ</w:t>
      </w:r>
      <w:r w:rsidR="00411F93" w:rsidRPr="00446395">
        <w:rPr>
          <w:sz w:val="24"/>
          <w:szCs w:val="24"/>
          <w:lang w:val="ka-GE"/>
        </w:rPr>
        <w:t>ებ</w:t>
      </w:r>
      <w:r w:rsidR="003D72BF">
        <w:rPr>
          <w:sz w:val="24"/>
          <w:szCs w:val="24"/>
          <w:lang w:val="ka-GE"/>
        </w:rPr>
        <w:t>ად მითითებულია:</w:t>
      </w:r>
      <w:r w:rsidR="00EC3DE2" w:rsidRPr="00446395">
        <w:rPr>
          <w:sz w:val="24"/>
          <w:szCs w:val="24"/>
          <w:lang w:val="ka-GE"/>
        </w:rPr>
        <w:t xml:space="preserve"> საქართველოს კონსტიტუციის 2018 წლის 16 დეკემბრამდე მოქმედი რედაქციის </w:t>
      </w:r>
      <w:r w:rsidRPr="00446395">
        <w:rPr>
          <w:sz w:val="24"/>
          <w:szCs w:val="24"/>
          <w:lang w:val="ka-GE"/>
        </w:rPr>
        <w:t>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14:paraId="6641E765" w14:textId="77777777" w:rsidR="004F2146" w:rsidRPr="00446395" w:rsidRDefault="004F2146" w:rsidP="00BE40C8">
      <w:pPr>
        <w:pStyle w:val="ListParagraph"/>
        <w:numPr>
          <w:ilvl w:val="0"/>
          <w:numId w:val="9"/>
        </w:numPr>
        <w:tabs>
          <w:tab w:val="left" w:pos="1170"/>
        </w:tabs>
        <w:spacing w:after="0"/>
        <w:ind w:left="0" w:firstLine="360"/>
        <w:jc w:val="both"/>
        <w:rPr>
          <w:sz w:val="24"/>
          <w:szCs w:val="24"/>
          <w:lang w:val="ka-GE"/>
        </w:rPr>
      </w:pPr>
      <w:r w:rsidRPr="00446395">
        <w:rPr>
          <w:sz w:val="24"/>
          <w:szCs w:val="24"/>
          <w:lang w:val="ka-GE"/>
        </w:rPr>
        <w:t>საქართველოს სისხლის სამართლის კოდექსის 223</w:t>
      </w:r>
      <w:r w:rsidRPr="00446395">
        <w:rPr>
          <w:sz w:val="24"/>
          <w:szCs w:val="24"/>
          <w:vertAlign w:val="superscript"/>
          <w:lang w:val="ka-GE"/>
        </w:rPr>
        <w:t>1</w:t>
      </w:r>
      <w:r w:rsidRPr="00446395">
        <w:rPr>
          <w:sz w:val="24"/>
          <w:szCs w:val="24"/>
          <w:lang w:val="ka-GE"/>
        </w:rPr>
        <w:t xml:space="preserve"> მუხლის მე-2 ნაწილის </w:t>
      </w:r>
      <w:r w:rsidR="00E46C61" w:rsidRPr="00446395">
        <w:rPr>
          <w:sz w:val="24"/>
          <w:szCs w:val="24"/>
          <w:lang w:val="ka-GE"/>
        </w:rPr>
        <w:t xml:space="preserve">(2018 წლის პირველ მაისამდე მოქმედი რედაქცია) </w:t>
      </w:r>
      <w:r w:rsidRPr="00446395">
        <w:rPr>
          <w:sz w:val="24"/>
          <w:szCs w:val="24"/>
          <w:lang w:val="ka-GE"/>
        </w:rPr>
        <w:t>თანახმად, კანონიერი ქურდობა წარმოადგენს დანაშაულს, რომელიც ისჯება თავისუფლების აღკვეთით ვადით შვიდიდან ათ წლამდე, ჯარიმით ან უამისოდ.</w:t>
      </w:r>
    </w:p>
    <w:p w14:paraId="0956FDDD" w14:textId="3619F189" w:rsidR="004F2146" w:rsidRPr="00446395" w:rsidRDefault="008D506D" w:rsidP="00BE40C8">
      <w:pPr>
        <w:pStyle w:val="ListParagraph"/>
        <w:numPr>
          <w:ilvl w:val="0"/>
          <w:numId w:val="9"/>
        </w:numPr>
        <w:tabs>
          <w:tab w:val="left" w:pos="1170"/>
        </w:tabs>
        <w:spacing w:after="0"/>
        <w:ind w:left="0" w:firstLine="360"/>
        <w:jc w:val="both"/>
        <w:rPr>
          <w:sz w:val="24"/>
          <w:szCs w:val="24"/>
          <w:lang w:val="ka-GE"/>
        </w:rPr>
      </w:pPr>
      <w:r w:rsidRPr="00446395">
        <w:rPr>
          <w:sz w:val="24"/>
          <w:szCs w:val="24"/>
          <w:lang w:val="ka-GE"/>
        </w:rPr>
        <w:t>მოსარჩელე მხარე სადავო ნორმის არაკონსტიტუციურად ცნობას ითხოვს საქართველოს კონსტიტუციის 2018 წლის 16 დეკემბრამდე მოქმედი რედაქციის</w:t>
      </w:r>
      <w:r w:rsidR="00F42847" w:rsidRPr="00446395">
        <w:rPr>
          <w:sz w:val="24"/>
          <w:szCs w:val="24"/>
          <w:lang w:val="ka-GE"/>
        </w:rPr>
        <w:t xml:space="preserve"> </w:t>
      </w:r>
      <w:r w:rsidR="004F2146" w:rsidRPr="00446395">
        <w:rPr>
          <w:sz w:val="24"/>
          <w:szCs w:val="24"/>
          <w:lang w:val="ka-GE"/>
        </w:rPr>
        <w:t>მე-18 მუხლის პირველ პუნქტ</w:t>
      </w:r>
      <w:r w:rsidR="00F42847" w:rsidRPr="00446395">
        <w:rPr>
          <w:sz w:val="24"/>
          <w:szCs w:val="24"/>
          <w:lang w:val="ka-GE"/>
        </w:rPr>
        <w:t xml:space="preserve">თან მიმართებით, რომელიც </w:t>
      </w:r>
      <w:r w:rsidR="004F2146" w:rsidRPr="00446395">
        <w:rPr>
          <w:sz w:val="24"/>
          <w:szCs w:val="24"/>
          <w:lang w:val="ka-GE"/>
        </w:rPr>
        <w:t>ადგენ</w:t>
      </w:r>
      <w:r w:rsidR="00561A65" w:rsidRPr="00446395">
        <w:rPr>
          <w:sz w:val="24"/>
          <w:szCs w:val="24"/>
          <w:lang w:val="ka-GE"/>
        </w:rPr>
        <w:t>და</w:t>
      </w:r>
      <w:r w:rsidR="004F2146" w:rsidRPr="00446395">
        <w:rPr>
          <w:sz w:val="24"/>
          <w:szCs w:val="24"/>
          <w:lang w:val="ka-GE"/>
        </w:rPr>
        <w:t>, რომ ადამიანის თავისუფლება ხელშეუვალია.</w:t>
      </w:r>
      <w:r w:rsidR="00714095" w:rsidRPr="00446395">
        <w:rPr>
          <w:sz w:val="24"/>
          <w:szCs w:val="24"/>
          <w:lang w:val="ka-GE"/>
        </w:rPr>
        <w:t xml:space="preserve"> </w:t>
      </w:r>
      <w:r w:rsidR="004F2146" w:rsidRPr="00446395">
        <w:rPr>
          <w:sz w:val="24"/>
          <w:szCs w:val="24"/>
          <w:lang w:val="ka-GE"/>
        </w:rPr>
        <w:t>კონსტიტუციური სარჩელის თანახმად, მოსარჩელე 2003 წლის 11 დეკემბრიდან სასჯელს იხდიდა სასჯელაღსრულების №7 დაწესებულებაში, საიდანაც გათავისუფლდა 2010 წლის 10 დეკემბერს. კანონიერი ქურდის სტატუსის გამო</w:t>
      </w:r>
      <w:r w:rsidR="006461D3" w:rsidRPr="00446395">
        <w:rPr>
          <w:sz w:val="24"/>
          <w:szCs w:val="24"/>
          <w:lang w:val="ka-GE"/>
        </w:rPr>
        <w:t>,</w:t>
      </w:r>
      <w:r w:rsidR="004F2146" w:rsidRPr="00446395">
        <w:rPr>
          <w:sz w:val="24"/>
          <w:szCs w:val="24"/>
          <w:lang w:val="ka-GE"/>
        </w:rPr>
        <w:t xml:space="preserve"> იგი იძულებული გახდა, გათავისუფლებისთანავე დაეტოვებინა საქართველოს ტერიტორია. 2015 წლის 11 ნოემბერს მოსარჩელე, საფრანგეთიდან დეპორტირების შემდეგ, კანონიერი ქურდობის ბრალდებით დააკავეს თბილისის საერთაშორისო აეროპორტში. თბილისის საქალაქო სასამართლოს 2015 წლის 12 ნოემბრის განჩინებით, ბრალდებულს აღკვეთის ღონისძიების სახით განესაზღვრა პატიმრობა. </w:t>
      </w:r>
    </w:p>
    <w:p w14:paraId="6955B789" w14:textId="572CF3ED" w:rsidR="004F2146" w:rsidRPr="00446395" w:rsidRDefault="004F2146" w:rsidP="00BE40C8">
      <w:pPr>
        <w:pStyle w:val="ListParagraph"/>
        <w:numPr>
          <w:ilvl w:val="0"/>
          <w:numId w:val="9"/>
        </w:numPr>
        <w:tabs>
          <w:tab w:val="left" w:pos="1170"/>
        </w:tabs>
        <w:spacing w:after="0"/>
        <w:ind w:left="0" w:firstLine="360"/>
        <w:jc w:val="both"/>
        <w:rPr>
          <w:sz w:val="24"/>
          <w:szCs w:val="24"/>
          <w:lang w:val="ka-GE"/>
        </w:rPr>
      </w:pPr>
      <w:r w:rsidRPr="00446395">
        <w:rPr>
          <w:sz w:val="24"/>
          <w:szCs w:val="24"/>
          <w:lang w:val="ka-GE"/>
        </w:rPr>
        <w:t>კონსტიტუციური სარჩელის ავტორის მოსაზრებით, სადავო ნორმა ბუნდოვანია, რადგან არ არის ცხადად განმარტებული, თუ კონკრეტულად რა ქმედება მოიაზრება კანონიერი ქურდობის ცნების ქვეშ. იგი გაუმართლებლად მიიჩნევს ამა თუ იმ მსოფლმხედველობის გამო პირის დასჯას. სარჩელის თანახმად, მოსარჩელის მიმართ წაყენებული ბრალდება ეფუძნება მხოლოდ იმ მტკიცებულებებს, რომელთა საფუძველზეც</w:t>
      </w:r>
      <w:r w:rsidR="006461D3" w:rsidRPr="00446395">
        <w:rPr>
          <w:sz w:val="24"/>
          <w:szCs w:val="24"/>
          <w:lang w:val="ka-GE"/>
        </w:rPr>
        <w:t>,</w:t>
      </w:r>
      <w:r w:rsidRPr="00446395">
        <w:rPr>
          <w:sz w:val="24"/>
          <w:szCs w:val="24"/>
          <w:lang w:val="ka-GE"/>
        </w:rPr>
        <w:t xml:space="preserve"> მის მიმართ უკვე დადგა და აღსრულდა განაჩენები. აღნიშნულის გამო, მოსარჩელე მიიჩნევს, რომ სადავო ნორმა ეწინააღმდეგება საქართველოს კონსტიტუციის მე-18 მუხლის პირველ პუნქტს</w:t>
      </w:r>
      <w:r w:rsidR="00F42847" w:rsidRPr="00446395">
        <w:rPr>
          <w:sz w:val="24"/>
          <w:szCs w:val="24"/>
          <w:lang w:val="ka-GE"/>
        </w:rPr>
        <w:t xml:space="preserve"> </w:t>
      </w:r>
      <w:r w:rsidR="00561884" w:rsidRPr="00446395">
        <w:rPr>
          <w:sz w:val="24"/>
          <w:szCs w:val="24"/>
          <w:lang w:val="ka-GE"/>
        </w:rPr>
        <w:t>(2018 წლის 16 დეკემბრამდე მოქმედი რედაქცია)</w:t>
      </w:r>
      <w:r w:rsidRPr="00446395">
        <w:rPr>
          <w:sz w:val="24"/>
          <w:szCs w:val="24"/>
          <w:lang w:val="ka-GE"/>
        </w:rPr>
        <w:t>.</w:t>
      </w:r>
      <w:r w:rsidR="00561884" w:rsidRPr="00446395">
        <w:rPr>
          <w:sz w:val="24"/>
          <w:szCs w:val="24"/>
          <w:lang w:val="ka-GE"/>
        </w:rPr>
        <w:t xml:space="preserve"> </w:t>
      </w:r>
    </w:p>
    <w:p w14:paraId="186F0213" w14:textId="77777777" w:rsidR="005B21B7" w:rsidRPr="00446395" w:rsidRDefault="005B21B7" w:rsidP="00BE40C8">
      <w:pPr>
        <w:pStyle w:val="ListParagraph"/>
        <w:numPr>
          <w:ilvl w:val="0"/>
          <w:numId w:val="9"/>
        </w:numPr>
        <w:tabs>
          <w:tab w:val="left" w:pos="1170"/>
        </w:tabs>
        <w:spacing w:after="0"/>
        <w:ind w:left="0" w:firstLine="360"/>
        <w:jc w:val="both"/>
        <w:rPr>
          <w:sz w:val="24"/>
          <w:szCs w:val="24"/>
          <w:lang w:val="ka-GE"/>
        </w:rPr>
      </w:pPr>
      <w:r w:rsidRPr="00446395">
        <w:rPr>
          <w:sz w:val="24"/>
          <w:szCs w:val="24"/>
          <w:lang w:val="ka-GE"/>
        </w:rPr>
        <w:lastRenderedPageBreak/>
        <w:t>საქართველოს საკონსტიტუციო სასამართლოს სსიპ „სახელმწიფო სერვისების განვითარების სააგენტოს“ 2023 წლის 12 ივნისის №01/136862 წერილით ეცნობა, რომ 2023 წლის 14 იანვარს გარდაიცვალა მოსარჩელე რევაზ ლორთქიფანიძე.</w:t>
      </w:r>
    </w:p>
    <w:p w14:paraId="75AF5DAE" w14:textId="77777777" w:rsidR="00E46C61" w:rsidRPr="00446395" w:rsidRDefault="00E46C61" w:rsidP="00E46C61">
      <w:pPr>
        <w:pStyle w:val="ListParagraph"/>
        <w:tabs>
          <w:tab w:val="left" w:pos="1170"/>
        </w:tabs>
        <w:spacing w:after="0"/>
        <w:ind w:left="360"/>
        <w:jc w:val="both"/>
        <w:rPr>
          <w:sz w:val="24"/>
          <w:szCs w:val="24"/>
          <w:lang w:val="ka-GE"/>
        </w:rPr>
      </w:pPr>
    </w:p>
    <w:p w14:paraId="63A9C0B0" w14:textId="77777777" w:rsidR="00E46C61" w:rsidRPr="00446395" w:rsidRDefault="00E46C61" w:rsidP="00E46C61">
      <w:pPr>
        <w:pStyle w:val="ListParagraph"/>
        <w:tabs>
          <w:tab w:val="left" w:pos="1170"/>
        </w:tabs>
        <w:spacing w:after="0"/>
        <w:ind w:left="360"/>
        <w:jc w:val="both"/>
        <w:rPr>
          <w:sz w:val="24"/>
          <w:szCs w:val="24"/>
          <w:lang w:val="ka-GE"/>
        </w:rPr>
      </w:pPr>
    </w:p>
    <w:p w14:paraId="0252101C" w14:textId="77777777" w:rsidR="004F2146" w:rsidRPr="00446395" w:rsidRDefault="00446395" w:rsidP="00446395">
      <w:pPr>
        <w:pStyle w:val="Heading1"/>
        <w:rPr>
          <w:sz w:val="24"/>
        </w:rPr>
      </w:pPr>
      <w:r w:rsidRPr="00446395">
        <w:rPr>
          <w:sz w:val="24"/>
        </w:rPr>
        <w:t>II</w:t>
      </w:r>
      <w:r w:rsidRPr="00446395">
        <w:rPr>
          <w:sz w:val="24"/>
        </w:rPr>
        <w:br/>
      </w:r>
      <w:r w:rsidR="004F2146" w:rsidRPr="00446395">
        <w:rPr>
          <w:sz w:val="24"/>
        </w:rPr>
        <w:t>სამოტივაციო ნაწილი</w:t>
      </w:r>
    </w:p>
    <w:p w14:paraId="2140B26E" w14:textId="77777777" w:rsidR="00561A65" w:rsidRPr="00446395" w:rsidRDefault="00561A65" w:rsidP="00BE40C8">
      <w:pPr>
        <w:numPr>
          <w:ilvl w:val="0"/>
          <w:numId w:val="3"/>
        </w:numPr>
        <w:spacing w:after="0"/>
        <w:ind w:left="0" w:right="26" w:firstLine="360"/>
        <w:jc w:val="both"/>
        <w:rPr>
          <w:sz w:val="24"/>
          <w:szCs w:val="24"/>
          <w:lang w:val="ka-GE"/>
        </w:rPr>
      </w:pPr>
      <w:r w:rsidRPr="00446395">
        <w:rPr>
          <w:sz w:val="24"/>
          <w:szCs w:val="24"/>
          <w:lang w:val="ka-GE"/>
        </w:rPr>
        <w:t>„საქართველოს საკონსტიტუციო სასამართლოს შესახებ</w:t>
      </w:r>
      <w:r w:rsidRPr="00446395">
        <w:rPr>
          <w:rFonts w:cs="AcadNusx"/>
          <w:bCs/>
          <w:sz w:val="24"/>
          <w:szCs w:val="24"/>
          <w:lang w:val="ka-GE"/>
        </w:rPr>
        <w:t>“</w:t>
      </w:r>
      <w:r w:rsidRPr="00446395">
        <w:rPr>
          <w:sz w:val="24"/>
          <w:szCs w:val="24"/>
          <w:lang w:val="ka-GE"/>
        </w:rPr>
        <w:t xml:space="preserve"> საქართველოს ორგანული კანონის 39-ე მუხლის პირველი პუნქტის „ა</w:t>
      </w:r>
      <w:r w:rsidRPr="00446395">
        <w:rPr>
          <w:rFonts w:cs="AcadNusx"/>
          <w:bCs/>
          <w:sz w:val="24"/>
          <w:szCs w:val="24"/>
          <w:lang w:val="ka-GE"/>
        </w:rPr>
        <w:t>“</w:t>
      </w:r>
      <w:r w:rsidRPr="00446395">
        <w:rPr>
          <w:sz w:val="24"/>
          <w:szCs w:val="24"/>
          <w:lang w:val="ka-GE"/>
        </w:rPr>
        <w:t xml:space="preserve"> ქვეპუნქტის თანახმად,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w:t>
      </w:r>
      <w:r w:rsidR="00485F63" w:rsidRPr="00446395">
        <w:rPr>
          <w:sz w:val="24"/>
          <w:szCs w:val="24"/>
          <w:lang w:val="ka-GE"/>
        </w:rPr>
        <w:t>,</w:t>
      </w:r>
      <w:r w:rsidRPr="00446395">
        <w:rPr>
          <w:sz w:val="24"/>
          <w:szCs w:val="24"/>
          <w:lang w:val="ka-GE"/>
        </w:rPr>
        <w:t xml:space="preserve"> უშუალოდ დაირღვეს საქართველოს კონსტიტუციის მეორე თავით აღიარებული მათი უფლებანი და თავისუფლებანი. </w:t>
      </w:r>
    </w:p>
    <w:p w14:paraId="4A09D88A" w14:textId="77777777" w:rsidR="002E074C" w:rsidRPr="00446395" w:rsidRDefault="00CE6794" w:rsidP="00BE40C8">
      <w:pPr>
        <w:numPr>
          <w:ilvl w:val="0"/>
          <w:numId w:val="3"/>
        </w:numPr>
        <w:spacing w:after="0"/>
        <w:ind w:left="0" w:right="26" w:firstLine="360"/>
        <w:jc w:val="both"/>
        <w:rPr>
          <w:sz w:val="24"/>
          <w:szCs w:val="24"/>
          <w:lang w:val="ka-GE"/>
        </w:rPr>
      </w:pPr>
      <w:r w:rsidRPr="00446395">
        <w:rPr>
          <w:sz w:val="24"/>
          <w:szCs w:val="24"/>
          <w:lang w:val="ka-GE"/>
        </w:rPr>
        <w:t xml:space="preserve">წინამდებარე საქმეზე </w:t>
      </w:r>
      <w:r w:rsidR="007B508F" w:rsidRPr="00446395">
        <w:rPr>
          <w:sz w:val="24"/>
          <w:szCs w:val="24"/>
          <w:lang w:val="ka-GE"/>
        </w:rPr>
        <w:t xml:space="preserve">საქართველოს საკონსტიტუციო სასამართლომ დაადგინა, რომ </w:t>
      </w:r>
      <w:r w:rsidR="00E46C61" w:rsidRPr="00446395">
        <w:rPr>
          <w:sz w:val="24"/>
          <w:szCs w:val="24"/>
          <w:lang w:val="ka-GE"/>
        </w:rPr>
        <w:t>№</w:t>
      </w:r>
      <w:r w:rsidR="003D3DFF" w:rsidRPr="00446395">
        <w:rPr>
          <w:sz w:val="24"/>
          <w:szCs w:val="24"/>
          <w:lang w:val="ka-GE"/>
        </w:rPr>
        <w:t>728</w:t>
      </w:r>
      <w:r w:rsidR="007B508F" w:rsidRPr="00446395">
        <w:rPr>
          <w:sz w:val="24"/>
          <w:szCs w:val="24"/>
          <w:lang w:val="ka-GE"/>
        </w:rPr>
        <w:t xml:space="preserve"> კონსტიტუციური სარჩელის არსებით</w:t>
      </w:r>
      <w:r w:rsidR="003D3DFF" w:rsidRPr="00446395">
        <w:rPr>
          <w:sz w:val="24"/>
          <w:szCs w:val="24"/>
          <w:lang w:val="ka-GE"/>
        </w:rPr>
        <w:t>ად</w:t>
      </w:r>
      <w:r w:rsidR="007B508F" w:rsidRPr="00446395">
        <w:rPr>
          <w:sz w:val="24"/>
          <w:szCs w:val="24"/>
          <w:lang w:val="ka-GE"/>
        </w:rPr>
        <w:t xml:space="preserve"> გან</w:t>
      </w:r>
      <w:r w:rsidR="003D3DFF" w:rsidRPr="00446395">
        <w:rPr>
          <w:sz w:val="24"/>
          <w:szCs w:val="24"/>
          <w:lang w:val="ka-GE"/>
        </w:rPr>
        <w:t>სა</w:t>
      </w:r>
      <w:r w:rsidR="007B508F" w:rsidRPr="00446395">
        <w:rPr>
          <w:sz w:val="24"/>
          <w:szCs w:val="24"/>
          <w:lang w:val="ka-GE"/>
        </w:rPr>
        <w:t>ხილვ</w:t>
      </w:r>
      <w:r w:rsidR="003D3DFF" w:rsidRPr="00446395">
        <w:rPr>
          <w:sz w:val="24"/>
          <w:szCs w:val="24"/>
          <w:lang w:val="ka-GE"/>
        </w:rPr>
        <w:t>ელად მიღების</w:t>
      </w:r>
      <w:r w:rsidR="007B508F" w:rsidRPr="00446395">
        <w:rPr>
          <w:sz w:val="24"/>
          <w:szCs w:val="24"/>
          <w:lang w:val="ka-GE"/>
        </w:rPr>
        <w:t xml:space="preserve"> შემდეგ გარდაიცვალა მოსარჩელე </w:t>
      </w:r>
      <w:r w:rsidR="003D3DFF" w:rsidRPr="00446395">
        <w:rPr>
          <w:sz w:val="24"/>
          <w:szCs w:val="24"/>
          <w:lang w:val="ka-GE"/>
        </w:rPr>
        <w:t>რევაზ ლორთქიფანიძე</w:t>
      </w:r>
      <w:r w:rsidR="007B508F" w:rsidRPr="00446395">
        <w:rPr>
          <w:sz w:val="24"/>
          <w:szCs w:val="24"/>
          <w:lang w:val="ka-GE"/>
        </w:rPr>
        <w:t>.</w:t>
      </w:r>
      <w:r w:rsidR="00007F88" w:rsidRPr="00446395">
        <w:rPr>
          <w:sz w:val="24"/>
          <w:szCs w:val="24"/>
          <w:lang w:val="ka-GE"/>
        </w:rPr>
        <w:t xml:space="preserve"> </w:t>
      </w:r>
    </w:p>
    <w:p w14:paraId="76C507E9" w14:textId="77777777" w:rsidR="00AA6F1D" w:rsidRPr="00446395" w:rsidRDefault="007B508F" w:rsidP="00BE40C8">
      <w:pPr>
        <w:numPr>
          <w:ilvl w:val="0"/>
          <w:numId w:val="3"/>
        </w:numPr>
        <w:spacing w:after="0"/>
        <w:ind w:left="0" w:right="26" w:firstLine="360"/>
        <w:jc w:val="both"/>
        <w:rPr>
          <w:sz w:val="24"/>
          <w:szCs w:val="24"/>
          <w:lang w:val="ka-GE"/>
        </w:rPr>
      </w:pPr>
      <w:r w:rsidRPr="00446395">
        <w:rPr>
          <w:sz w:val="24"/>
          <w:szCs w:val="24"/>
          <w:lang w:val="ka-GE"/>
        </w:rPr>
        <w:t xml:space="preserve">საქართველოს საკონსტიტუციო სასამართლოს </w:t>
      </w:r>
      <w:r w:rsidR="00607D6B" w:rsidRPr="00446395">
        <w:rPr>
          <w:sz w:val="24"/>
          <w:szCs w:val="24"/>
          <w:lang w:val="ka-GE"/>
        </w:rPr>
        <w:t xml:space="preserve">დამკვიდრებული </w:t>
      </w:r>
      <w:r w:rsidRPr="00446395">
        <w:rPr>
          <w:sz w:val="24"/>
          <w:szCs w:val="24"/>
          <w:lang w:val="ka-GE"/>
        </w:rPr>
        <w:t>პრაქტიკის მიხედვით, „საქართველოს საკონსტიტუციო სასამართლოს შესახებ</w:t>
      </w:r>
      <w:r w:rsidR="00E46C61" w:rsidRPr="00446395">
        <w:rPr>
          <w:sz w:val="24"/>
          <w:szCs w:val="24"/>
          <w:lang w:val="ka-GE"/>
        </w:rPr>
        <w:t>“</w:t>
      </w:r>
      <w:r w:rsidRPr="00446395">
        <w:rPr>
          <w:sz w:val="24"/>
          <w:szCs w:val="24"/>
          <w:lang w:val="ka-GE"/>
        </w:rPr>
        <w:t xml:space="preserve"> საქართველოს ორგანული კანონის 39-ე მუხლიდან გამომდინარე, სასარჩელო მოთხოვნა არ არსებობს კონკრეტული სუბიექტის გარეშე, შესაბამისად</w:t>
      </w:r>
      <w:r w:rsidR="00CE6794" w:rsidRPr="00446395">
        <w:rPr>
          <w:sz w:val="24"/>
          <w:szCs w:val="24"/>
          <w:lang w:val="ka-GE"/>
        </w:rPr>
        <w:t>,</w:t>
      </w:r>
      <w:r w:rsidRPr="00446395">
        <w:rPr>
          <w:sz w:val="24"/>
          <w:szCs w:val="24"/>
          <w:lang w:val="ka-GE"/>
        </w:rPr>
        <w:t xml:space="preserve"> მოსარჩელის გარდაცვალებით</w:t>
      </w:r>
      <w:r w:rsidR="007C1FDA" w:rsidRPr="00446395">
        <w:rPr>
          <w:sz w:val="24"/>
          <w:szCs w:val="24"/>
          <w:lang w:val="ka-GE"/>
        </w:rPr>
        <w:t>,</w:t>
      </w:r>
      <w:r w:rsidRPr="00446395">
        <w:rPr>
          <w:sz w:val="24"/>
          <w:szCs w:val="24"/>
          <w:lang w:val="ka-GE"/>
        </w:rPr>
        <w:t xml:space="preserve"> საფუძველი ეცლება მის</w:t>
      </w:r>
      <w:r w:rsidR="007C1FDA" w:rsidRPr="00446395">
        <w:rPr>
          <w:sz w:val="24"/>
          <w:szCs w:val="24"/>
          <w:lang w:val="ka-GE"/>
        </w:rPr>
        <w:t>ი</w:t>
      </w:r>
      <w:r w:rsidRPr="00446395">
        <w:rPr>
          <w:sz w:val="24"/>
          <w:szCs w:val="24"/>
          <w:lang w:val="ka-GE"/>
        </w:rPr>
        <w:t xml:space="preserve"> სასარჩელო მოთხოვნის განხილვას, რაც იწვევს საქმეზე საკონსტიტუციო სამართალწარმოების შეწყვეტას (იხ. საქართველოს საკონსტიტუციო სასამართლოს 2009 წლის 10 ივნისის </w:t>
      </w:r>
      <w:r w:rsidR="00561A65" w:rsidRPr="00446395">
        <w:rPr>
          <w:sz w:val="24"/>
          <w:szCs w:val="24"/>
          <w:lang w:val="ka-GE"/>
        </w:rPr>
        <w:t>№</w:t>
      </w:r>
      <w:r w:rsidRPr="00446395">
        <w:rPr>
          <w:sz w:val="24"/>
          <w:szCs w:val="24"/>
          <w:lang w:val="ka-GE"/>
        </w:rPr>
        <w:t xml:space="preserve">1/1/437 განჩინება საქმეზე „საქართველოს მოქალაქე კახაბერ ხუნდაძე საქართველოს პარლამენტის წინააღმდეგ“; საქართველოს საკონსტიტუციო სასამართლოს 2013 წლის 11 ივნისის </w:t>
      </w:r>
      <w:r w:rsidR="00561A65" w:rsidRPr="00446395">
        <w:rPr>
          <w:sz w:val="24"/>
          <w:szCs w:val="24"/>
          <w:lang w:val="ka-GE"/>
        </w:rPr>
        <w:t>№</w:t>
      </w:r>
      <w:r w:rsidR="006357E3" w:rsidRPr="00446395">
        <w:rPr>
          <w:sz w:val="24"/>
          <w:szCs w:val="24"/>
          <w:lang w:val="ka-GE"/>
        </w:rPr>
        <w:t xml:space="preserve">1/3/534 </w:t>
      </w:r>
      <w:r w:rsidRPr="00446395">
        <w:rPr>
          <w:sz w:val="24"/>
          <w:szCs w:val="24"/>
          <w:lang w:val="ka-GE"/>
        </w:rPr>
        <w:t xml:space="preserve">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საქართველოს საკონსტიტუციო სასამართლოს 2014 წლის 24 ივლისის </w:t>
      </w:r>
      <w:r w:rsidR="00561A65" w:rsidRPr="00446395">
        <w:rPr>
          <w:sz w:val="24"/>
          <w:szCs w:val="24"/>
          <w:lang w:val="ka-GE"/>
        </w:rPr>
        <w:t>№</w:t>
      </w:r>
      <w:r w:rsidRPr="00446395">
        <w:rPr>
          <w:sz w:val="24"/>
          <w:szCs w:val="24"/>
          <w:lang w:val="ka-GE"/>
        </w:rPr>
        <w:t xml:space="preserve">2/5/584 </w:t>
      </w:r>
      <w:r w:rsidR="00AA6F1D" w:rsidRPr="00446395">
        <w:rPr>
          <w:sz w:val="24"/>
          <w:szCs w:val="24"/>
          <w:lang w:val="ka-GE"/>
        </w:rPr>
        <w:t>განჩინება საქმეზე „საქართველოს მოქალაქე ზაალ გველესიანი საქართველოს იუსტიციის მინისტრის წინააღმდეგ“</w:t>
      </w:r>
      <w:r w:rsidR="003D3DFF" w:rsidRPr="00446395">
        <w:rPr>
          <w:sz w:val="24"/>
          <w:szCs w:val="24"/>
          <w:lang w:val="ka-GE"/>
        </w:rPr>
        <w:t xml:space="preserve">, საქართველოს საკონსტიტუციო სასამართლოს 2017 წლის 2 ივნისის </w:t>
      </w:r>
      <w:r w:rsidR="00561A65" w:rsidRPr="00446395">
        <w:rPr>
          <w:sz w:val="24"/>
          <w:szCs w:val="24"/>
          <w:lang w:val="ka-GE"/>
        </w:rPr>
        <w:t>№</w:t>
      </w:r>
      <w:r w:rsidR="003D3DFF" w:rsidRPr="00446395">
        <w:rPr>
          <w:sz w:val="24"/>
          <w:szCs w:val="24"/>
          <w:lang w:val="ka-GE"/>
        </w:rPr>
        <w:t>1/1/657 განჩინება საქმეზე „საქართველოს მოქალაქე გიორგი ფუტკარაძე საქართველოს პარლამენტის წინააღმდეგ“</w:t>
      </w:r>
      <w:r w:rsidR="00AA6F1D" w:rsidRPr="00446395">
        <w:rPr>
          <w:sz w:val="24"/>
          <w:szCs w:val="24"/>
          <w:lang w:val="ka-GE"/>
        </w:rPr>
        <w:t xml:space="preserve">). </w:t>
      </w:r>
    </w:p>
    <w:p w14:paraId="7FCD776B" w14:textId="0D9F5CC9" w:rsidR="00AA6F1D" w:rsidRPr="00446395" w:rsidRDefault="00AA6F1D" w:rsidP="00BE40C8">
      <w:pPr>
        <w:pStyle w:val="ListParagraph"/>
        <w:numPr>
          <w:ilvl w:val="0"/>
          <w:numId w:val="3"/>
        </w:numPr>
        <w:spacing w:after="0"/>
        <w:ind w:left="0" w:firstLine="360"/>
        <w:jc w:val="both"/>
        <w:rPr>
          <w:sz w:val="24"/>
          <w:szCs w:val="24"/>
          <w:lang w:val="ka-GE"/>
        </w:rPr>
      </w:pPr>
      <w:r w:rsidRPr="00446395">
        <w:rPr>
          <w:sz w:val="24"/>
          <w:szCs w:val="24"/>
          <w:lang w:val="ka-GE"/>
        </w:rPr>
        <w:t>სადავო სამართალურთიერთობის არსისა და სასარჩელო მოთხოვნის სპეციფიკის გათვალისწინებით, მოსარჩელის გარდაცვალებამ შესაძლებელია</w:t>
      </w:r>
      <w:r w:rsidR="00F6435F" w:rsidRPr="00446395">
        <w:rPr>
          <w:sz w:val="24"/>
          <w:szCs w:val="24"/>
          <w:lang w:val="ka-GE"/>
        </w:rPr>
        <w:t>,</w:t>
      </w:r>
      <w:r w:rsidRPr="00446395">
        <w:rPr>
          <w:sz w:val="24"/>
          <w:szCs w:val="24"/>
          <w:lang w:val="ka-GE"/>
        </w:rPr>
        <w:t xml:space="preserve"> </w:t>
      </w:r>
      <w:r w:rsidRPr="00446395">
        <w:rPr>
          <w:sz w:val="24"/>
          <w:szCs w:val="24"/>
          <w:lang w:val="ka-GE"/>
        </w:rPr>
        <w:lastRenderedPageBreak/>
        <w:t>ცალკეულ შემთხვევ</w:t>
      </w:r>
      <w:r w:rsidR="00F6435F" w:rsidRPr="00446395">
        <w:rPr>
          <w:sz w:val="24"/>
          <w:szCs w:val="24"/>
          <w:lang w:val="ka-GE"/>
        </w:rPr>
        <w:t>ა</w:t>
      </w:r>
      <w:r w:rsidRPr="00446395">
        <w:rPr>
          <w:sz w:val="24"/>
          <w:szCs w:val="24"/>
          <w:lang w:val="ka-GE"/>
        </w:rPr>
        <w:t>ში არ გამოაცალოს არსი სასარჩელო მოთხოვნას და არ ჩაითვალოს საქმის შეწყვეტის საფუძვლად, როდესაც საქმის გაგრძელება ემსახურება უშუალოდ გარდაცვლილი პირის უფლებებისა და მათი დაცვის კონსტიტუციურსამართლებრივი სტანდარტების დადგენას. აქე</w:t>
      </w:r>
      <w:r w:rsidR="005F0BCA" w:rsidRPr="00446395">
        <w:rPr>
          <w:sz w:val="24"/>
          <w:szCs w:val="24"/>
          <w:lang w:val="ka-GE"/>
        </w:rPr>
        <w:t xml:space="preserve">დან გამომდინარე, </w:t>
      </w:r>
      <w:r w:rsidRPr="00446395">
        <w:rPr>
          <w:sz w:val="24"/>
          <w:szCs w:val="24"/>
          <w:lang w:val="ka-GE"/>
        </w:rPr>
        <w:t>ასეთ შემთხვევაში</w:t>
      </w:r>
      <w:r w:rsidR="00F6435F" w:rsidRPr="00446395">
        <w:rPr>
          <w:sz w:val="24"/>
          <w:szCs w:val="24"/>
          <w:lang w:val="ka-GE"/>
        </w:rPr>
        <w:t>,</w:t>
      </w:r>
      <w:r w:rsidRPr="00446395">
        <w:rPr>
          <w:sz w:val="24"/>
          <w:szCs w:val="24"/>
          <w:lang w:val="ka-GE"/>
        </w:rPr>
        <w:t xml:space="preserve"> სასამართლომ შესაძლებელია</w:t>
      </w:r>
      <w:r w:rsidR="005F0BCA" w:rsidRPr="00446395">
        <w:rPr>
          <w:sz w:val="24"/>
          <w:szCs w:val="24"/>
          <w:lang w:val="ka-GE"/>
        </w:rPr>
        <w:t xml:space="preserve">, </w:t>
      </w:r>
      <w:r w:rsidRPr="00446395">
        <w:rPr>
          <w:sz w:val="24"/>
          <w:szCs w:val="24"/>
          <w:lang w:val="ka-GE"/>
        </w:rPr>
        <w:t>არ შეწყვიტოს სამართალწარმოება</w:t>
      </w:r>
      <w:r w:rsidR="00F6435F" w:rsidRPr="00446395">
        <w:rPr>
          <w:sz w:val="24"/>
          <w:szCs w:val="24"/>
          <w:lang w:val="ka-GE"/>
        </w:rPr>
        <w:t>,</w:t>
      </w:r>
      <w:r w:rsidRPr="00446395">
        <w:rPr>
          <w:sz w:val="24"/>
          <w:szCs w:val="24"/>
          <w:lang w:val="ka-GE"/>
        </w:rPr>
        <w:t xml:space="preserve"> თუ სამართალურთიერთობის სპეციფიკის გათვალისწინებით</w:t>
      </w:r>
      <w:r w:rsidR="00F6435F" w:rsidRPr="00446395">
        <w:rPr>
          <w:sz w:val="24"/>
          <w:szCs w:val="24"/>
          <w:lang w:val="ka-GE"/>
        </w:rPr>
        <w:t>,</w:t>
      </w:r>
      <w:r w:rsidRPr="00446395">
        <w:rPr>
          <w:sz w:val="24"/>
          <w:szCs w:val="24"/>
          <w:lang w:val="ka-GE"/>
        </w:rPr>
        <w:t xml:space="preserve"> საქმის შეწყვეტა თავად კონსტიტუციური დავის მიზნებთან მოვა წინააღმდეგობაში (იხ. საქართველოს საკონსტიტუციო სასამართლოს 2016 წლის 30 სექტემბრის </w:t>
      </w:r>
      <w:r w:rsidR="00561A65" w:rsidRPr="00446395">
        <w:rPr>
          <w:sz w:val="24"/>
          <w:szCs w:val="24"/>
          <w:lang w:val="ka-GE"/>
        </w:rPr>
        <w:t>№</w:t>
      </w:r>
      <w:r w:rsidRPr="00446395">
        <w:rPr>
          <w:sz w:val="24"/>
          <w:szCs w:val="24"/>
          <w:lang w:val="ka-GE"/>
        </w:rPr>
        <w:t>1/6/561,568 გადაწყვეტილება საქმეზე „</w:t>
      </w:r>
      <w:r w:rsidRPr="00446395">
        <w:rPr>
          <w:rFonts w:cs="Sylfaen"/>
          <w:sz w:val="24"/>
          <w:szCs w:val="24"/>
          <w:lang w:val="ka-GE"/>
        </w:rPr>
        <w:t>საქართველოს</w:t>
      </w:r>
      <w:r w:rsidRPr="00446395">
        <w:rPr>
          <w:sz w:val="24"/>
          <w:szCs w:val="24"/>
          <w:lang w:val="ka-GE"/>
        </w:rPr>
        <w:t xml:space="preserve"> </w:t>
      </w:r>
      <w:r w:rsidRPr="00446395">
        <w:rPr>
          <w:rFonts w:cs="Sylfaen"/>
          <w:sz w:val="24"/>
          <w:szCs w:val="24"/>
          <w:lang w:val="ka-GE"/>
        </w:rPr>
        <w:t>მოქალაქე</w:t>
      </w:r>
      <w:r w:rsidRPr="00446395">
        <w:rPr>
          <w:sz w:val="24"/>
          <w:szCs w:val="24"/>
          <w:lang w:val="ka-GE"/>
        </w:rPr>
        <w:t xml:space="preserve"> </w:t>
      </w:r>
      <w:r w:rsidRPr="00446395">
        <w:rPr>
          <w:rFonts w:cs="Sylfaen"/>
          <w:sz w:val="24"/>
          <w:szCs w:val="24"/>
          <w:lang w:val="ka-GE"/>
        </w:rPr>
        <w:t>იური</w:t>
      </w:r>
      <w:r w:rsidRPr="00446395">
        <w:rPr>
          <w:sz w:val="24"/>
          <w:szCs w:val="24"/>
          <w:lang w:val="ka-GE"/>
        </w:rPr>
        <w:t xml:space="preserve"> </w:t>
      </w:r>
      <w:r w:rsidRPr="00446395">
        <w:rPr>
          <w:rFonts w:cs="Sylfaen"/>
          <w:sz w:val="24"/>
          <w:szCs w:val="24"/>
          <w:lang w:val="ka-GE"/>
        </w:rPr>
        <w:t>ვაზაგაშვილი</w:t>
      </w:r>
      <w:r w:rsidRPr="00446395">
        <w:rPr>
          <w:sz w:val="24"/>
          <w:szCs w:val="24"/>
          <w:lang w:val="ka-GE"/>
        </w:rPr>
        <w:t xml:space="preserve"> </w:t>
      </w:r>
      <w:r w:rsidRPr="00446395">
        <w:rPr>
          <w:rFonts w:cs="Sylfaen"/>
          <w:sz w:val="24"/>
          <w:szCs w:val="24"/>
          <w:lang w:val="ka-GE"/>
        </w:rPr>
        <w:t>საქართველოს</w:t>
      </w:r>
      <w:r w:rsidRPr="00446395">
        <w:rPr>
          <w:sz w:val="24"/>
          <w:szCs w:val="24"/>
          <w:lang w:val="ka-GE"/>
        </w:rPr>
        <w:t xml:space="preserve"> </w:t>
      </w:r>
      <w:r w:rsidRPr="00446395">
        <w:rPr>
          <w:rFonts w:cs="Sylfaen"/>
          <w:sz w:val="24"/>
          <w:szCs w:val="24"/>
          <w:lang w:val="ka-GE"/>
        </w:rPr>
        <w:t>პარლამენტის</w:t>
      </w:r>
      <w:r w:rsidRPr="00446395">
        <w:rPr>
          <w:sz w:val="24"/>
          <w:szCs w:val="24"/>
          <w:lang w:val="ka-GE"/>
        </w:rPr>
        <w:t xml:space="preserve"> </w:t>
      </w:r>
      <w:r w:rsidRPr="00446395">
        <w:rPr>
          <w:rFonts w:cs="Sylfaen"/>
          <w:sz w:val="24"/>
          <w:szCs w:val="24"/>
          <w:lang w:val="ka-GE"/>
        </w:rPr>
        <w:t>წინააღმდეგ“</w:t>
      </w:r>
      <w:r w:rsidR="003D3DFF" w:rsidRPr="00446395">
        <w:rPr>
          <w:rFonts w:cs="Sylfaen"/>
          <w:sz w:val="24"/>
          <w:szCs w:val="24"/>
          <w:lang w:val="ka-GE"/>
        </w:rPr>
        <w:t xml:space="preserve">, </w:t>
      </w:r>
      <w:r w:rsidR="003D3DFF" w:rsidRPr="00446395">
        <w:rPr>
          <w:sz w:val="24"/>
          <w:szCs w:val="24"/>
          <w:lang w:val="ka-GE"/>
        </w:rPr>
        <w:t xml:space="preserve">საქართველოს საკონსტიტუციო სასამართლოს 2017 წლის 2 ივნისის </w:t>
      </w:r>
      <w:r w:rsidR="00561A65" w:rsidRPr="00446395">
        <w:rPr>
          <w:sz w:val="24"/>
          <w:szCs w:val="24"/>
          <w:lang w:val="ka-GE"/>
        </w:rPr>
        <w:t>№</w:t>
      </w:r>
      <w:r w:rsidR="003D3DFF" w:rsidRPr="00446395">
        <w:rPr>
          <w:sz w:val="24"/>
          <w:szCs w:val="24"/>
          <w:lang w:val="ka-GE"/>
        </w:rPr>
        <w:t>1/1/657 განჩინება საქმეზე „საქართველოს მოქალაქე გიორგი ფუტკარაძე საქართველოს პარლამენტის წინააღმდეგ“</w:t>
      </w:r>
      <w:r w:rsidRPr="00446395">
        <w:rPr>
          <w:rFonts w:cs="Sylfaen"/>
          <w:sz w:val="24"/>
          <w:szCs w:val="24"/>
          <w:lang w:val="ka-GE"/>
        </w:rPr>
        <w:t>).</w:t>
      </w:r>
    </w:p>
    <w:p w14:paraId="086B34CB" w14:textId="77777777" w:rsidR="00F564E1" w:rsidRPr="00446395" w:rsidRDefault="00AA6F1D" w:rsidP="00BE40C8">
      <w:pPr>
        <w:pStyle w:val="ListParagraph"/>
        <w:numPr>
          <w:ilvl w:val="0"/>
          <w:numId w:val="3"/>
        </w:numPr>
        <w:spacing w:after="0"/>
        <w:ind w:left="0" w:firstLine="360"/>
        <w:jc w:val="both"/>
        <w:rPr>
          <w:sz w:val="24"/>
          <w:szCs w:val="24"/>
          <w:lang w:val="ka-GE"/>
        </w:rPr>
      </w:pPr>
      <w:r w:rsidRPr="00446395">
        <w:rPr>
          <w:rFonts w:cs="Sylfaen"/>
          <w:sz w:val="24"/>
          <w:szCs w:val="24"/>
          <w:lang w:val="ka-GE"/>
        </w:rPr>
        <w:t xml:space="preserve">მოცემული დავის ფარგლებში არ იკვეთება ამგვარი გამონაკლისი შემთხვევის არსებობა. შესაბამისად,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ქვეპუნქტიდან გამომდინარე, საკონსტიტუციო სასამართლო აღნიშნავს, ვინაიდან სასარჩელო მოთხოვნა არ არსებობს კონკრეტული სუბიექტის გარეშე, მოსარჩელე </w:t>
      </w:r>
      <w:r w:rsidR="003D3DFF" w:rsidRPr="00446395">
        <w:rPr>
          <w:rFonts w:cs="Sylfaen"/>
          <w:sz w:val="24"/>
          <w:szCs w:val="24"/>
          <w:lang w:val="ka-GE"/>
        </w:rPr>
        <w:t>რევაზ ლორთქიფანიძის</w:t>
      </w:r>
      <w:r w:rsidRPr="00446395">
        <w:rPr>
          <w:rFonts w:cs="Sylfaen"/>
          <w:sz w:val="24"/>
          <w:szCs w:val="24"/>
          <w:lang w:val="ka-GE"/>
        </w:rPr>
        <w:t xml:space="preserve"> გარდაცვალებით საფუძველი გამოეცალა მის სასარჩელო მოთხოვნას. აღნიშნულიდან გამომდინარე, </w:t>
      </w:r>
      <w:r w:rsidRPr="00446395">
        <w:rPr>
          <w:sz w:val="24"/>
          <w:szCs w:val="24"/>
          <w:lang w:val="ka-GE"/>
        </w:rPr>
        <w:t>№</w:t>
      </w:r>
      <w:r w:rsidR="003D3DFF" w:rsidRPr="00446395">
        <w:rPr>
          <w:sz w:val="24"/>
          <w:szCs w:val="24"/>
          <w:lang w:val="ka-GE"/>
        </w:rPr>
        <w:t>728</w:t>
      </w:r>
      <w:r w:rsidRPr="00446395">
        <w:rPr>
          <w:sz w:val="24"/>
          <w:szCs w:val="24"/>
          <w:lang w:val="ka-GE"/>
        </w:rPr>
        <w:t xml:space="preserve"> კონსტიტუციურ სარჩელზე სამართალწარმოება უნდა შეწყდეს.</w:t>
      </w:r>
    </w:p>
    <w:p w14:paraId="13D4F909" w14:textId="77777777" w:rsidR="00F564E1" w:rsidRPr="00446395" w:rsidRDefault="00F564E1" w:rsidP="00BE40C8">
      <w:pPr>
        <w:pStyle w:val="ListParagraph"/>
        <w:spacing w:after="0"/>
        <w:ind w:left="540" w:firstLine="360"/>
        <w:jc w:val="both"/>
        <w:rPr>
          <w:b/>
          <w:sz w:val="24"/>
          <w:szCs w:val="24"/>
          <w:lang w:val="ka-GE"/>
        </w:rPr>
      </w:pPr>
    </w:p>
    <w:p w14:paraId="6C6284F7" w14:textId="77777777" w:rsidR="00E46C61" w:rsidRPr="00446395" w:rsidRDefault="00E46C61" w:rsidP="00BE40C8">
      <w:pPr>
        <w:pStyle w:val="ListParagraph"/>
        <w:spacing w:after="0"/>
        <w:ind w:left="540" w:firstLine="360"/>
        <w:jc w:val="both"/>
        <w:rPr>
          <w:b/>
          <w:sz w:val="24"/>
          <w:szCs w:val="24"/>
          <w:lang w:val="ka-GE"/>
        </w:rPr>
      </w:pPr>
    </w:p>
    <w:p w14:paraId="1A93E880" w14:textId="77777777" w:rsidR="00236302" w:rsidRPr="00446395" w:rsidRDefault="00446395" w:rsidP="00446395">
      <w:pPr>
        <w:pStyle w:val="Heading1"/>
        <w:rPr>
          <w:sz w:val="24"/>
          <w:lang w:val="ka-GE"/>
        </w:rPr>
      </w:pPr>
      <w:r w:rsidRPr="00446395">
        <w:rPr>
          <w:sz w:val="24"/>
          <w:lang w:val="ka-GE"/>
        </w:rPr>
        <w:t>III</w:t>
      </w:r>
      <w:r w:rsidRPr="00446395">
        <w:rPr>
          <w:sz w:val="24"/>
        </w:rPr>
        <w:t xml:space="preserve"> </w:t>
      </w:r>
      <w:r w:rsidRPr="00446395">
        <w:rPr>
          <w:sz w:val="24"/>
        </w:rPr>
        <w:br/>
      </w:r>
      <w:r w:rsidR="00236302" w:rsidRPr="00446395">
        <w:rPr>
          <w:sz w:val="24"/>
        </w:rPr>
        <w:t>სარეზოლუციო ნაწილი</w:t>
      </w:r>
    </w:p>
    <w:p w14:paraId="374B3837" w14:textId="35B737D4" w:rsidR="00DA66D6" w:rsidRPr="00446395" w:rsidRDefault="00DA66D6" w:rsidP="00BE40C8">
      <w:pPr>
        <w:tabs>
          <w:tab w:val="left" w:pos="900"/>
        </w:tabs>
        <w:spacing w:after="0"/>
        <w:ind w:firstLine="360"/>
        <w:jc w:val="both"/>
        <w:rPr>
          <w:rFonts w:cs="AcadNusx"/>
          <w:sz w:val="24"/>
          <w:szCs w:val="24"/>
          <w:lang w:val="ka-GE"/>
        </w:rPr>
      </w:pPr>
      <w:r w:rsidRPr="00446395">
        <w:rPr>
          <w:rFonts w:cs="AcadNusx"/>
          <w:sz w:val="24"/>
          <w:szCs w:val="24"/>
          <w:lang w:val="ka-GE"/>
        </w:rPr>
        <w:t xml:space="preserve">საქართველოს კონსტიტუციის </w:t>
      </w:r>
      <w:r w:rsidR="003D3DFF" w:rsidRPr="00446395">
        <w:rPr>
          <w:rFonts w:cs="AcadNusx"/>
          <w:sz w:val="24"/>
          <w:szCs w:val="24"/>
          <w:lang w:val="ka-GE"/>
        </w:rPr>
        <w:t>მე-60</w:t>
      </w:r>
      <w:r w:rsidRPr="00446395">
        <w:rPr>
          <w:rFonts w:cs="AcadNusx"/>
          <w:sz w:val="24"/>
          <w:szCs w:val="24"/>
          <w:lang w:val="ka-GE"/>
        </w:rPr>
        <w:t xml:space="preserve"> მუხლის </w:t>
      </w:r>
      <w:r w:rsidR="003D3DFF" w:rsidRPr="00446395">
        <w:rPr>
          <w:rFonts w:cs="AcadNusx"/>
          <w:sz w:val="24"/>
          <w:szCs w:val="24"/>
          <w:lang w:val="ka-GE"/>
        </w:rPr>
        <w:t>მე-4</w:t>
      </w:r>
      <w:r w:rsidRPr="00446395">
        <w:rPr>
          <w:rFonts w:cs="AcadNusx"/>
          <w:sz w:val="24"/>
          <w:szCs w:val="24"/>
          <w:lang w:val="ka-GE"/>
        </w:rPr>
        <w:t xml:space="preserve"> პუნქტის „</w:t>
      </w:r>
      <w:r w:rsidR="00F42847" w:rsidRPr="00446395">
        <w:rPr>
          <w:rFonts w:cs="AcadNusx"/>
          <w:sz w:val="24"/>
          <w:szCs w:val="24"/>
          <w:lang w:val="ka-GE"/>
        </w:rPr>
        <w:t>ა</w:t>
      </w:r>
      <w:r w:rsidRPr="00446395">
        <w:rPr>
          <w:rFonts w:cs="AcadNusx"/>
          <w:sz w:val="24"/>
          <w:szCs w:val="24"/>
          <w:lang w:val="ka-GE"/>
        </w:rPr>
        <w:t>“ ქვეპუნქტის,</w:t>
      </w:r>
      <w:r w:rsidR="00A87B5E" w:rsidRPr="00446395">
        <w:rPr>
          <w:rFonts w:cs="AcadNusx"/>
          <w:sz w:val="24"/>
          <w:szCs w:val="24"/>
          <w:lang w:val="ka-GE"/>
        </w:rPr>
        <w:t xml:space="preserve"> </w:t>
      </w:r>
      <w:r w:rsidR="00A87B5E" w:rsidRPr="00446395">
        <w:rPr>
          <w:sz w:val="24"/>
          <w:szCs w:val="24"/>
          <w:lang w:val="ka-GE"/>
        </w:rPr>
        <w:t>„საქართველოს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მე-2 მუხლის მე-4 პუნქტის,</w:t>
      </w:r>
      <w:r w:rsidRPr="00446395">
        <w:rPr>
          <w:rFonts w:cs="AcadNusx"/>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39–ე მუხლის პირველი პუნქტის „ა“ ქვეპუნქტის, 43–ე მუხლის პირველი, მე-2, </w:t>
      </w:r>
      <w:r w:rsidR="00A87B5E" w:rsidRPr="00446395">
        <w:rPr>
          <w:rFonts w:cs="AcadNusx"/>
          <w:sz w:val="24"/>
          <w:szCs w:val="24"/>
          <w:lang w:val="ka-GE"/>
        </w:rPr>
        <w:t xml:space="preserve">მე-5, </w:t>
      </w:r>
      <w:r w:rsidRPr="00446395">
        <w:rPr>
          <w:rFonts w:cs="AcadNusx"/>
          <w:sz w:val="24"/>
          <w:szCs w:val="24"/>
          <w:lang w:val="ka-GE"/>
        </w:rPr>
        <w:t xml:space="preserve">მე-7, მე–8, მე-10 და მე-13 პუნქტების, </w:t>
      </w:r>
      <w:r w:rsidR="00705FED" w:rsidRPr="00446395">
        <w:rPr>
          <w:rFonts w:cs="AcadNusx"/>
          <w:sz w:val="24"/>
          <w:szCs w:val="24"/>
          <w:lang w:val="ka-GE"/>
        </w:rPr>
        <w:t>საფუძველზე,</w:t>
      </w:r>
    </w:p>
    <w:p w14:paraId="5BB854EB" w14:textId="77777777" w:rsidR="004E5EDD" w:rsidRPr="00446395" w:rsidRDefault="004E5EDD" w:rsidP="00BE40C8">
      <w:pPr>
        <w:ind w:firstLine="360"/>
        <w:rPr>
          <w:sz w:val="24"/>
          <w:szCs w:val="24"/>
          <w:lang w:val="ka-GE"/>
        </w:rPr>
      </w:pPr>
    </w:p>
    <w:p w14:paraId="499EAB63" w14:textId="77777777" w:rsidR="00236302" w:rsidRPr="00446395" w:rsidRDefault="00236302" w:rsidP="00BE40C8">
      <w:pPr>
        <w:spacing w:after="0"/>
        <w:ind w:firstLine="360"/>
        <w:jc w:val="center"/>
        <w:rPr>
          <w:b/>
          <w:sz w:val="24"/>
          <w:szCs w:val="24"/>
          <w:lang w:val="ka-GE"/>
        </w:rPr>
      </w:pPr>
      <w:r w:rsidRPr="00446395">
        <w:rPr>
          <w:b/>
          <w:sz w:val="24"/>
          <w:szCs w:val="24"/>
          <w:lang w:val="ka-GE"/>
        </w:rPr>
        <w:t>საქართველოს საკონსტიტუციო სასამართლო</w:t>
      </w:r>
    </w:p>
    <w:p w14:paraId="6721E402" w14:textId="77777777" w:rsidR="00236302" w:rsidRPr="00446395" w:rsidRDefault="00236302" w:rsidP="00BE40C8">
      <w:pPr>
        <w:spacing w:after="0"/>
        <w:ind w:firstLine="360"/>
        <w:jc w:val="center"/>
        <w:rPr>
          <w:b/>
          <w:sz w:val="24"/>
          <w:szCs w:val="24"/>
          <w:lang w:val="ka-GE"/>
        </w:rPr>
      </w:pPr>
      <w:r w:rsidRPr="00446395">
        <w:rPr>
          <w:b/>
          <w:sz w:val="24"/>
          <w:szCs w:val="24"/>
          <w:lang w:val="ka-GE"/>
        </w:rPr>
        <w:t>ადგენს:</w:t>
      </w:r>
    </w:p>
    <w:p w14:paraId="1A3501E9" w14:textId="77777777" w:rsidR="003E1E9B" w:rsidRPr="00446395" w:rsidRDefault="003E1E9B" w:rsidP="00BE40C8">
      <w:pPr>
        <w:spacing w:after="0"/>
        <w:ind w:firstLine="360"/>
        <w:jc w:val="center"/>
        <w:rPr>
          <w:b/>
          <w:sz w:val="24"/>
          <w:szCs w:val="24"/>
          <w:lang w:val="ka-GE"/>
        </w:rPr>
      </w:pPr>
    </w:p>
    <w:p w14:paraId="7E9711AC" w14:textId="77777777" w:rsidR="004E5EDD" w:rsidRPr="00446395" w:rsidRDefault="004E5EDD" w:rsidP="00BE40C8">
      <w:pPr>
        <w:numPr>
          <w:ilvl w:val="0"/>
          <w:numId w:val="8"/>
        </w:numPr>
        <w:tabs>
          <w:tab w:val="left" w:pos="0"/>
          <w:tab w:val="left" w:pos="810"/>
          <w:tab w:val="left" w:pos="900"/>
          <w:tab w:val="left" w:pos="1260"/>
        </w:tabs>
        <w:spacing w:after="0"/>
        <w:ind w:left="0" w:firstLine="360"/>
        <w:jc w:val="both"/>
        <w:rPr>
          <w:sz w:val="24"/>
          <w:szCs w:val="24"/>
          <w:lang w:val="ka-GE"/>
        </w:rPr>
      </w:pPr>
      <w:r w:rsidRPr="00446395">
        <w:rPr>
          <w:sz w:val="24"/>
          <w:szCs w:val="24"/>
          <w:lang w:val="ka-GE"/>
        </w:rPr>
        <w:lastRenderedPageBreak/>
        <w:t xml:space="preserve">შეწყდეს </w:t>
      </w:r>
      <w:r w:rsidR="00A87B5E" w:rsidRPr="00446395">
        <w:rPr>
          <w:sz w:val="24"/>
          <w:szCs w:val="24"/>
          <w:lang w:val="ka-GE"/>
        </w:rPr>
        <w:t xml:space="preserve">საქმე </w:t>
      </w:r>
      <w:r w:rsidR="004E2E81" w:rsidRPr="00446395">
        <w:rPr>
          <w:sz w:val="24"/>
          <w:szCs w:val="24"/>
          <w:lang w:val="ka-GE"/>
        </w:rPr>
        <w:t>№</w:t>
      </w:r>
      <w:r w:rsidR="00F32B63" w:rsidRPr="00446395">
        <w:rPr>
          <w:sz w:val="24"/>
          <w:szCs w:val="24"/>
          <w:lang w:val="ka-GE"/>
        </w:rPr>
        <w:t>728</w:t>
      </w:r>
      <w:r w:rsidR="006D1723" w:rsidRPr="00446395">
        <w:rPr>
          <w:sz w:val="24"/>
          <w:szCs w:val="24"/>
          <w:lang w:val="ka-GE"/>
        </w:rPr>
        <w:t xml:space="preserve"> კონსტიტუციურ სარჩელზე („</w:t>
      </w:r>
      <w:r w:rsidR="00F32B63" w:rsidRPr="00446395">
        <w:rPr>
          <w:sz w:val="24"/>
          <w:szCs w:val="24"/>
          <w:lang w:val="ka-GE"/>
        </w:rPr>
        <w:t>რევაზ ლორთქიფანიძე</w:t>
      </w:r>
      <w:r w:rsidR="004E2E81" w:rsidRPr="00446395">
        <w:rPr>
          <w:sz w:val="24"/>
          <w:szCs w:val="24"/>
          <w:lang w:val="ka-GE"/>
        </w:rPr>
        <w:t xml:space="preserve"> საქართველოს პარლამენტის წინააღმდეგ“).</w:t>
      </w:r>
    </w:p>
    <w:p w14:paraId="048DDF03" w14:textId="77777777" w:rsidR="004E5EDD" w:rsidRPr="00446395" w:rsidRDefault="004E5EDD" w:rsidP="00BE40C8">
      <w:pPr>
        <w:numPr>
          <w:ilvl w:val="0"/>
          <w:numId w:val="8"/>
        </w:numPr>
        <w:tabs>
          <w:tab w:val="left" w:pos="0"/>
          <w:tab w:val="left" w:pos="810"/>
          <w:tab w:val="left" w:pos="900"/>
          <w:tab w:val="left" w:pos="1260"/>
        </w:tabs>
        <w:spacing w:after="0"/>
        <w:ind w:left="0" w:firstLine="360"/>
        <w:jc w:val="both"/>
        <w:rPr>
          <w:sz w:val="24"/>
          <w:szCs w:val="24"/>
          <w:lang w:val="ka-GE"/>
        </w:rPr>
      </w:pPr>
      <w:r w:rsidRPr="00446395">
        <w:rPr>
          <w:sz w:val="24"/>
          <w:szCs w:val="24"/>
          <w:lang w:val="ka-GE"/>
        </w:rPr>
        <w:t xml:space="preserve">განჩინება საბოლოოა და გასაჩივრებას ან გადასინჯვას არ ექვემდებარება. </w:t>
      </w:r>
    </w:p>
    <w:p w14:paraId="51B11C61" w14:textId="50E58B51" w:rsidR="004E5EDD" w:rsidRPr="00446395" w:rsidRDefault="004E5EDD" w:rsidP="00BE40C8">
      <w:pPr>
        <w:numPr>
          <w:ilvl w:val="0"/>
          <w:numId w:val="8"/>
        </w:numPr>
        <w:tabs>
          <w:tab w:val="left" w:pos="0"/>
          <w:tab w:val="left" w:pos="810"/>
          <w:tab w:val="left" w:pos="900"/>
          <w:tab w:val="left" w:pos="1260"/>
        </w:tabs>
        <w:spacing w:after="0"/>
        <w:ind w:left="0" w:firstLine="360"/>
        <w:jc w:val="both"/>
        <w:rPr>
          <w:sz w:val="24"/>
          <w:szCs w:val="24"/>
          <w:lang w:val="ka-GE"/>
        </w:rPr>
      </w:pPr>
      <w:r w:rsidRPr="00446395">
        <w:rPr>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w:t>
      </w:r>
      <w:r w:rsidR="003B2EED" w:rsidRPr="00446395">
        <w:rPr>
          <w:sz w:val="24"/>
          <w:szCs w:val="24"/>
          <w:lang w:val="ka-GE"/>
        </w:rPr>
        <w:t>,</w:t>
      </w:r>
      <w:r w:rsidR="00EB43AA" w:rsidRPr="00446395">
        <w:rPr>
          <w:sz w:val="24"/>
          <w:szCs w:val="24"/>
          <w:lang w:val="ka-GE"/>
        </w:rPr>
        <w:t xml:space="preserve"> გაეგზავნოს</w:t>
      </w:r>
      <w:r w:rsidRPr="00446395">
        <w:rPr>
          <w:sz w:val="24"/>
          <w:szCs w:val="24"/>
          <w:lang w:val="ka-GE"/>
        </w:rPr>
        <w:t xml:space="preserve"> </w:t>
      </w:r>
      <w:r w:rsidR="003B2EED" w:rsidRPr="00446395">
        <w:rPr>
          <w:sz w:val="24"/>
          <w:szCs w:val="24"/>
          <w:lang w:val="ka-GE"/>
        </w:rPr>
        <w:t xml:space="preserve">საქართველოს პარლამენტს და </w:t>
      </w:r>
      <w:r w:rsidRPr="00446395">
        <w:rPr>
          <w:sz w:val="24"/>
          <w:szCs w:val="24"/>
          <w:lang w:val="ka-GE"/>
        </w:rPr>
        <w:t xml:space="preserve">„საქართველოს საკანონმდებლო მაცნეს“. </w:t>
      </w:r>
    </w:p>
    <w:p w14:paraId="129A881D" w14:textId="77777777" w:rsidR="00236302" w:rsidRPr="00446395" w:rsidRDefault="00236302" w:rsidP="00BE40C8">
      <w:pPr>
        <w:ind w:firstLine="360"/>
        <w:rPr>
          <w:sz w:val="24"/>
          <w:szCs w:val="24"/>
          <w:lang w:val="ka-GE"/>
        </w:rPr>
      </w:pPr>
    </w:p>
    <w:p w14:paraId="4D646FF7" w14:textId="77777777" w:rsidR="009671D7" w:rsidRPr="00446395" w:rsidRDefault="009671D7" w:rsidP="00BE40C8">
      <w:pPr>
        <w:spacing w:after="0"/>
        <w:ind w:firstLine="360"/>
        <w:jc w:val="both"/>
        <w:rPr>
          <w:b/>
          <w:sz w:val="24"/>
          <w:szCs w:val="24"/>
          <w:lang w:val="ka-GE"/>
        </w:rPr>
      </w:pPr>
      <w:r w:rsidRPr="00446395">
        <w:rPr>
          <w:b/>
          <w:sz w:val="24"/>
          <w:szCs w:val="24"/>
          <w:lang w:val="ka-GE"/>
        </w:rPr>
        <w:t>კოლეგიის შემადგენლობა:</w:t>
      </w:r>
    </w:p>
    <w:p w14:paraId="21282FBF" w14:textId="77777777" w:rsidR="009671D7" w:rsidRPr="00446395" w:rsidRDefault="009671D7" w:rsidP="00BE40C8">
      <w:pPr>
        <w:spacing w:after="0"/>
        <w:ind w:firstLine="360"/>
        <w:jc w:val="both"/>
        <w:rPr>
          <w:b/>
          <w:sz w:val="24"/>
          <w:szCs w:val="24"/>
          <w:lang w:val="ka-GE"/>
        </w:rPr>
      </w:pPr>
    </w:p>
    <w:p w14:paraId="1DBC8423" w14:textId="77777777" w:rsidR="00F32B63" w:rsidRPr="00446395" w:rsidRDefault="00F32B63" w:rsidP="00BE40C8">
      <w:pPr>
        <w:pBdr>
          <w:top w:val="nil"/>
          <w:left w:val="nil"/>
          <w:bottom w:val="nil"/>
          <w:right w:val="nil"/>
          <w:between w:val="nil"/>
          <w:bar w:val="nil"/>
        </w:pBdr>
        <w:spacing w:after="0"/>
        <w:ind w:firstLine="360"/>
        <w:rPr>
          <w:rFonts w:eastAsia="Sylfaen" w:cs="Sylfaen"/>
          <w:bCs/>
          <w:sz w:val="24"/>
          <w:szCs w:val="24"/>
          <w:lang w:val="ka-GE"/>
        </w:rPr>
      </w:pPr>
      <w:r w:rsidRPr="00446395">
        <w:rPr>
          <w:rFonts w:eastAsia="Sylfaen" w:cs="Sylfaen"/>
          <w:bCs/>
          <w:sz w:val="24"/>
          <w:szCs w:val="24"/>
          <w:lang w:val="ka-GE"/>
        </w:rPr>
        <w:t>მანანა კობახიძე</w:t>
      </w:r>
    </w:p>
    <w:p w14:paraId="6425ECB5" w14:textId="77777777" w:rsidR="00F32B63" w:rsidRPr="00446395" w:rsidRDefault="00F32B63" w:rsidP="00BE40C8">
      <w:pPr>
        <w:pBdr>
          <w:top w:val="nil"/>
          <w:left w:val="nil"/>
          <w:bottom w:val="nil"/>
          <w:right w:val="nil"/>
          <w:between w:val="nil"/>
          <w:bar w:val="nil"/>
        </w:pBdr>
        <w:spacing w:after="0"/>
        <w:ind w:firstLine="360"/>
        <w:rPr>
          <w:rFonts w:eastAsia="Sylfaen" w:cs="Sylfaen"/>
          <w:bCs/>
          <w:sz w:val="24"/>
          <w:szCs w:val="24"/>
          <w:lang w:val="ka-GE"/>
        </w:rPr>
      </w:pPr>
    </w:p>
    <w:p w14:paraId="1DF6CC39" w14:textId="77777777" w:rsidR="00F32B63" w:rsidRPr="00446395" w:rsidRDefault="00F32B63" w:rsidP="00BE40C8">
      <w:pPr>
        <w:pBdr>
          <w:top w:val="nil"/>
          <w:left w:val="nil"/>
          <w:bottom w:val="nil"/>
          <w:right w:val="nil"/>
          <w:between w:val="nil"/>
          <w:bar w:val="nil"/>
        </w:pBdr>
        <w:spacing w:after="0"/>
        <w:ind w:firstLine="360"/>
        <w:rPr>
          <w:rFonts w:eastAsia="Sylfaen" w:cs="Sylfaen"/>
          <w:bCs/>
          <w:sz w:val="24"/>
          <w:szCs w:val="24"/>
          <w:lang w:val="ka-GE"/>
        </w:rPr>
      </w:pPr>
    </w:p>
    <w:p w14:paraId="200572D6" w14:textId="77777777" w:rsidR="00F32B63" w:rsidRPr="00446395" w:rsidRDefault="00F32B63" w:rsidP="00BE40C8">
      <w:pPr>
        <w:pBdr>
          <w:top w:val="nil"/>
          <w:left w:val="nil"/>
          <w:bottom w:val="nil"/>
          <w:right w:val="nil"/>
          <w:between w:val="nil"/>
          <w:bar w:val="nil"/>
        </w:pBdr>
        <w:spacing w:after="0"/>
        <w:ind w:firstLine="360"/>
        <w:rPr>
          <w:rFonts w:eastAsia="Sylfaen" w:cs="Sylfaen"/>
          <w:bCs/>
          <w:sz w:val="24"/>
          <w:szCs w:val="24"/>
          <w:lang w:val="ka-GE"/>
        </w:rPr>
      </w:pPr>
      <w:r w:rsidRPr="00446395">
        <w:rPr>
          <w:rFonts w:eastAsia="Sylfaen" w:cs="Sylfaen"/>
          <w:bCs/>
          <w:sz w:val="24"/>
          <w:szCs w:val="24"/>
          <w:lang w:val="ka-GE"/>
        </w:rPr>
        <w:t>ირინე იმერლიშვილი</w:t>
      </w:r>
    </w:p>
    <w:p w14:paraId="0C134434" w14:textId="77777777" w:rsidR="00F32B63" w:rsidRPr="00446395" w:rsidRDefault="00F32B63" w:rsidP="00BE40C8">
      <w:pPr>
        <w:pBdr>
          <w:top w:val="nil"/>
          <w:left w:val="nil"/>
          <w:bottom w:val="nil"/>
          <w:right w:val="nil"/>
          <w:between w:val="nil"/>
          <w:bar w:val="nil"/>
        </w:pBdr>
        <w:spacing w:after="0"/>
        <w:ind w:firstLine="360"/>
        <w:rPr>
          <w:rFonts w:eastAsia="Sylfaen" w:cs="Sylfaen"/>
          <w:bCs/>
          <w:sz w:val="24"/>
          <w:szCs w:val="24"/>
          <w:lang w:val="ka-GE"/>
        </w:rPr>
      </w:pPr>
    </w:p>
    <w:p w14:paraId="5A2C24CE" w14:textId="77777777" w:rsidR="00F32B63" w:rsidRPr="00446395" w:rsidRDefault="00F32B63" w:rsidP="00BE40C8">
      <w:pPr>
        <w:pBdr>
          <w:top w:val="nil"/>
          <w:left w:val="nil"/>
          <w:bottom w:val="nil"/>
          <w:right w:val="nil"/>
          <w:between w:val="nil"/>
          <w:bar w:val="nil"/>
        </w:pBdr>
        <w:spacing w:after="0"/>
        <w:ind w:firstLine="360"/>
        <w:rPr>
          <w:rFonts w:eastAsia="Sylfaen" w:cs="Sylfaen"/>
          <w:bCs/>
          <w:sz w:val="24"/>
          <w:szCs w:val="24"/>
          <w:lang w:val="ka-GE"/>
        </w:rPr>
      </w:pPr>
    </w:p>
    <w:p w14:paraId="6A8CC93A" w14:textId="77777777" w:rsidR="00F32B63" w:rsidRPr="00446395" w:rsidRDefault="00F32B63" w:rsidP="00BE40C8">
      <w:pPr>
        <w:pBdr>
          <w:top w:val="nil"/>
          <w:left w:val="nil"/>
          <w:bottom w:val="nil"/>
          <w:right w:val="nil"/>
          <w:between w:val="nil"/>
          <w:bar w:val="nil"/>
        </w:pBdr>
        <w:spacing w:after="0"/>
        <w:ind w:firstLine="360"/>
        <w:rPr>
          <w:rFonts w:eastAsia="Sylfaen" w:cs="Sylfaen"/>
          <w:bCs/>
          <w:sz w:val="24"/>
          <w:szCs w:val="24"/>
          <w:lang w:val="ka-GE"/>
        </w:rPr>
      </w:pPr>
      <w:r w:rsidRPr="00446395">
        <w:rPr>
          <w:rFonts w:eastAsia="Sylfaen" w:cs="Sylfaen"/>
          <w:bCs/>
          <w:sz w:val="24"/>
          <w:szCs w:val="24"/>
          <w:lang w:val="ka-GE"/>
        </w:rPr>
        <w:t>ხვიჩა კიკილაშვილი</w:t>
      </w:r>
    </w:p>
    <w:p w14:paraId="3610A078" w14:textId="77777777" w:rsidR="00F32B63" w:rsidRPr="00446395" w:rsidRDefault="00F32B63" w:rsidP="00BE40C8">
      <w:pPr>
        <w:pBdr>
          <w:top w:val="nil"/>
          <w:left w:val="nil"/>
          <w:bottom w:val="nil"/>
          <w:right w:val="nil"/>
          <w:between w:val="nil"/>
          <w:bar w:val="nil"/>
        </w:pBdr>
        <w:spacing w:after="0"/>
        <w:ind w:firstLine="360"/>
        <w:rPr>
          <w:rFonts w:eastAsia="Sylfaen" w:cs="Sylfaen"/>
          <w:bCs/>
          <w:sz w:val="24"/>
          <w:szCs w:val="24"/>
          <w:lang w:val="ka-GE"/>
        </w:rPr>
      </w:pPr>
    </w:p>
    <w:p w14:paraId="36E8F2BC" w14:textId="77777777" w:rsidR="00F32B63" w:rsidRPr="00446395" w:rsidRDefault="00F32B63" w:rsidP="00BE40C8">
      <w:pPr>
        <w:pBdr>
          <w:top w:val="nil"/>
          <w:left w:val="nil"/>
          <w:bottom w:val="nil"/>
          <w:right w:val="nil"/>
          <w:between w:val="nil"/>
          <w:bar w:val="nil"/>
        </w:pBdr>
        <w:spacing w:after="0"/>
        <w:ind w:firstLine="360"/>
        <w:rPr>
          <w:rFonts w:eastAsia="Sylfaen" w:cs="Sylfaen"/>
          <w:bCs/>
          <w:sz w:val="24"/>
          <w:szCs w:val="24"/>
          <w:lang w:val="ka-GE"/>
        </w:rPr>
      </w:pPr>
    </w:p>
    <w:p w14:paraId="21B4F9A7" w14:textId="77777777" w:rsidR="00F32B63" w:rsidRPr="00446395" w:rsidRDefault="00F32B63" w:rsidP="00BE40C8">
      <w:pPr>
        <w:pBdr>
          <w:top w:val="nil"/>
          <w:left w:val="nil"/>
          <w:bottom w:val="nil"/>
          <w:right w:val="nil"/>
          <w:between w:val="nil"/>
          <w:bar w:val="nil"/>
        </w:pBdr>
        <w:spacing w:after="0"/>
        <w:ind w:firstLine="360"/>
        <w:rPr>
          <w:rFonts w:eastAsia="Sylfaen" w:cs="Sylfaen"/>
          <w:bCs/>
          <w:sz w:val="24"/>
          <w:szCs w:val="24"/>
          <w:lang w:val="ka-GE"/>
        </w:rPr>
      </w:pPr>
      <w:r w:rsidRPr="00446395">
        <w:rPr>
          <w:rFonts w:eastAsia="Sylfaen" w:cs="Sylfaen"/>
          <w:bCs/>
          <w:sz w:val="24"/>
          <w:szCs w:val="24"/>
          <w:lang w:val="ka-GE"/>
        </w:rPr>
        <w:t>თეიმურაზ ტუღუში</w:t>
      </w:r>
    </w:p>
    <w:p w14:paraId="36DA4FF7" w14:textId="77777777" w:rsidR="009671D7" w:rsidRPr="00446395" w:rsidRDefault="009671D7" w:rsidP="00BE40C8">
      <w:pPr>
        <w:spacing w:after="0"/>
        <w:ind w:firstLine="360"/>
        <w:jc w:val="both"/>
        <w:rPr>
          <w:b/>
          <w:sz w:val="24"/>
          <w:szCs w:val="24"/>
          <w:lang w:val="ka-GE"/>
        </w:rPr>
      </w:pPr>
    </w:p>
    <w:p w14:paraId="703A7777" w14:textId="77777777" w:rsidR="00236302" w:rsidRPr="00446395" w:rsidRDefault="00236302" w:rsidP="00BE40C8">
      <w:pPr>
        <w:pStyle w:val="ListParagraph"/>
        <w:ind w:left="900" w:firstLine="360"/>
        <w:jc w:val="both"/>
        <w:rPr>
          <w:sz w:val="24"/>
          <w:szCs w:val="24"/>
          <w:lang w:val="ka-GE"/>
        </w:rPr>
      </w:pPr>
    </w:p>
    <w:sectPr w:rsidR="00236302" w:rsidRPr="00446395" w:rsidSect="00E61C13">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9E1F" w14:textId="77777777" w:rsidR="005441A7" w:rsidRDefault="005441A7" w:rsidP="00AF3007">
      <w:pPr>
        <w:spacing w:after="0" w:line="240" w:lineRule="auto"/>
      </w:pPr>
      <w:r>
        <w:separator/>
      </w:r>
    </w:p>
  </w:endnote>
  <w:endnote w:type="continuationSeparator" w:id="0">
    <w:p w14:paraId="5498C1C7" w14:textId="77777777" w:rsidR="005441A7" w:rsidRDefault="005441A7" w:rsidP="00AF3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altName w:val="Century Gothic"/>
    <w:panose1 w:val="020B0502040204020203"/>
    <w:charset w:val="CC"/>
    <w:family w:val="swiss"/>
    <w:pitch w:val="variable"/>
    <w:sig w:usb0="E4002EFF" w:usb1="C000E47F" w:usb2="00000009" w:usb3="00000000" w:csb0="000001FF" w:csb1="00000000"/>
  </w:font>
  <w:font w:name="AcadNusx">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8CFE" w14:textId="77777777" w:rsidR="00817371" w:rsidRDefault="00817371">
    <w:pPr>
      <w:pStyle w:val="Footer"/>
      <w:jc w:val="right"/>
    </w:pPr>
    <w:r>
      <w:fldChar w:fldCharType="begin"/>
    </w:r>
    <w:r>
      <w:instrText xml:space="preserve"> PAGE   \* MERGEFORMAT </w:instrText>
    </w:r>
    <w:r>
      <w:fldChar w:fldCharType="separate"/>
    </w:r>
    <w:r w:rsidR="003D72BF">
      <w:rPr>
        <w:noProof/>
      </w:rPr>
      <w:t>5</w:t>
    </w:r>
    <w:r>
      <w:rPr>
        <w:noProof/>
      </w:rPr>
      <w:fldChar w:fldCharType="end"/>
    </w:r>
  </w:p>
  <w:p w14:paraId="4524DC71" w14:textId="77777777" w:rsidR="00AF3007" w:rsidRDefault="00AF3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F2D8" w14:textId="77777777" w:rsidR="005441A7" w:rsidRDefault="005441A7" w:rsidP="00AF3007">
      <w:pPr>
        <w:spacing w:after="0" w:line="240" w:lineRule="auto"/>
      </w:pPr>
      <w:r>
        <w:separator/>
      </w:r>
    </w:p>
  </w:footnote>
  <w:footnote w:type="continuationSeparator" w:id="0">
    <w:p w14:paraId="3DD8F4FF" w14:textId="77777777" w:rsidR="005441A7" w:rsidRDefault="005441A7" w:rsidP="00AF3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33EB"/>
    <w:multiLevelType w:val="hybridMultilevel"/>
    <w:tmpl w:val="DF72D7D0"/>
    <w:lvl w:ilvl="0" w:tplc="4F12F8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B1A0B39"/>
    <w:multiLevelType w:val="hybridMultilevel"/>
    <w:tmpl w:val="FFC27BE8"/>
    <w:lvl w:ilvl="0" w:tplc="E8DAB152">
      <w:start w:val="1"/>
      <w:numFmt w:val="decimal"/>
      <w:lvlText w:val="%1."/>
      <w:lvlJc w:val="left"/>
      <w:pPr>
        <w:ind w:left="1080" w:hanging="360"/>
      </w:pPr>
      <w:rPr>
        <w:rFonts w:hint="default"/>
        <w:b/>
      </w:rPr>
    </w:lvl>
    <w:lvl w:ilvl="1" w:tplc="11D0CEEA">
      <w:start w:val="1"/>
      <w:numFmt w:val="lowerLetter"/>
      <w:lvlText w:val="%2."/>
      <w:lvlJc w:val="left"/>
      <w:pPr>
        <w:ind w:left="1800" w:hanging="360"/>
      </w:pPr>
    </w:lvl>
    <w:lvl w:ilvl="2" w:tplc="76283AD8">
      <w:start w:val="1"/>
      <w:numFmt w:val="lowerRoman"/>
      <w:lvlText w:val="%3."/>
      <w:lvlJc w:val="right"/>
      <w:pPr>
        <w:ind w:left="2520" w:hanging="180"/>
      </w:pPr>
    </w:lvl>
    <w:lvl w:ilvl="3" w:tplc="EE9203B0">
      <w:start w:val="1"/>
      <w:numFmt w:val="decimal"/>
      <w:lvlText w:val="%4."/>
      <w:lvlJc w:val="left"/>
      <w:pPr>
        <w:ind w:left="3240" w:hanging="360"/>
      </w:pPr>
    </w:lvl>
    <w:lvl w:ilvl="4" w:tplc="B0BCB45C">
      <w:start w:val="1"/>
      <w:numFmt w:val="lowerLetter"/>
      <w:lvlText w:val="%5."/>
      <w:lvlJc w:val="left"/>
      <w:pPr>
        <w:ind w:left="3960" w:hanging="360"/>
      </w:pPr>
    </w:lvl>
    <w:lvl w:ilvl="5" w:tplc="D79E4836">
      <w:start w:val="1"/>
      <w:numFmt w:val="lowerRoman"/>
      <w:lvlText w:val="%6."/>
      <w:lvlJc w:val="right"/>
      <w:pPr>
        <w:ind w:left="4680" w:hanging="180"/>
      </w:pPr>
    </w:lvl>
    <w:lvl w:ilvl="6" w:tplc="9F168B6A">
      <w:start w:val="1"/>
      <w:numFmt w:val="decimal"/>
      <w:lvlText w:val="%7."/>
      <w:lvlJc w:val="left"/>
      <w:pPr>
        <w:ind w:left="5400" w:hanging="360"/>
      </w:pPr>
    </w:lvl>
    <w:lvl w:ilvl="7" w:tplc="01EAD6F0">
      <w:start w:val="1"/>
      <w:numFmt w:val="lowerLetter"/>
      <w:lvlText w:val="%8."/>
      <w:lvlJc w:val="left"/>
      <w:pPr>
        <w:ind w:left="6120" w:hanging="360"/>
      </w:pPr>
    </w:lvl>
    <w:lvl w:ilvl="8" w:tplc="3FC48C66">
      <w:start w:val="1"/>
      <w:numFmt w:val="lowerRoman"/>
      <w:lvlText w:val="%9."/>
      <w:lvlJc w:val="right"/>
      <w:pPr>
        <w:ind w:left="6840" w:hanging="180"/>
      </w:pPr>
    </w:lvl>
  </w:abstractNum>
  <w:abstractNum w:abstractNumId="2" w15:restartNumberingAfterBreak="0">
    <w:nsid w:val="0FD21F14"/>
    <w:multiLevelType w:val="hybridMultilevel"/>
    <w:tmpl w:val="7ABE3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31654"/>
    <w:multiLevelType w:val="hybridMultilevel"/>
    <w:tmpl w:val="1C1E353C"/>
    <w:lvl w:ilvl="0" w:tplc="C386A152">
      <w:start w:val="1"/>
      <w:numFmt w:val="decimal"/>
      <w:lvlText w:val="%1."/>
      <w:lvlJc w:val="left"/>
      <w:pPr>
        <w:ind w:left="945" w:hanging="495"/>
      </w:pPr>
      <w:rPr>
        <w:rFonts w:hint="default"/>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46668CA"/>
    <w:multiLevelType w:val="hybridMultilevel"/>
    <w:tmpl w:val="F6BACE84"/>
    <w:lvl w:ilvl="0" w:tplc="26200AA6">
      <w:start w:val="1"/>
      <w:numFmt w:val="decimal"/>
      <w:lvlText w:val="%1."/>
      <w:lvlJc w:val="left"/>
      <w:pPr>
        <w:ind w:left="900" w:hanging="360"/>
      </w:pPr>
      <w:rPr>
        <w:rFonts w:hint="default"/>
        <w:b/>
      </w:rPr>
    </w:lvl>
    <w:lvl w:ilvl="1" w:tplc="04370019" w:tentative="1">
      <w:start w:val="1"/>
      <w:numFmt w:val="lowerLetter"/>
      <w:lvlText w:val="%2."/>
      <w:lvlJc w:val="left"/>
      <w:pPr>
        <w:ind w:left="1620" w:hanging="360"/>
      </w:pPr>
    </w:lvl>
    <w:lvl w:ilvl="2" w:tplc="0437001B" w:tentative="1">
      <w:start w:val="1"/>
      <w:numFmt w:val="lowerRoman"/>
      <w:lvlText w:val="%3."/>
      <w:lvlJc w:val="right"/>
      <w:pPr>
        <w:ind w:left="2340" w:hanging="180"/>
      </w:pPr>
    </w:lvl>
    <w:lvl w:ilvl="3" w:tplc="0437000F" w:tentative="1">
      <w:start w:val="1"/>
      <w:numFmt w:val="decimal"/>
      <w:lvlText w:val="%4."/>
      <w:lvlJc w:val="left"/>
      <w:pPr>
        <w:ind w:left="3060" w:hanging="360"/>
      </w:pPr>
    </w:lvl>
    <w:lvl w:ilvl="4" w:tplc="04370019" w:tentative="1">
      <w:start w:val="1"/>
      <w:numFmt w:val="lowerLetter"/>
      <w:lvlText w:val="%5."/>
      <w:lvlJc w:val="left"/>
      <w:pPr>
        <w:ind w:left="3780" w:hanging="360"/>
      </w:pPr>
    </w:lvl>
    <w:lvl w:ilvl="5" w:tplc="0437001B" w:tentative="1">
      <w:start w:val="1"/>
      <w:numFmt w:val="lowerRoman"/>
      <w:lvlText w:val="%6."/>
      <w:lvlJc w:val="right"/>
      <w:pPr>
        <w:ind w:left="4500" w:hanging="180"/>
      </w:pPr>
    </w:lvl>
    <w:lvl w:ilvl="6" w:tplc="0437000F" w:tentative="1">
      <w:start w:val="1"/>
      <w:numFmt w:val="decimal"/>
      <w:lvlText w:val="%7."/>
      <w:lvlJc w:val="left"/>
      <w:pPr>
        <w:ind w:left="5220" w:hanging="360"/>
      </w:pPr>
    </w:lvl>
    <w:lvl w:ilvl="7" w:tplc="04370019" w:tentative="1">
      <w:start w:val="1"/>
      <w:numFmt w:val="lowerLetter"/>
      <w:lvlText w:val="%8."/>
      <w:lvlJc w:val="left"/>
      <w:pPr>
        <w:ind w:left="5940" w:hanging="360"/>
      </w:pPr>
    </w:lvl>
    <w:lvl w:ilvl="8" w:tplc="0437001B" w:tentative="1">
      <w:start w:val="1"/>
      <w:numFmt w:val="lowerRoman"/>
      <w:lvlText w:val="%9."/>
      <w:lvlJc w:val="right"/>
      <w:pPr>
        <w:ind w:left="6660" w:hanging="180"/>
      </w:pPr>
    </w:lvl>
  </w:abstractNum>
  <w:abstractNum w:abstractNumId="5" w15:restartNumberingAfterBreak="0">
    <w:nsid w:val="44566122"/>
    <w:multiLevelType w:val="hybridMultilevel"/>
    <w:tmpl w:val="0B540624"/>
    <w:lvl w:ilvl="0" w:tplc="9A66BAD4">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16E98"/>
    <w:multiLevelType w:val="hybridMultilevel"/>
    <w:tmpl w:val="EBDCE814"/>
    <w:lvl w:ilvl="0" w:tplc="F1A25860">
      <w:start w:val="1"/>
      <w:numFmt w:val="decimal"/>
      <w:lvlText w:val="%1."/>
      <w:lvlJc w:val="left"/>
      <w:pPr>
        <w:ind w:left="720" w:hanging="360"/>
      </w:pPr>
      <w:rPr>
        <w:rFonts w:hint="default"/>
        <w:b w:val="0"/>
        <w:bCs/>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7" w15:restartNumberingAfterBreak="0">
    <w:nsid w:val="5DFA05C9"/>
    <w:multiLevelType w:val="hybridMultilevel"/>
    <w:tmpl w:val="23D856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8B533E"/>
    <w:multiLevelType w:val="multilevel"/>
    <w:tmpl w:val="7D8CF09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6BF0213A"/>
    <w:multiLevelType w:val="hybridMultilevel"/>
    <w:tmpl w:val="9BAEE834"/>
    <w:lvl w:ilvl="0" w:tplc="58AAF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2719260">
    <w:abstractNumId w:val="1"/>
  </w:num>
  <w:num w:numId="2" w16cid:durableId="988704528">
    <w:abstractNumId w:val="5"/>
  </w:num>
  <w:num w:numId="3" w16cid:durableId="142503227">
    <w:abstractNumId w:val="6"/>
  </w:num>
  <w:num w:numId="4" w16cid:durableId="1174225316">
    <w:abstractNumId w:val="9"/>
  </w:num>
  <w:num w:numId="5" w16cid:durableId="1617179831">
    <w:abstractNumId w:val="4"/>
  </w:num>
  <w:num w:numId="6" w16cid:durableId="179897568">
    <w:abstractNumId w:val="3"/>
  </w:num>
  <w:num w:numId="7" w16cid:durableId="709768066">
    <w:abstractNumId w:val="2"/>
  </w:num>
  <w:num w:numId="8" w16cid:durableId="1122191071">
    <w:abstractNumId w:val="7"/>
  </w:num>
  <w:num w:numId="9" w16cid:durableId="162933320">
    <w:abstractNumId w:val="0"/>
  </w:num>
  <w:num w:numId="10" w16cid:durableId="1035348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14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E"/>
    <w:rsid w:val="00004FCB"/>
    <w:rsid w:val="00005BEE"/>
    <w:rsid w:val="00007F88"/>
    <w:rsid w:val="00013285"/>
    <w:rsid w:val="0001707C"/>
    <w:rsid w:val="00083BB0"/>
    <w:rsid w:val="000873FE"/>
    <w:rsid w:val="000C6B94"/>
    <w:rsid w:val="000D5C73"/>
    <w:rsid w:val="000E7FE7"/>
    <w:rsid w:val="001403EE"/>
    <w:rsid w:val="00183F16"/>
    <w:rsid w:val="001A4B6F"/>
    <w:rsid w:val="001B0328"/>
    <w:rsid w:val="001E5AE7"/>
    <w:rsid w:val="001F5BE6"/>
    <w:rsid w:val="00201362"/>
    <w:rsid w:val="002213EF"/>
    <w:rsid w:val="00236302"/>
    <w:rsid w:val="00261AD9"/>
    <w:rsid w:val="00282D9F"/>
    <w:rsid w:val="00295734"/>
    <w:rsid w:val="002C3368"/>
    <w:rsid w:val="002D783B"/>
    <w:rsid w:val="002E074C"/>
    <w:rsid w:val="002E3895"/>
    <w:rsid w:val="002E6B35"/>
    <w:rsid w:val="003112FE"/>
    <w:rsid w:val="00374805"/>
    <w:rsid w:val="00393F59"/>
    <w:rsid w:val="003A2C72"/>
    <w:rsid w:val="003A32C4"/>
    <w:rsid w:val="003B2EED"/>
    <w:rsid w:val="003D3DFF"/>
    <w:rsid w:val="003D5A5C"/>
    <w:rsid w:val="003D72BF"/>
    <w:rsid w:val="003E1E9B"/>
    <w:rsid w:val="00411F93"/>
    <w:rsid w:val="00424606"/>
    <w:rsid w:val="00424C92"/>
    <w:rsid w:val="004343BD"/>
    <w:rsid w:val="00446395"/>
    <w:rsid w:val="00471439"/>
    <w:rsid w:val="00485F63"/>
    <w:rsid w:val="00495E26"/>
    <w:rsid w:val="004E2E81"/>
    <w:rsid w:val="004E5EDD"/>
    <w:rsid w:val="004F2146"/>
    <w:rsid w:val="004F7816"/>
    <w:rsid w:val="00516DEC"/>
    <w:rsid w:val="005441A7"/>
    <w:rsid w:val="00561884"/>
    <w:rsid w:val="00561A65"/>
    <w:rsid w:val="005B21B7"/>
    <w:rsid w:val="005E1E6D"/>
    <w:rsid w:val="005F0BCA"/>
    <w:rsid w:val="005F614B"/>
    <w:rsid w:val="00607D6B"/>
    <w:rsid w:val="006357E3"/>
    <w:rsid w:val="006461D3"/>
    <w:rsid w:val="0067025D"/>
    <w:rsid w:val="006D1723"/>
    <w:rsid w:val="006E3B62"/>
    <w:rsid w:val="006F27EE"/>
    <w:rsid w:val="006F3084"/>
    <w:rsid w:val="006F39F8"/>
    <w:rsid w:val="00705FED"/>
    <w:rsid w:val="00714095"/>
    <w:rsid w:val="00745139"/>
    <w:rsid w:val="0077092E"/>
    <w:rsid w:val="00784D60"/>
    <w:rsid w:val="007A1F8E"/>
    <w:rsid w:val="007A3708"/>
    <w:rsid w:val="007B2808"/>
    <w:rsid w:val="007B368A"/>
    <w:rsid w:val="007B508F"/>
    <w:rsid w:val="007C1FDA"/>
    <w:rsid w:val="00807E37"/>
    <w:rsid w:val="00817371"/>
    <w:rsid w:val="00884B0E"/>
    <w:rsid w:val="008870E2"/>
    <w:rsid w:val="008A0039"/>
    <w:rsid w:val="008B3A66"/>
    <w:rsid w:val="008D0126"/>
    <w:rsid w:val="008D506D"/>
    <w:rsid w:val="008E279E"/>
    <w:rsid w:val="008F3D2F"/>
    <w:rsid w:val="00926A5C"/>
    <w:rsid w:val="00933746"/>
    <w:rsid w:val="00937AF8"/>
    <w:rsid w:val="00963F34"/>
    <w:rsid w:val="009671D7"/>
    <w:rsid w:val="009978A8"/>
    <w:rsid w:val="009A612E"/>
    <w:rsid w:val="009D3DEE"/>
    <w:rsid w:val="009F53A6"/>
    <w:rsid w:val="00A309AD"/>
    <w:rsid w:val="00A3284C"/>
    <w:rsid w:val="00A56A29"/>
    <w:rsid w:val="00A87B5E"/>
    <w:rsid w:val="00A87BD2"/>
    <w:rsid w:val="00AA5AE6"/>
    <w:rsid w:val="00AA6F1D"/>
    <w:rsid w:val="00AA6F3C"/>
    <w:rsid w:val="00AD5AEE"/>
    <w:rsid w:val="00AF3007"/>
    <w:rsid w:val="00B3317B"/>
    <w:rsid w:val="00B43090"/>
    <w:rsid w:val="00B47902"/>
    <w:rsid w:val="00B5561F"/>
    <w:rsid w:val="00B86114"/>
    <w:rsid w:val="00B926FB"/>
    <w:rsid w:val="00BA55EF"/>
    <w:rsid w:val="00BE40C8"/>
    <w:rsid w:val="00C03C53"/>
    <w:rsid w:val="00C1369D"/>
    <w:rsid w:val="00C46C51"/>
    <w:rsid w:val="00C572D2"/>
    <w:rsid w:val="00CA19AD"/>
    <w:rsid w:val="00CA7BDC"/>
    <w:rsid w:val="00CD7452"/>
    <w:rsid w:val="00CE6794"/>
    <w:rsid w:val="00D47302"/>
    <w:rsid w:val="00D971BB"/>
    <w:rsid w:val="00DA66D6"/>
    <w:rsid w:val="00DC7D28"/>
    <w:rsid w:val="00DD4912"/>
    <w:rsid w:val="00DE13B6"/>
    <w:rsid w:val="00E05E23"/>
    <w:rsid w:val="00E2212B"/>
    <w:rsid w:val="00E46C61"/>
    <w:rsid w:val="00E61C13"/>
    <w:rsid w:val="00E816E0"/>
    <w:rsid w:val="00E821CB"/>
    <w:rsid w:val="00E864F5"/>
    <w:rsid w:val="00EB43AA"/>
    <w:rsid w:val="00EC0CCE"/>
    <w:rsid w:val="00EC3DE2"/>
    <w:rsid w:val="00EE3700"/>
    <w:rsid w:val="00F209F8"/>
    <w:rsid w:val="00F30612"/>
    <w:rsid w:val="00F32B63"/>
    <w:rsid w:val="00F42847"/>
    <w:rsid w:val="00F51539"/>
    <w:rsid w:val="00F54101"/>
    <w:rsid w:val="00F564E1"/>
    <w:rsid w:val="00F6435F"/>
    <w:rsid w:val="00F7480E"/>
    <w:rsid w:val="00F82EAB"/>
    <w:rsid w:val="00FB26D6"/>
    <w:rsid w:val="00FF6413"/>
  </w:rsids>
  <m:mathPr>
    <m:mathFont m:val="Cambria Math"/>
    <m:brkBin m:val="before"/>
    <m:brkBinSub m:val="--"/>
    <m:smallFrac/>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A6B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Times New Roman"/>
        <w:lang w:val="ka-GE" w:eastAsia="ka-G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EE"/>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6F27EE"/>
    <w:pPr>
      <w:tabs>
        <w:tab w:val="left" w:pos="900"/>
      </w:tabs>
      <w:jc w:val="center"/>
      <w:outlineLvl w:val="0"/>
    </w:pPr>
    <w:rPr>
      <w:b/>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27EE"/>
    <w:rPr>
      <w:rFonts w:eastAsia="Times New Roman" w:cs="Sylfaen"/>
      <w:b/>
      <w:szCs w:val="24"/>
    </w:rPr>
  </w:style>
  <w:style w:type="paragraph" w:styleId="ListParagraph">
    <w:name w:val="List Paragraph"/>
    <w:basedOn w:val="Normal"/>
    <w:uiPriority w:val="34"/>
    <w:qFormat/>
    <w:rsid w:val="006F27EE"/>
    <w:pPr>
      <w:ind w:left="720"/>
      <w:contextualSpacing/>
    </w:pPr>
  </w:style>
  <w:style w:type="paragraph" w:styleId="BodyText">
    <w:name w:val="Body Text"/>
    <w:basedOn w:val="Normal"/>
    <w:link w:val="BodyTextChar"/>
    <w:rsid w:val="00784D60"/>
    <w:pPr>
      <w:spacing w:after="120" w:line="240" w:lineRule="auto"/>
    </w:pPr>
    <w:rPr>
      <w:rFonts w:ascii="Times New Roman" w:hAnsi="Times New Roman"/>
      <w:sz w:val="20"/>
      <w:szCs w:val="20"/>
      <w:lang w:val="x-none" w:eastAsia="ru-RU"/>
    </w:rPr>
  </w:style>
  <w:style w:type="character" w:customStyle="1" w:styleId="BodyTextChar">
    <w:name w:val="Body Text Char"/>
    <w:link w:val="BodyText"/>
    <w:rsid w:val="00784D60"/>
    <w:rPr>
      <w:rFonts w:ascii="Times New Roman" w:eastAsia="Times New Roman" w:hAnsi="Times New Roman" w:cs="Times New Roman"/>
      <w:sz w:val="20"/>
      <w:szCs w:val="20"/>
      <w:lang w:val="x-none" w:eastAsia="ru-RU"/>
    </w:rPr>
  </w:style>
  <w:style w:type="paragraph" w:styleId="BodyTextIndent">
    <w:name w:val="Body Text Indent"/>
    <w:basedOn w:val="Normal"/>
    <w:link w:val="BodyTextIndentChar"/>
    <w:uiPriority w:val="99"/>
    <w:semiHidden/>
    <w:unhideWhenUsed/>
    <w:rsid w:val="00236302"/>
    <w:pPr>
      <w:spacing w:after="120"/>
      <w:ind w:left="283"/>
    </w:pPr>
    <w:rPr>
      <w:szCs w:val="20"/>
      <w:lang w:eastAsia="x-none"/>
    </w:rPr>
  </w:style>
  <w:style w:type="character" w:customStyle="1" w:styleId="BodyTextIndentChar">
    <w:name w:val="Body Text Indent Char"/>
    <w:link w:val="BodyTextIndent"/>
    <w:uiPriority w:val="99"/>
    <w:semiHidden/>
    <w:rsid w:val="00236302"/>
    <w:rPr>
      <w:rFonts w:ascii="Sylfaen" w:eastAsia="Times New Roman" w:hAnsi="Sylfaen"/>
      <w:sz w:val="22"/>
      <w:lang w:val="en-US"/>
    </w:rPr>
  </w:style>
  <w:style w:type="paragraph" w:styleId="BalloonText">
    <w:name w:val="Balloon Text"/>
    <w:basedOn w:val="Normal"/>
    <w:link w:val="BalloonTextChar"/>
    <w:uiPriority w:val="99"/>
    <w:semiHidden/>
    <w:unhideWhenUsed/>
    <w:rsid w:val="00005BEE"/>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005BEE"/>
    <w:rPr>
      <w:rFonts w:ascii="Segoe UI" w:eastAsia="Times New Roman" w:hAnsi="Segoe UI" w:cs="Segoe UI"/>
      <w:sz w:val="18"/>
      <w:szCs w:val="18"/>
      <w:lang w:val="en-US"/>
    </w:rPr>
  </w:style>
  <w:style w:type="character" w:styleId="CommentReference">
    <w:name w:val="annotation reference"/>
    <w:uiPriority w:val="99"/>
    <w:semiHidden/>
    <w:unhideWhenUsed/>
    <w:rsid w:val="009978A8"/>
    <w:rPr>
      <w:sz w:val="16"/>
      <w:szCs w:val="16"/>
    </w:rPr>
  </w:style>
  <w:style w:type="paragraph" w:styleId="CommentText">
    <w:name w:val="annotation text"/>
    <w:basedOn w:val="Normal"/>
    <w:link w:val="CommentTextChar"/>
    <w:uiPriority w:val="99"/>
    <w:semiHidden/>
    <w:unhideWhenUsed/>
    <w:rsid w:val="009978A8"/>
    <w:pPr>
      <w:spacing w:line="240" w:lineRule="auto"/>
    </w:pPr>
    <w:rPr>
      <w:sz w:val="20"/>
      <w:szCs w:val="20"/>
      <w:lang w:eastAsia="x-none"/>
    </w:rPr>
  </w:style>
  <w:style w:type="character" w:customStyle="1" w:styleId="CommentTextChar">
    <w:name w:val="Comment Text Char"/>
    <w:link w:val="CommentText"/>
    <w:uiPriority w:val="99"/>
    <w:semiHidden/>
    <w:rsid w:val="009978A8"/>
    <w:rPr>
      <w:rFonts w:ascii="Sylfaen" w:eastAsia="Times New Roman" w:hAnsi="Sylfaen"/>
      <w:sz w:val="20"/>
      <w:szCs w:val="20"/>
      <w:lang w:val="en-US"/>
    </w:rPr>
  </w:style>
  <w:style w:type="paragraph" w:styleId="CommentSubject">
    <w:name w:val="annotation subject"/>
    <w:basedOn w:val="CommentText"/>
    <w:next w:val="CommentText"/>
    <w:link w:val="CommentSubjectChar"/>
    <w:uiPriority w:val="99"/>
    <w:semiHidden/>
    <w:unhideWhenUsed/>
    <w:rsid w:val="009978A8"/>
    <w:rPr>
      <w:b/>
      <w:bCs/>
    </w:rPr>
  </w:style>
  <w:style w:type="character" w:customStyle="1" w:styleId="CommentSubjectChar">
    <w:name w:val="Comment Subject Char"/>
    <w:link w:val="CommentSubject"/>
    <w:uiPriority w:val="99"/>
    <w:semiHidden/>
    <w:rsid w:val="009978A8"/>
    <w:rPr>
      <w:rFonts w:ascii="Sylfaen" w:eastAsia="Times New Roman" w:hAnsi="Sylfaen"/>
      <w:b/>
      <w:bCs/>
      <w:sz w:val="20"/>
      <w:szCs w:val="20"/>
      <w:lang w:val="en-US"/>
    </w:rPr>
  </w:style>
  <w:style w:type="paragraph" w:styleId="Header">
    <w:name w:val="header"/>
    <w:basedOn w:val="Normal"/>
    <w:link w:val="HeaderChar"/>
    <w:uiPriority w:val="99"/>
    <w:unhideWhenUsed/>
    <w:rsid w:val="00AF3007"/>
    <w:pPr>
      <w:tabs>
        <w:tab w:val="center" w:pos="4677"/>
        <w:tab w:val="right" w:pos="9355"/>
      </w:tabs>
      <w:spacing w:after="0" w:line="240" w:lineRule="auto"/>
    </w:pPr>
    <w:rPr>
      <w:szCs w:val="20"/>
      <w:lang w:eastAsia="x-none"/>
    </w:rPr>
  </w:style>
  <w:style w:type="character" w:customStyle="1" w:styleId="HeaderChar">
    <w:name w:val="Header Char"/>
    <w:link w:val="Header"/>
    <w:uiPriority w:val="99"/>
    <w:rsid w:val="00AF3007"/>
    <w:rPr>
      <w:rFonts w:ascii="Sylfaen" w:eastAsia="Times New Roman" w:hAnsi="Sylfaen"/>
      <w:sz w:val="22"/>
      <w:lang w:val="en-US"/>
    </w:rPr>
  </w:style>
  <w:style w:type="paragraph" w:styleId="Footer">
    <w:name w:val="footer"/>
    <w:basedOn w:val="Normal"/>
    <w:link w:val="FooterChar"/>
    <w:uiPriority w:val="99"/>
    <w:unhideWhenUsed/>
    <w:rsid w:val="00AF3007"/>
    <w:pPr>
      <w:tabs>
        <w:tab w:val="center" w:pos="4677"/>
        <w:tab w:val="right" w:pos="9355"/>
      </w:tabs>
      <w:spacing w:after="0" w:line="240" w:lineRule="auto"/>
    </w:pPr>
    <w:rPr>
      <w:szCs w:val="20"/>
      <w:lang w:eastAsia="x-none"/>
    </w:rPr>
  </w:style>
  <w:style w:type="character" w:customStyle="1" w:styleId="FooterChar">
    <w:name w:val="Footer Char"/>
    <w:link w:val="Footer"/>
    <w:uiPriority w:val="99"/>
    <w:rsid w:val="00AF3007"/>
    <w:rPr>
      <w:rFonts w:ascii="Sylfaen" w:eastAsia="Times New Roman" w:hAnsi="Sylfaen"/>
      <w:sz w:val="22"/>
      <w:lang w:val="en-US"/>
    </w:rPr>
  </w:style>
  <w:style w:type="paragraph" w:styleId="Revision">
    <w:name w:val="Revision"/>
    <w:hidden/>
    <w:uiPriority w:val="99"/>
    <w:semiHidden/>
    <w:rsid w:val="008D506D"/>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9376">
      <w:bodyDiv w:val="1"/>
      <w:marLeft w:val="0"/>
      <w:marRight w:val="0"/>
      <w:marTop w:val="0"/>
      <w:marBottom w:val="0"/>
      <w:divBdr>
        <w:top w:val="none" w:sz="0" w:space="0" w:color="auto"/>
        <w:left w:val="none" w:sz="0" w:space="0" w:color="auto"/>
        <w:bottom w:val="none" w:sz="0" w:space="0" w:color="auto"/>
        <w:right w:val="none" w:sz="0" w:space="0" w:color="auto"/>
      </w:divBdr>
    </w:div>
    <w:div w:id="969045060">
      <w:bodyDiv w:val="1"/>
      <w:marLeft w:val="0"/>
      <w:marRight w:val="0"/>
      <w:marTop w:val="0"/>
      <w:marBottom w:val="0"/>
      <w:divBdr>
        <w:top w:val="none" w:sz="0" w:space="0" w:color="auto"/>
        <w:left w:val="none" w:sz="0" w:space="0" w:color="auto"/>
        <w:bottom w:val="none" w:sz="0" w:space="0" w:color="auto"/>
        <w:right w:val="none" w:sz="0" w:space="0" w:color="auto"/>
      </w:divBdr>
    </w:div>
    <w:div w:id="20078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6555</Characters>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2023-07-19T13:11:00Z</dcterms:created>
  <dcterms:modified xsi:type="dcterms:W3CDTF">2023-07-19T13:12:00Z</dcterms:modified>
</cp:coreProperties>
</file>