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51950" w14:textId="77777777" w:rsidR="00F10C9F" w:rsidRPr="0014272A" w:rsidRDefault="00F10C9F" w:rsidP="00D87CDC">
      <w:pPr>
        <w:spacing w:after="0" w:line="276" w:lineRule="auto"/>
        <w:ind w:firstLine="284"/>
        <w:jc w:val="both"/>
        <w:rPr>
          <w:rFonts w:ascii="Sylfaen" w:hAnsi="Sylfaen"/>
          <w:b/>
          <w:sz w:val="24"/>
          <w:szCs w:val="24"/>
          <w:lang w:val="en-US"/>
        </w:rPr>
      </w:pPr>
    </w:p>
    <w:p w14:paraId="02B8F6C5" w14:textId="77777777" w:rsidR="00F10C9F" w:rsidRPr="00237AC7" w:rsidRDefault="00F10C9F" w:rsidP="00D87CDC">
      <w:pPr>
        <w:spacing w:after="0" w:line="276" w:lineRule="auto"/>
        <w:ind w:firstLine="284"/>
        <w:jc w:val="both"/>
        <w:rPr>
          <w:rFonts w:ascii="Sylfaen" w:hAnsi="Sylfaen"/>
          <w:b/>
          <w:sz w:val="24"/>
          <w:szCs w:val="24"/>
          <w:lang w:val="en-US"/>
        </w:rPr>
      </w:pPr>
    </w:p>
    <w:p w14:paraId="0CDF9BD7" w14:textId="77777777" w:rsidR="00F10C9F" w:rsidRPr="00237AC7" w:rsidRDefault="00F10C9F" w:rsidP="00D87CDC">
      <w:pPr>
        <w:spacing w:after="0" w:line="276" w:lineRule="auto"/>
        <w:ind w:firstLine="284"/>
        <w:jc w:val="both"/>
        <w:rPr>
          <w:rFonts w:ascii="Sylfaen" w:hAnsi="Sylfaen"/>
          <w:b/>
          <w:sz w:val="24"/>
          <w:szCs w:val="24"/>
          <w:lang w:val="en-US"/>
        </w:rPr>
      </w:pPr>
    </w:p>
    <w:p w14:paraId="796A4A64" w14:textId="77777777" w:rsidR="00F10C9F" w:rsidRPr="00237AC7" w:rsidRDefault="00F10C9F" w:rsidP="00D87CDC">
      <w:pPr>
        <w:spacing w:after="0" w:line="276" w:lineRule="auto"/>
        <w:ind w:firstLine="284"/>
        <w:jc w:val="both"/>
        <w:rPr>
          <w:rFonts w:ascii="Sylfaen" w:hAnsi="Sylfaen"/>
          <w:b/>
          <w:sz w:val="24"/>
          <w:szCs w:val="24"/>
          <w:lang w:val="en-US"/>
        </w:rPr>
      </w:pPr>
    </w:p>
    <w:p w14:paraId="7DB4D381" w14:textId="77777777" w:rsidR="00F10C9F" w:rsidRPr="00237AC7" w:rsidRDefault="00F10C9F" w:rsidP="00D87CDC">
      <w:pPr>
        <w:spacing w:after="0" w:line="276" w:lineRule="auto"/>
        <w:ind w:firstLine="284"/>
        <w:jc w:val="both"/>
        <w:rPr>
          <w:rFonts w:ascii="Sylfaen" w:hAnsi="Sylfaen"/>
          <w:b/>
          <w:sz w:val="24"/>
          <w:szCs w:val="24"/>
          <w:lang w:val="en-US"/>
        </w:rPr>
      </w:pPr>
    </w:p>
    <w:p w14:paraId="1D22F03B" w14:textId="77777777" w:rsidR="00F10C9F" w:rsidRPr="00CE0C57" w:rsidRDefault="00F10C9F" w:rsidP="00D87CDC">
      <w:pPr>
        <w:spacing w:after="0" w:line="276" w:lineRule="auto"/>
        <w:ind w:firstLine="284"/>
        <w:jc w:val="both"/>
        <w:rPr>
          <w:rFonts w:ascii="Sylfaen" w:hAnsi="Sylfaen"/>
          <w:b/>
          <w:sz w:val="24"/>
          <w:szCs w:val="24"/>
        </w:rPr>
      </w:pPr>
    </w:p>
    <w:p w14:paraId="6066BE5B" w14:textId="77777777" w:rsidR="00F10C9F" w:rsidRPr="00237AC7" w:rsidRDefault="00F10C9F" w:rsidP="00D87CDC">
      <w:pPr>
        <w:spacing w:after="0" w:line="276" w:lineRule="auto"/>
        <w:ind w:firstLine="284"/>
        <w:jc w:val="both"/>
        <w:rPr>
          <w:rFonts w:ascii="Sylfaen" w:hAnsi="Sylfaen"/>
          <w:b/>
          <w:sz w:val="24"/>
          <w:szCs w:val="24"/>
          <w:lang w:val="en-US"/>
        </w:rPr>
      </w:pPr>
    </w:p>
    <w:p w14:paraId="60A1885E" w14:textId="77777777" w:rsidR="00F10C9F" w:rsidRPr="00237AC7" w:rsidRDefault="00F10C9F" w:rsidP="00D87CDC">
      <w:pPr>
        <w:spacing w:after="0" w:line="276" w:lineRule="auto"/>
        <w:ind w:firstLine="284"/>
        <w:jc w:val="both"/>
        <w:rPr>
          <w:rFonts w:ascii="Sylfaen" w:hAnsi="Sylfaen"/>
          <w:b/>
          <w:sz w:val="24"/>
          <w:szCs w:val="24"/>
          <w:lang w:val="en-US"/>
        </w:rPr>
      </w:pPr>
    </w:p>
    <w:p w14:paraId="2FF959C9" w14:textId="77777777" w:rsidR="00F10C9F" w:rsidRPr="00237AC7" w:rsidRDefault="00F10C9F" w:rsidP="00D87CDC">
      <w:pPr>
        <w:spacing w:after="0" w:line="276" w:lineRule="auto"/>
        <w:ind w:firstLine="284"/>
        <w:jc w:val="both"/>
        <w:rPr>
          <w:rFonts w:ascii="Sylfaen" w:hAnsi="Sylfaen"/>
          <w:b/>
          <w:sz w:val="24"/>
          <w:szCs w:val="24"/>
          <w:lang w:val="en-US"/>
        </w:rPr>
      </w:pPr>
    </w:p>
    <w:p w14:paraId="0BF6537B" w14:textId="77777777" w:rsidR="00F10C9F" w:rsidRPr="00237AC7" w:rsidRDefault="00F10C9F" w:rsidP="00D87CDC">
      <w:pPr>
        <w:spacing w:after="0" w:line="276" w:lineRule="auto"/>
        <w:ind w:firstLine="284"/>
        <w:jc w:val="both"/>
        <w:rPr>
          <w:rFonts w:ascii="Sylfaen" w:hAnsi="Sylfaen"/>
          <w:b/>
          <w:sz w:val="24"/>
          <w:szCs w:val="24"/>
          <w:lang w:val="en-US"/>
        </w:rPr>
      </w:pPr>
    </w:p>
    <w:p w14:paraId="03ED58E6" w14:textId="6EE717F3" w:rsidR="00F10C9F" w:rsidRPr="00237AC7" w:rsidRDefault="00F10C9F" w:rsidP="00D87CDC">
      <w:pPr>
        <w:spacing w:after="0" w:line="276" w:lineRule="auto"/>
        <w:ind w:firstLine="284"/>
        <w:jc w:val="both"/>
        <w:rPr>
          <w:rFonts w:ascii="Sylfaen" w:hAnsi="Sylfaen"/>
          <w:b/>
          <w:sz w:val="24"/>
          <w:szCs w:val="24"/>
          <w:lang w:val="en-US"/>
        </w:rPr>
      </w:pPr>
    </w:p>
    <w:p w14:paraId="328EB78B" w14:textId="2824297D" w:rsidR="00693F3C" w:rsidRPr="00237AC7" w:rsidRDefault="00693F3C" w:rsidP="00D87CDC">
      <w:pPr>
        <w:spacing w:after="0" w:line="276" w:lineRule="auto"/>
        <w:ind w:firstLine="284"/>
        <w:jc w:val="both"/>
        <w:rPr>
          <w:rFonts w:ascii="Sylfaen" w:hAnsi="Sylfaen"/>
          <w:b/>
          <w:sz w:val="24"/>
          <w:szCs w:val="24"/>
          <w:lang w:val="en-US"/>
        </w:rPr>
      </w:pPr>
    </w:p>
    <w:p w14:paraId="7FA7DAAF" w14:textId="77777777" w:rsidR="00693F3C" w:rsidRPr="00237AC7" w:rsidRDefault="00693F3C" w:rsidP="00D87CDC">
      <w:pPr>
        <w:spacing w:after="0" w:line="276" w:lineRule="auto"/>
        <w:ind w:firstLine="284"/>
        <w:jc w:val="both"/>
        <w:rPr>
          <w:rFonts w:ascii="Sylfaen" w:hAnsi="Sylfaen"/>
          <w:b/>
          <w:sz w:val="24"/>
          <w:szCs w:val="24"/>
        </w:rPr>
      </w:pPr>
    </w:p>
    <w:p w14:paraId="4F0D33CF" w14:textId="77777777" w:rsidR="00F10C9F" w:rsidRPr="00237AC7" w:rsidRDefault="00F10C9F" w:rsidP="00D87CDC">
      <w:pPr>
        <w:spacing w:after="0" w:line="276" w:lineRule="auto"/>
        <w:jc w:val="both"/>
        <w:rPr>
          <w:rFonts w:ascii="Sylfaen" w:hAnsi="Sylfaen"/>
          <w:b/>
          <w:sz w:val="24"/>
          <w:szCs w:val="24"/>
          <w:lang w:val="en-US"/>
        </w:rPr>
      </w:pPr>
    </w:p>
    <w:p w14:paraId="388B6188" w14:textId="77777777" w:rsidR="00A91ADE" w:rsidRDefault="00A91ADE" w:rsidP="00D87CDC">
      <w:pPr>
        <w:spacing w:after="0" w:line="276" w:lineRule="auto"/>
        <w:ind w:firstLine="284"/>
        <w:jc w:val="both"/>
        <w:rPr>
          <w:rFonts w:ascii="Sylfaen" w:hAnsi="Sylfaen"/>
          <w:b/>
          <w:sz w:val="24"/>
          <w:szCs w:val="24"/>
          <w:highlight w:val="yellow"/>
          <w:lang w:val="en-US"/>
        </w:rPr>
      </w:pPr>
    </w:p>
    <w:p w14:paraId="56295F38" w14:textId="77777777" w:rsidR="00A91ADE" w:rsidRPr="00BB1CB8" w:rsidRDefault="00A91ADE" w:rsidP="00D87CDC">
      <w:pPr>
        <w:spacing w:after="0" w:line="276" w:lineRule="auto"/>
        <w:ind w:firstLine="284"/>
        <w:jc w:val="both"/>
        <w:rPr>
          <w:rFonts w:ascii="Sylfaen" w:hAnsi="Sylfaen"/>
          <w:b/>
          <w:sz w:val="24"/>
          <w:szCs w:val="24"/>
          <w:lang w:val="en-US"/>
        </w:rPr>
      </w:pPr>
    </w:p>
    <w:p w14:paraId="48896E0E" w14:textId="1B880F15" w:rsidR="00F10C9F" w:rsidRPr="00265AC6" w:rsidRDefault="00F10C9F" w:rsidP="00D87CDC">
      <w:pPr>
        <w:spacing w:after="0" w:line="276" w:lineRule="auto"/>
        <w:ind w:firstLine="284"/>
        <w:jc w:val="both"/>
        <w:rPr>
          <w:rFonts w:ascii="Sylfaen" w:hAnsi="Sylfaen"/>
          <w:b/>
          <w:sz w:val="24"/>
          <w:szCs w:val="24"/>
        </w:rPr>
      </w:pPr>
      <w:r w:rsidRPr="00BB1CB8">
        <w:rPr>
          <w:rFonts w:ascii="Sylfaen" w:hAnsi="Sylfaen"/>
          <w:b/>
          <w:sz w:val="24"/>
          <w:szCs w:val="24"/>
          <w:lang w:val="en-US"/>
        </w:rPr>
        <w:t>№1/</w:t>
      </w:r>
      <w:r w:rsidR="00265AC6">
        <w:rPr>
          <w:rFonts w:ascii="Sylfaen" w:hAnsi="Sylfaen"/>
          <w:b/>
          <w:sz w:val="24"/>
          <w:szCs w:val="24"/>
          <w:lang w:val="en-US"/>
        </w:rPr>
        <w:t>21</w:t>
      </w:r>
      <w:r w:rsidRPr="00BB1CB8">
        <w:rPr>
          <w:rFonts w:ascii="Sylfaen" w:hAnsi="Sylfaen"/>
          <w:b/>
          <w:sz w:val="24"/>
          <w:szCs w:val="24"/>
          <w:lang w:val="en-US"/>
        </w:rPr>
        <w:t>/1894</w:t>
      </w:r>
      <w:r w:rsidRPr="00BB1CB8">
        <w:rPr>
          <w:rFonts w:ascii="Sylfaen" w:hAnsi="Sylfaen"/>
          <w:b/>
          <w:sz w:val="24"/>
          <w:szCs w:val="24"/>
          <w:lang w:val="en-US"/>
        </w:rPr>
        <w:tab/>
      </w:r>
      <w:r w:rsidR="00313BFE" w:rsidRPr="00BB1CB8">
        <w:rPr>
          <w:rFonts w:ascii="Sylfaen" w:hAnsi="Sylfaen"/>
          <w:b/>
          <w:sz w:val="24"/>
          <w:szCs w:val="24"/>
          <w:lang w:val="en-US"/>
        </w:rPr>
        <w:tab/>
      </w:r>
      <w:r w:rsidRPr="00BB1CB8">
        <w:rPr>
          <w:rFonts w:ascii="Sylfaen" w:hAnsi="Sylfaen"/>
          <w:b/>
          <w:sz w:val="24"/>
          <w:szCs w:val="24"/>
          <w:lang w:val="en-US"/>
        </w:rPr>
        <w:tab/>
      </w:r>
      <w:r w:rsidR="00265AC6">
        <w:rPr>
          <w:rFonts w:ascii="Sylfaen" w:hAnsi="Sylfaen"/>
          <w:b/>
          <w:sz w:val="24"/>
          <w:szCs w:val="24"/>
        </w:rPr>
        <w:t xml:space="preserve">                    </w:t>
      </w:r>
      <w:bookmarkStart w:id="0" w:name="_GoBack"/>
      <w:bookmarkEnd w:id="0"/>
      <w:r w:rsidRPr="00BB1CB8">
        <w:rPr>
          <w:rFonts w:ascii="Sylfaen" w:hAnsi="Sylfaen"/>
          <w:b/>
          <w:sz w:val="24"/>
          <w:szCs w:val="24"/>
          <w:lang w:val="en-US"/>
        </w:rPr>
        <w:t xml:space="preserve">ქ. ბათუმი, 2025 წლის </w:t>
      </w:r>
      <w:r w:rsidR="00265AC6">
        <w:rPr>
          <w:rFonts w:ascii="Sylfaen" w:hAnsi="Sylfaen"/>
          <w:b/>
          <w:sz w:val="24"/>
          <w:szCs w:val="24"/>
          <w:lang w:val="en-US"/>
        </w:rPr>
        <w:t xml:space="preserve">7 </w:t>
      </w:r>
      <w:r w:rsidR="00265AC6">
        <w:rPr>
          <w:rFonts w:ascii="Sylfaen" w:hAnsi="Sylfaen"/>
          <w:b/>
          <w:sz w:val="24"/>
          <w:szCs w:val="24"/>
        </w:rPr>
        <w:t>ნოემბერი</w:t>
      </w:r>
    </w:p>
    <w:p w14:paraId="5B4FF177" w14:textId="77777777" w:rsidR="00F10C9F" w:rsidRPr="00237AC7" w:rsidRDefault="00F10C9F" w:rsidP="00D87CDC">
      <w:pPr>
        <w:spacing w:after="0" w:line="276" w:lineRule="auto"/>
        <w:ind w:firstLine="284"/>
        <w:jc w:val="both"/>
        <w:rPr>
          <w:rFonts w:ascii="Sylfaen" w:hAnsi="Sylfaen"/>
          <w:b/>
          <w:sz w:val="24"/>
          <w:szCs w:val="24"/>
          <w:lang w:val="en-US"/>
        </w:rPr>
      </w:pPr>
    </w:p>
    <w:p w14:paraId="24EF4F07" w14:textId="77777777" w:rsidR="00F10C9F" w:rsidRPr="00237AC7" w:rsidRDefault="00F10C9F" w:rsidP="00D87CDC">
      <w:pPr>
        <w:spacing w:after="0" w:line="276" w:lineRule="auto"/>
        <w:ind w:firstLine="284"/>
        <w:jc w:val="both"/>
        <w:rPr>
          <w:rFonts w:ascii="Sylfaen" w:hAnsi="Sylfaen"/>
          <w:b/>
          <w:sz w:val="24"/>
          <w:szCs w:val="24"/>
          <w:lang w:val="en-US"/>
        </w:rPr>
      </w:pPr>
      <w:r w:rsidRPr="00237AC7">
        <w:rPr>
          <w:rFonts w:ascii="Sylfaen" w:hAnsi="Sylfaen"/>
          <w:b/>
          <w:sz w:val="24"/>
          <w:szCs w:val="24"/>
          <w:lang w:val="en-US"/>
        </w:rPr>
        <w:t>კოლეგიის შემადგენლობა:</w:t>
      </w:r>
    </w:p>
    <w:p w14:paraId="0BB78F7F" w14:textId="77777777" w:rsidR="00F10C9F" w:rsidRPr="00237AC7" w:rsidRDefault="00F10C9F" w:rsidP="00D87CDC">
      <w:pPr>
        <w:spacing w:after="0" w:line="276" w:lineRule="auto"/>
        <w:ind w:firstLine="284"/>
        <w:jc w:val="both"/>
        <w:rPr>
          <w:rFonts w:ascii="Sylfaen" w:hAnsi="Sylfaen"/>
          <w:sz w:val="24"/>
          <w:szCs w:val="24"/>
          <w:lang w:val="en-US"/>
        </w:rPr>
      </w:pPr>
    </w:p>
    <w:p w14:paraId="1C08A759" w14:textId="77777777" w:rsidR="00F10C9F" w:rsidRPr="00237AC7" w:rsidRDefault="00F10C9F" w:rsidP="00D87CDC">
      <w:pPr>
        <w:spacing w:after="0" w:line="276" w:lineRule="auto"/>
        <w:ind w:firstLine="284"/>
        <w:jc w:val="both"/>
        <w:rPr>
          <w:rFonts w:ascii="Sylfaen" w:hAnsi="Sylfaen"/>
          <w:sz w:val="24"/>
          <w:szCs w:val="24"/>
          <w:lang w:val="en-US"/>
        </w:rPr>
      </w:pPr>
      <w:r w:rsidRPr="00237AC7">
        <w:rPr>
          <w:rFonts w:ascii="Sylfaen" w:hAnsi="Sylfaen"/>
          <w:sz w:val="24"/>
          <w:szCs w:val="24"/>
          <w:lang w:val="en-US"/>
        </w:rPr>
        <w:t>ვასილ როინიშვილი - სხდომის თავმჯდომარე;</w:t>
      </w:r>
    </w:p>
    <w:p w14:paraId="1308BB41" w14:textId="77777777" w:rsidR="00F10C9F" w:rsidRPr="00237AC7" w:rsidRDefault="00F10C9F" w:rsidP="00D87CDC">
      <w:pPr>
        <w:spacing w:after="0" w:line="276" w:lineRule="auto"/>
        <w:ind w:firstLine="284"/>
        <w:jc w:val="both"/>
        <w:rPr>
          <w:rFonts w:ascii="Sylfaen" w:hAnsi="Sylfaen"/>
          <w:sz w:val="24"/>
          <w:szCs w:val="24"/>
          <w:lang w:val="en-US"/>
        </w:rPr>
      </w:pPr>
      <w:r w:rsidRPr="00237AC7">
        <w:rPr>
          <w:rFonts w:ascii="Sylfaen" w:hAnsi="Sylfaen"/>
          <w:sz w:val="24"/>
          <w:szCs w:val="24"/>
          <w:lang w:val="en-US"/>
        </w:rPr>
        <w:t>ევა გოცირიძე - წევრი;</w:t>
      </w:r>
    </w:p>
    <w:p w14:paraId="51046FC0" w14:textId="77777777" w:rsidR="00F10C9F" w:rsidRPr="00237AC7" w:rsidRDefault="00F10C9F" w:rsidP="00D87CDC">
      <w:pPr>
        <w:spacing w:after="0" w:line="276" w:lineRule="auto"/>
        <w:ind w:firstLine="284"/>
        <w:jc w:val="both"/>
        <w:rPr>
          <w:rFonts w:ascii="Sylfaen" w:hAnsi="Sylfaen"/>
          <w:sz w:val="24"/>
          <w:szCs w:val="24"/>
          <w:lang w:val="en-US"/>
        </w:rPr>
      </w:pPr>
      <w:r w:rsidRPr="00237AC7">
        <w:rPr>
          <w:rFonts w:ascii="Sylfaen" w:hAnsi="Sylfaen"/>
          <w:sz w:val="24"/>
          <w:szCs w:val="24"/>
          <w:lang w:val="en-US"/>
        </w:rPr>
        <w:t>გიორგი თევდორაშვილი - წევრი, მომხსენებელი მოსამართლე;</w:t>
      </w:r>
    </w:p>
    <w:p w14:paraId="323FE900" w14:textId="77777777" w:rsidR="00F10C9F" w:rsidRPr="00237AC7" w:rsidRDefault="00F10C9F" w:rsidP="00D87CDC">
      <w:pPr>
        <w:spacing w:after="0" w:line="276" w:lineRule="auto"/>
        <w:ind w:firstLine="284"/>
        <w:jc w:val="both"/>
        <w:rPr>
          <w:rFonts w:ascii="Sylfaen" w:hAnsi="Sylfaen"/>
          <w:sz w:val="24"/>
          <w:szCs w:val="24"/>
          <w:lang w:val="en-US"/>
        </w:rPr>
      </w:pPr>
      <w:r w:rsidRPr="00237AC7">
        <w:rPr>
          <w:rFonts w:ascii="Sylfaen" w:hAnsi="Sylfaen"/>
          <w:sz w:val="24"/>
          <w:szCs w:val="24"/>
          <w:lang w:val="en-US"/>
        </w:rPr>
        <w:t xml:space="preserve">გიორგი კვერენჩხილაძე - წევრი. </w:t>
      </w:r>
    </w:p>
    <w:p w14:paraId="58DA6D14" w14:textId="77777777" w:rsidR="00F10C9F" w:rsidRPr="00237AC7" w:rsidRDefault="00F10C9F" w:rsidP="00D87CDC">
      <w:pPr>
        <w:spacing w:after="0" w:line="276" w:lineRule="auto"/>
        <w:ind w:firstLine="284"/>
        <w:jc w:val="both"/>
        <w:rPr>
          <w:rFonts w:ascii="Sylfaen" w:hAnsi="Sylfaen"/>
          <w:sz w:val="24"/>
          <w:szCs w:val="24"/>
          <w:lang w:val="en-US"/>
        </w:rPr>
      </w:pPr>
    </w:p>
    <w:p w14:paraId="4E978E6D" w14:textId="77777777" w:rsidR="00F10C9F" w:rsidRPr="00237AC7" w:rsidRDefault="00F10C9F" w:rsidP="00D87CDC">
      <w:pPr>
        <w:spacing w:after="0" w:line="276" w:lineRule="auto"/>
        <w:ind w:firstLine="284"/>
        <w:jc w:val="both"/>
        <w:rPr>
          <w:rFonts w:ascii="Sylfaen" w:hAnsi="Sylfaen"/>
          <w:sz w:val="24"/>
          <w:szCs w:val="24"/>
          <w:lang w:val="en-US"/>
        </w:rPr>
      </w:pPr>
      <w:r w:rsidRPr="00237AC7">
        <w:rPr>
          <w:rFonts w:ascii="Sylfaen" w:hAnsi="Sylfaen"/>
          <w:b/>
          <w:sz w:val="24"/>
          <w:szCs w:val="24"/>
          <w:lang w:val="en-US"/>
        </w:rPr>
        <w:t>სხდომის მდივანი:</w:t>
      </w:r>
      <w:r w:rsidRPr="00237AC7">
        <w:rPr>
          <w:rFonts w:ascii="Sylfaen" w:hAnsi="Sylfaen"/>
          <w:sz w:val="24"/>
          <w:szCs w:val="24"/>
          <w:lang w:val="en-US"/>
        </w:rPr>
        <w:t xml:space="preserve"> სოფია კობახიძე.</w:t>
      </w:r>
    </w:p>
    <w:p w14:paraId="273FD699" w14:textId="77777777" w:rsidR="00F10C9F" w:rsidRPr="00237AC7" w:rsidRDefault="00F10C9F" w:rsidP="00D87CDC">
      <w:pPr>
        <w:spacing w:after="0" w:line="276" w:lineRule="auto"/>
        <w:ind w:firstLine="284"/>
        <w:jc w:val="both"/>
        <w:rPr>
          <w:rFonts w:ascii="Sylfaen" w:hAnsi="Sylfaen"/>
          <w:sz w:val="24"/>
          <w:szCs w:val="24"/>
          <w:lang w:val="en-US"/>
        </w:rPr>
      </w:pPr>
    </w:p>
    <w:p w14:paraId="57186DBE" w14:textId="77777777" w:rsidR="00F10C9F" w:rsidRPr="00237AC7" w:rsidRDefault="00F10C9F" w:rsidP="00D87CDC">
      <w:pPr>
        <w:spacing w:after="0" w:line="276" w:lineRule="auto"/>
        <w:ind w:firstLine="284"/>
        <w:jc w:val="both"/>
        <w:rPr>
          <w:rFonts w:ascii="Sylfaen" w:hAnsi="Sylfaen"/>
          <w:bCs/>
          <w:sz w:val="24"/>
          <w:szCs w:val="24"/>
          <w:lang w:val="en-US"/>
        </w:rPr>
      </w:pPr>
      <w:r w:rsidRPr="00237AC7">
        <w:rPr>
          <w:rFonts w:ascii="Sylfaen" w:hAnsi="Sylfaen"/>
          <w:b/>
          <w:sz w:val="24"/>
          <w:szCs w:val="24"/>
          <w:lang w:val="en-US"/>
        </w:rPr>
        <w:t>საქმის დასახელება:</w:t>
      </w:r>
      <w:r w:rsidRPr="00237AC7">
        <w:rPr>
          <w:rFonts w:ascii="Sylfaen" w:hAnsi="Sylfaen"/>
          <w:sz w:val="24"/>
          <w:szCs w:val="24"/>
          <w:lang w:val="en-US"/>
        </w:rPr>
        <w:t xml:space="preserve"> </w:t>
      </w:r>
      <w:r w:rsidRPr="00237AC7">
        <w:rPr>
          <w:rFonts w:ascii="Sylfaen" w:hAnsi="Sylfaen"/>
          <w:bCs/>
          <w:sz w:val="24"/>
          <w:szCs w:val="24"/>
          <w:lang w:val="en-US"/>
        </w:rPr>
        <w:t>შორენა წიკლაური საქართველოს პარლამენტის წინააღმდეგ.</w:t>
      </w:r>
    </w:p>
    <w:p w14:paraId="5F36FAC6" w14:textId="77777777" w:rsidR="00F10C9F" w:rsidRPr="00237AC7" w:rsidRDefault="00F10C9F" w:rsidP="00D87CDC">
      <w:pPr>
        <w:spacing w:after="0" w:line="276" w:lineRule="auto"/>
        <w:ind w:firstLine="284"/>
        <w:jc w:val="both"/>
        <w:rPr>
          <w:rFonts w:ascii="Sylfaen" w:hAnsi="Sylfaen"/>
          <w:bCs/>
          <w:sz w:val="24"/>
          <w:szCs w:val="24"/>
          <w:lang w:val="en-US"/>
        </w:rPr>
      </w:pPr>
    </w:p>
    <w:p w14:paraId="5B3F5538" w14:textId="77777777" w:rsidR="00F10C9F" w:rsidRPr="00237AC7" w:rsidRDefault="00F10C9F" w:rsidP="00D87CDC">
      <w:pPr>
        <w:spacing w:after="0" w:line="276" w:lineRule="auto"/>
        <w:ind w:left="90" w:firstLine="194"/>
        <w:jc w:val="both"/>
        <w:rPr>
          <w:rFonts w:ascii="Sylfaen" w:hAnsi="Sylfaen"/>
          <w:bCs/>
          <w:sz w:val="24"/>
          <w:szCs w:val="24"/>
          <w:lang w:val="en-US"/>
        </w:rPr>
      </w:pPr>
      <w:r w:rsidRPr="00237AC7">
        <w:rPr>
          <w:rFonts w:ascii="Sylfaen" w:hAnsi="Sylfaen"/>
          <w:b/>
          <w:bCs/>
          <w:sz w:val="24"/>
          <w:szCs w:val="24"/>
          <w:lang w:val="en-US"/>
        </w:rPr>
        <w:t>დავის საგანი:</w:t>
      </w:r>
      <w:r w:rsidRPr="00237AC7">
        <w:rPr>
          <w:rFonts w:ascii="Sylfaen" w:hAnsi="Sylfaen"/>
          <w:bCs/>
          <w:sz w:val="24"/>
          <w:szCs w:val="24"/>
          <w:lang w:val="en-US"/>
        </w:rPr>
        <w:t xml:space="preserve"> ა) საქართველოს სამოქალაქო კოდექსის 286-ე მუხლის მე-4 ნაწილის კონსტიტუციურობა საქართველოს კონსტიტუციის მე-9 მუხლის პირველ პუნქტთან მიმართებით; </w:t>
      </w:r>
    </w:p>
    <w:p w14:paraId="27B536A3" w14:textId="77777777" w:rsidR="00F10C9F" w:rsidRPr="00237AC7" w:rsidRDefault="00F10C9F" w:rsidP="00D87CDC">
      <w:pPr>
        <w:spacing w:after="0" w:line="276" w:lineRule="auto"/>
        <w:ind w:left="90" w:firstLine="194"/>
        <w:jc w:val="both"/>
        <w:rPr>
          <w:rFonts w:ascii="Sylfaen" w:hAnsi="Sylfaen"/>
          <w:bCs/>
          <w:sz w:val="24"/>
          <w:szCs w:val="24"/>
          <w:lang w:val="en-US"/>
        </w:rPr>
      </w:pPr>
      <w:r w:rsidRPr="00237AC7">
        <w:rPr>
          <w:rFonts w:ascii="Sylfaen" w:hAnsi="Sylfaen"/>
          <w:bCs/>
          <w:sz w:val="24"/>
          <w:szCs w:val="24"/>
          <w:lang w:val="en-US"/>
        </w:rPr>
        <w:t>ბ) საქართველოს სამოქალაქო კოდექსის 286-ე მუხლის მე-5 ნაწილის კონსტიტუციურობა საქართველოს კონსტიტუციის მე-11 მუხლის პირველი პუნქტის პირველ წინადადებასთან მიმართებით.</w:t>
      </w:r>
    </w:p>
    <w:p w14:paraId="6DFDD744" w14:textId="77777777" w:rsidR="00F10C9F" w:rsidRPr="00237AC7" w:rsidRDefault="00F10C9F" w:rsidP="00D87CDC">
      <w:pPr>
        <w:pStyle w:val="Heading1"/>
        <w:spacing w:before="0" w:after="100" w:afterAutospacing="1" w:line="276" w:lineRule="auto"/>
        <w:jc w:val="center"/>
        <w:rPr>
          <w:rFonts w:ascii="Sylfaen" w:hAnsi="Sylfaen"/>
          <w:b/>
          <w:bCs/>
          <w:noProof/>
          <w:color w:val="000000" w:themeColor="text1"/>
          <w:sz w:val="24"/>
          <w:szCs w:val="24"/>
        </w:rPr>
      </w:pPr>
      <w:r w:rsidRPr="00237AC7">
        <w:rPr>
          <w:rFonts w:ascii="Sylfaen" w:hAnsi="Sylfaen"/>
          <w:b/>
          <w:bCs/>
          <w:noProof/>
          <w:color w:val="000000" w:themeColor="text1"/>
          <w:sz w:val="24"/>
          <w:szCs w:val="24"/>
        </w:rPr>
        <w:lastRenderedPageBreak/>
        <w:t>I</w:t>
      </w:r>
      <w:r w:rsidRPr="00237AC7">
        <w:rPr>
          <w:rFonts w:ascii="Sylfaen" w:hAnsi="Sylfaen"/>
          <w:b/>
          <w:bCs/>
          <w:noProof/>
          <w:color w:val="000000" w:themeColor="text1"/>
          <w:sz w:val="24"/>
          <w:szCs w:val="24"/>
        </w:rPr>
        <w:br/>
        <w:t>აღწერილობითი ნაწილი</w:t>
      </w:r>
    </w:p>
    <w:p w14:paraId="3E38338E" w14:textId="5644344C" w:rsidR="00F10C9F" w:rsidRPr="00237AC7" w:rsidRDefault="00F10C9F" w:rsidP="00D87CDC">
      <w:pPr>
        <w:pStyle w:val="ListParagraph"/>
        <w:numPr>
          <w:ilvl w:val="0"/>
          <w:numId w:val="1"/>
        </w:numPr>
        <w:spacing w:after="0" w:line="276" w:lineRule="auto"/>
        <w:ind w:left="0" w:firstLine="284"/>
        <w:jc w:val="both"/>
        <w:rPr>
          <w:rFonts w:ascii="Sylfaen" w:hAnsi="Sylfaen"/>
          <w:sz w:val="24"/>
          <w:szCs w:val="24"/>
          <w:lang w:val="en-US"/>
        </w:rPr>
      </w:pPr>
      <w:r w:rsidRPr="00237AC7">
        <w:rPr>
          <w:rFonts w:ascii="Sylfaen" w:hAnsi="Sylfaen"/>
          <w:sz w:val="24"/>
          <w:szCs w:val="24"/>
          <w:lang w:val="en-US"/>
        </w:rPr>
        <w:t>საქართველოს საკონსტიტუციო სასამართლოს 2025 წლის 4 სექტემბერს კონსტიტუციური სარჩელით (რეგისტრაციის №1894) მომართა შორენა წიკლაურმა.</w:t>
      </w:r>
      <w:r w:rsidRPr="00237AC7">
        <w:rPr>
          <w:rFonts w:ascii="Sylfaen" w:hAnsi="Sylfaen"/>
          <w:bCs/>
          <w:sz w:val="24"/>
          <w:szCs w:val="24"/>
          <w:lang w:val="en-US"/>
        </w:rPr>
        <w:t xml:space="preserve"> №1894 კონსტიტუციური სარჩელი საქართველოს საკონსტიტუციო სასამართლოს პირველ კოლეგიას არსებითად განსახილველად მიღების საკითხის გადასაწყვეტად გადმოეცა 2025 წლის 15 სექტემბერს. 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2025 წლის </w:t>
      </w:r>
      <w:r w:rsidR="00265AC6">
        <w:rPr>
          <w:rFonts w:ascii="Sylfaen" w:hAnsi="Sylfaen"/>
          <w:bCs/>
          <w:sz w:val="24"/>
          <w:szCs w:val="24"/>
          <w:lang w:val="en-US"/>
        </w:rPr>
        <w:t xml:space="preserve">7 </w:t>
      </w:r>
      <w:r w:rsidR="00265AC6">
        <w:rPr>
          <w:rFonts w:ascii="Sylfaen" w:hAnsi="Sylfaen"/>
          <w:bCs/>
          <w:sz w:val="24"/>
          <w:szCs w:val="24"/>
        </w:rPr>
        <w:t xml:space="preserve">ნოემბერს. </w:t>
      </w:r>
    </w:p>
    <w:p w14:paraId="0D1E9F23" w14:textId="3CB7B2A8" w:rsidR="00F10C9F" w:rsidRPr="00237AC7" w:rsidRDefault="00F10C9F" w:rsidP="00D87CDC">
      <w:pPr>
        <w:pStyle w:val="ListParagraph"/>
        <w:numPr>
          <w:ilvl w:val="0"/>
          <w:numId w:val="1"/>
        </w:numPr>
        <w:spacing w:after="0" w:line="276" w:lineRule="auto"/>
        <w:ind w:left="0" w:firstLine="284"/>
        <w:jc w:val="both"/>
        <w:rPr>
          <w:rFonts w:ascii="Sylfaen" w:hAnsi="Sylfaen"/>
          <w:bCs/>
          <w:sz w:val="24"/>
          <w:szCs w:val="24"/>
          <w:lang w:val="en-US"/>
        </w:rPr>
      </w:pPr>
      <w:r w:rsidRPr="00237AC7">
        <w:rPr>
          <w:rFonts w:ascii="Sylfaen" w:hAnsi="Sylfaen"/>
          <w:sz w:val="24"/>
          <w:szCs w:val="24"/>
          <w:lang w:val="en-US"/>
        </w:rPr>
        <w:t>№1894 კონსტიტუციურ სარჩელში საქართველოს საკონსტიტუციო სასამართლოსთვის მომართვის სამართლებრივ საფუძვლებად მითითებულია: საქართველოს კონსტიტუციის 31-ე</w:t>
      </w:r>
      <w:r w:rsidR="00AA2875">
        <w:rPr>
          <w:rFonts w:ascii="Sylfaen" w:hAnsi="Sylfaen"/>
          <w:sz w:val="24"/>
          <w:szCs w:val="24"/>
        </w:rPr>
        <w:t xml:space="preserve"> მუხლი</w:t>
      </w:r>
      <w:r w:rsidRPr="00237AC7">
        <w:rPr>
          <w:rFonts w:ascii="Sylfaen" w:hAnsi="Sylfaen"/>
          <w:sz w:val="24"/>
          <w:szCs w:val="24"/>
          <w:lang w:val="en-US"/>
        </w:rPr>
        <w:t xml:space="preserve">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Pr="00237AC7">
        <w:rPr>
          <w:rFonts w:ascii="Sylfaen" w:hAnsi="Sylfaen"/>
          <w:bCs/>
          <w:sz w:val="24"/>
          <w:szCs w:val="24"/>
          <w:lang w:val="en-US"/>
        </w:rPr>
        <w:t xml:space="preserve"> 31-ე მუხლი, 31</w:t>
      </w:r>
      <w:r w:rsidRPr="00237AC7">
        <w:rPr>
          <w:rFonts w:ascii="Sylfaen" w:hAnsi="Sylfaen"/>
          <w:bCs/>
          <w:sz w:val="24"/>
          <w:szCs w:val="24"/>
          <w:vertAlign w:val="superscript"/>
          <w:lang w:val="en-US"/>
        </w:rPr>
        <w:t>1</w:t>
      </w:r>
      <w:r w:rsidRPr="00237AC7">
        <w:rPr>
          <w:rFonts w:ascii="Sylfaen" w:hAnsi="Sylfaen"/>
          <w:bCs/>
          <w:sz w:val="24"/>
          <w:szCs w:val="24"/>
          <w:lang w:val="en-US"/>
        </w:rPr>
        <w:t xml:space="preserve"> მუხლი და 39-ე მუხლის პირველი პუნქტის „ა“ ქვეპუნქტი.</w:t>
      </w:r>
    </w:p>
    <w:p w14:paraId="6ACBBF4E" w14:textId="77777777" w:rsidR="00F10C9F" w:rsidRPr="00237AC7" w:rsidRDefault="00F10C9F" w:rsidP="00D87CDC">
      <w:pPr>
        <w:pStyle w:val="ListParagraph"/>
        <w:numPr>
          <w:ilvl w:val="0"/>
          <w:numId w:val="1"/>
        </w:numPr>
        <w:spacing w:after="0" w:line="276" w:lineRule="auto"/>
        <w:ind w:left="0" w:firstLine="284"/>
        <w:jc w:val="both"/>
        <w:rPr>
          <w:rFonts w:ascii="Sylfaen" w:hAnsi="Sylfaen"/>
          <w:bCs/>
          <w:sz w:val="24"/>
          <w:szCs w:val="24"/>
          <w:lang w:val="en-US"/>
        </w:rPr>
      </w:pPr>
      <w:r w:rsidRPr="00237AC7">
        <w:rPr>
          <w:rFonts w:ascii="Sylfaen" w:hAnsi="Sylfaen"/>
          <w:bCs/>
          <w:sz w:val="24"/>
          <w:szCs w:val="24"/>
          <w:lang w:val="en-US"/>
        </w:rPr>
        <w:t>საქართველოს სამოქალაქო კოდექსის 286-ე მუხლის მე-4 ნაწილის თანახმად, „ფიზიკურ პირზე (მათ შორის, ინდივიდუალურ მეწარმეზე) გასაცემი/გაცემული სესხის/კრედიტის ხელშეკრულებიდან გამომდინარე მოთხოვნის უზრუნველყოფის საშუალებად არ შეიძლება გამოყენებულ იქნეს მის ან სხვა ფიზიკური პირის საკუთრებაში არსებული უძრავი ნივთი, აგრეთვე წყლის და საჰაერო სატრანსპორტო საშუალება“. ამავე მუხლის მე-5 ნაწილი კი ადგენს, რომ „ამ მუხლის მე-4 ნაწილით გათვალისწინებული შეზღუდვა არ ვრცელდება „საქართველოს ეროვნული ბანკის შესახებ“ საქართველოს ორგანული კანონის შესაბამისად საქართველოს ეროვნული ბანკის ზედამხედველობისადმი დაქვემდებარებული კომერციული ბანკის, მიკრობანკის, მიკროსაფინანსო ორგანიზაციის, არასაბანკო სადეპოზიტო დაწესებულების − საკრედიტო კავშირის და სესხის გამცემი სუბიექტის მიერ დასადები/დადებული სესხის/კრედიტის ხელშეკრულებებიდან გამომდინარე მოთხოვნების უზრუნველყოფაზე“.</w:t>
      </w:r>
    </w:p>
    <w:p w14:paraId="2576F904" w14:textId="38A57FA6" w:rsidR="00F10C9F" w:rsidRPr="00237AC7" w:rsidRDefault="00F10C9F" w:rsidP="00D87CDC">
      <w:pPr>
        <w:pStyle w:val="ListParagraph"/>
        <w:numPr>
          <w:ilvl w:val="0"/>
          <w:numId w:val="1"/>
        </w:numPr>
        <w:spacing w:after="0" w:line="276" w:lineRule="auto"/>
        <w:ind w:left="0" w:firstLine="284"/>
        <w:jc w:val="both"/>
        <w:rPr>
          <w:rFonts w:ascii="Sylfaen" w:hAnsi="Sylfaen"/>
          <w:bCs/>
          <w:sz w:val="24"/>
          <w:szCs w:val="24"/>
          <w:lang w:val="en-US"/>
        </w:rPr>
      </w:pPr>
      <w:r w:rsidRPr="00237AC7">
        <w:rPr>
          <w:rFonts w:ascii="Sylfaen" w:hAnsi="Sylfaen"/>
          <w:bCs/>
          <w:sz w:val="24"/>
          <w:szCs w:val="24"/>
          <w:lang w:val="en-US"/>
        </w:rPr>
        <w:t>საქართველოს კონსტიტუციის მე-9 მუხლის პირველი პუნქტის შესაბამისად, „ადამიანის ღირსება ხელშეუვალია და მას იცავს სახელმწიფო“</w:t>
      </w:r>
      <w:r w:rsidR="007E2875">
        <w:rPr>
          <w:rFonts w:ascii="Sylfaen" w:hAnsi="Sylfaen"/>
          <w:bCs/>
          <w:sz w:val="24"/>
          <w:szCs w:val="24"/>
          <w:lang w:val="en-US"/>
        </w:rPr>
        <w:t xml:space="preserve">, </w:t>
      </w:r>
      <w:r w:rsidR="007E2875">
        <w:rPr>
          <w:rFonts w:ascii="Sylfaen" w:hAnsi="Sylfaen"/>
          <w:bCs/>
          <w:sz w:val="24"/>
          <w:szCs w:val="24"/>
        </w:rPr>
        <w:t>ხოლო</w:t>
      </w:r>
      <w:r w:rsidRPr="00237AC7">
        <w:rPr>
          <w:rFonts w:ascii="Sylfaen" w:hAnsi="Sylfaen"/>
          <w:bCs/>
          <w:sz w:val="24"/>
          <w:szCs w:val="24"/>
          <w:lang w:val="en-US"/>
        </w:rPr>
        <w:t xml:space="preserve"> მე-11 მუხლის პირველი პუნქტის პირველი წინადადება კი, განამტკიცებს სამართლის წინაშე ყველა ადამიანის თანასწორობის პრინციპს.</w:t>
      </w:r>
    </w:p>
    <w:p w14:paraId="603BD4A9" w14:textId="1B9A82BC" w:rsidR="00F10C9F" w:rsidRPr="00237AC7" w:rsidRDefault="00F10C9F" w:rsidP="00D87CDC">
      <w:pPr>
        <w:pStyle w:val="ListParagraph"/>
        <w:numPr>
          <w:ilvl w:val="0"/>
          <w:numId w:val="1"/>
        </w:numPr>
        <w:spacing w:after="0" w:line="276" w:lineRule="auto"/>
        <w:ind w:left="0" w:firstLine="284"/>
        <w:jc w:val="both"/>
        <w:rPr>
          <w:rFonts w:ascii="Sylfaen" w:hAnsi="Sylfaen"/>
          <w:bCs/>
          <w:sz w:val="24"/>
          <w:szCs w:val="24"/>
          <w:lang w:val="en-US"/>
        </w:rPr>
      </w:pPr>
      <w:r w:rsidRPr="00237AC7">
        <w:rPr>
          <w:rFonts w:ascii="Sylfaen" w:hAnsi="Sylfaen"/>
          <w:bCs/>
          <w:sz w:val="24"/>
          <w:szCs w:val="24"/>
          <w:lang w:val="en-US"/>
        </w:rPr>
        <w:t xml:space="preserve">№1894 კონსტიტუციური სარჩელის თანახმად, მოსარჩელეს წარმოადგენს ფიზიკური პირი, რომლის საკუთრებაშიც არსებული უძრავი ნივთი დატვირთულია </w:t>
      </w:r>
      <w:r w:rsidRPr="00237AC7">
        <w:rPr>
          <w:rFonts w:ascii="Sylfaen" w:hAnsi="Sylfaen"/>
          <w:bCs/>
          <w:sz w:val="24"/>
          <w:szCs w:val="24"/>
          <w:lang w:val="en-US"/>
        </w:rPr>
        <w:lastRenderedPageBreak/>
        <w:t>იპოთეკის უფლებით</w:t>
      </w:r>
      <w:r w:rsidR="00F652F0">
        <w:rPr>
          <w:rFonts w:ascii="Sylfaen" w:hAnsi="Sylfaen"/>
          <w:bCs/>
          <w:sz w:val="24"/>
          <w:szCs w:val="24"/>
          <w:lang w:val="en-US"/>
        </w:rPr>
        <w:t>,</w:t>
      </w:r>
      <w:r w:rsidRPr="00237AC7">
        <w:rPr>
          <w:rFonts w:ascii="Sylfaen" w:hAnsi="Sylfaen"/>
          <w:bCs/>
          <w:sz w:val="24"/>
          <w:szCs w:val="24"/>
          <w:lang w:val="en-US"/>
        </w:rPr>
        <w:t xml:space="preserve"> იურიდიულ პირზე გაცემული სასესხო ვალდებულების უზრუნველსაყოფად. </w:t>
      </w:r>
    </w:p>
    <w:p w14:paraId="725A38CC" w14:textId="11973396" w:rsidR="00F10C9F" w:rsidRPr="00237AC7" w:rsidRDefault="00F10C9F" w:rsidP="00D87CDC">
      <w:pPr>
        <w:pStyle w:val="ListParagraph"/>
        <w:numPr>
          <w:ilvl w:val="0"/>
          <w:numId w:val="1"/>
        </w:numPr>
        <w:spacing w:after="0" w:line="276" w:lineRule="auto"/>
        <w:ind w:left="0" w:firstLine="284"/>
        <w:jc w:val="both"/>
        <w:rPr>
          <w:rFonts w:ascii="Sylfaen" w:hAnsi="Sylfaen"/>
          <w:bCs/>
          <w:sz w:val="24"/>
          <w:szCs w:val="24"/>
          <w:lang w:val="en-US"/>
        </w:rPr>
      </w:pPr>
      <w:r w:rsidRPr="00237AC7">
        <w:rPr>
          <w:rFonts w:ascii="Sylfaen" w:hAnsi="Sylfaen"/>
          <w:bCs/>
          <w:sz w:val="24"/>
          <w:szCs w:val="24"/>
          <w:lang w:val="en-US"/>
        </w:rPr>
        <w:t>მოსარჩელ</w:t>
      </w:r>
      <w:r w:rsidR="00237AC7" w:rsidRPr="00237AC7">
        <w:rPr>
          <w:rFonts w:ascii="Sylfaen" w:hAnsi="Sylfaen"/>
          <w:bCs/>
          <w:sz w:val="24"/>
          <w:szCs w:val="24"/>
        </w:rPr>
        <w:t>ი</w:t>
      </w:r>
      <w:r w:rsidRPr="00237AC7">
        <w:rPr>
          <w:rFonts w:ascii="Sylfaen" w:hAnsi="Sylfaen"/>
          <w:bCs/>
          <w:sz w:val="24"/>
          <w:szCs w:val="24"/>
          <w:lang w:val="en-US"/>
        </w:rPr>
        <w:t xml:space="preserve">ს არგუმენტაციით, სამოქალაქო კოდექსის 286-ე მუხლის მე-4 ნაწილით დადგენილი აკრძალვა არ ვრცელდება იურიდიულ პირებზე, რაც მათ (იურიდიულ პირებს) შესაძლებლობას </w:t>
      </w:r>
      <w:r w:rsidR="00495F2E" w:rsidRPr="00237AC7">
        <w:rPr>
          <w:rFonts w:ascii="Sylfaen" w:hAnsi="Sylfaen"/>
          <w:bCs/>
          <w:sz w:val="24"/>
          <w:szCs w:val="24"/>
        </w:rPr>
        <w:t>ა</w:t>
      </w:r>
      <w:r w:rsidRPr="00237AC7">
        <w:rPr>
          <w:rFonts w:ascii="Sylfaen" w:hAnsi="Sylfaen"/>
          <w:bCs/>
          <w:sz w:val="24"/>
          <w:szCs w:val="24"/>
          <w:lang w:val="en-US"/>
        </w:rPr>
        <w:t xml:space="preserve">ძლევს, რომ უძრავი ნივთი გამოყენებული (დატვირთული) იქნეს მოთხოვნის დასაკმაყოფილებლად. თავის მხრივ, უზრუნველყოფის საგანს შეიძლება წარმოადგენდეს ფიზიკური პირის უძრავი ქონება, საცხოვრებელი სახლი, რომლის მოთხოვნის უზრუნველყოფის საშუალებად გამოყენება </w:t>
      </w:r>
      <w:r w:rsidR="00495F2E" w:rsidRPr="00237AC7">
        <w:rPr>
          <w:rFonts w:ascii="Sylfaen" w:hAnsi="Sylfaen"/>
          <w:bCs/>
          <w:sz w:val="24"/>
          <w:szCs w:val="24"/>
        </w:rPr>
        <w:t>ეწინააღმდეგება</w:t>
      </w:r>
      <w:r w:rsidRPr="00237AC7">
        <w:rPr>
          <w:rFonts w:ascii="Sylfaen" w:hAnsi="Sylfaen"/>
          <w:bCs/>
          <w:sz w:val="24"/>
          <w:szCs w:val="24"/>
          <w:lang w:val="en-US"/>
        </w:rPr>
        <w:t xml:space="preserve"> საქართველოს კონსტიტუციით დაცულ ღირსების უფლებას. აღნიშნულიდან გამომდინარე, მოსარჩელე მხარე მიიჩნევს, რომ სადავო ნორმა არაკონსტიტუციურად უნდა იქნეს ცნობილი საქართველოს კონსტიტუციის მე-9 მუხლის პირველ პუნქტთან მიმართებით. </w:t>
      </w:r>
    </w:p>
    <w:p w14:paraId="0A41EF69" w14:textId="2B8CD0B5" w:rsidR="00F10C9F" w:rsidRPr="00237AC7" w:rsidRDefault="00F10C9F" w:rsidP="00D87CDC">
      <w:pPr>
        <w:pStyle w:val="ListParagraph"/>
        <w:numPr>
          <w:ilvl w:val="0"/>
          <w:numId w:val="1"/>
        </w:numPr>
        <w:spacing w:after="0" w:line="276" w:lineRule="auto"/>
        <w:ind w:left="0" w:firstLine="284"/>
        <w:jc w:val="both"/>
        <w:rPr>
          <w:rFonts w:ascii="Sylfaen" w:hAnsi="Sylfaen"/>
          <w:bCs/>
          <w:sz w:val="24"/>
          <w:szCs w:val="24"/>
          <w:lang w:val="en-US"/>
        </w:rPr>
      </w:pPr>
      <w:r w:rsidRPr="00237AC7">
        <w:rPr>
          <w:rFonts w:ascii="Sylfaen" w:hAnsi="Sylfaen"/>
          <w:bCs/>
          <w:sz w:val="24"/>
          <w:szCs w:val="24"/>
          <w:lang w:val="en-US"/>
        </w:rPr>
        <w:t>კონსტიტუციური სარჩელით ასევე სადავოდაა გამხდარი საქართველოს სამოქალაქო კოდექსის 286-ე მუხლის მე-5 ნაწილი, რომლის თანახმადაც</w:t>
      </w:r>
      <w:r w:rsidR="00F652F0">
        <w:rPr>
          <w:rFonts w:ascii="Sylfaen" w:hAnsi="Sylfaen"/>
          <w:bCs/>
          <w:sz w:val="24"/>
          <w:szCs w:val="24"/>
          <w:lang w:val="en-US"/>
        </w:rPr>
        <w:t>,</w:t>
      </w:r>
      <w:r w:rsidRPr="00237AC7">
        <w:rPr>
          <w:rFonts w:ascii="Sylfaen" w:hAnsi="Sylfaen"/>
          <w:bCs/>
          <w:sz w:val="24"/>
          <w:szCs w:val="24"/>
          <w:lang w:val="en-US"/>
        </w:rPr>
        <w:t xml:space="preserve"> ფიზიკურ პირზე (მათ შორის, ინდივიდუალურ მეწარმეზე) გასაცემი/გაცემული სესხის/კრედიტის ხელშეკრულებიდან გამომდინარე მოთხოვნის უზრუნველყოფის საშუალებად უძრავი ქონების გამოყენების აკრძალვა არ ვრცელდება სხვა სპეციალურ სუბიექტებზე. კერძოდ, აღნიშნული შეზღუდვა არ ვრცელდება „საქართველოს ეროვნული ბანკის შესახებ“ საქართველოს ორგანული კანონის შესაბამისად</w:t>
      </w:r>
      <w:r w:rsidR="00F652F0">
        <w:rPr>
          <w:rFonts w:ascii="Sylfaen" w:hAnsi="Sylfaen"/>
          <w:bCs/>
          <w:sz w:val="24"/>
          <w:szCs w:val="24"/>
          <w:lang w:val="en-US"/>
        </w:rPr>
        <w:t>,</w:t>
      </w:r>
      <w:r w:rsidRPr="00237AC7">
        <w:rPr>
          <w:rFonts w:ascii="Sylfaen" w:hAnsi="Sylfaen"/>
          <w:bCs/>
          <w:sz w:val="24"/>
          <w:szCs w:val="24"/>
          <w:lang w:val="en-US"/>
        </w:rPr>
        <w:t xml:space="preserve"> საქართველოს ეროვნული ბანკის ზედამხედველობისადმი დაქვემდებარებული კომერციული ბანკის, მიკრობანკის, მიკროსაფინანსო ორგანიზაციის, არასაბანკო სადეპოზიტო დაწესებულების − საკრედიტო კავშირის და სესხის გამცემი სუბიექტის მიერ დასადები/დადებული სესხის/კრედიტის ხელშეკრულებებიდან გამომდინარე მოთხოვნების უზრუნველყოფაზე. შესაბამისად, მოსარჩელე მხარე, შესადარებელ პირებად მიიჩნევს, ერთი მხრივ, ფიზიკურ პირებს, რომელთაც ეკრძალებათ მოთხოვნის უზრუნველყოფის საშუალებად ფიზიკური პირის უძრავი ქონების გამოყენება, ხოლო, მეორე მხრივ, სხვა ზემოთ ჩამოთვლილი სპეციალური </w:t>
      </w:r>
      <w:r w:rsidR="00CE0C57" w:rsidRPr="00237AC7">
        <w:rPr>
          <w:rFonts w:ascii="Sylfaen" w:hAnsi="Sylfaen"/>
          <w:bCs/>
          <w:sz w:val="24"/>
          <w:szCs w:val="24"/>
          <w:lang w:val="en-US"/>
        </w:rPr>
        <w:t>სუბიექტებ</w:t>
      </w:r>
      <w:r w:rsidR="00CE0C57">
        <w:rPr>
          <w:rFonts w:ascii="Sylfaen" w:hAnsi="Sylfaen"/>
          <w:bCs/>
          <w:sz w:val="24"/>
          <w:szCs w:val="24"/>
        </w:rPr>
        <w:t>ს</w:t>
      </w:r>
      <w:r w:rsidR="00CE0C57" w:rsidRPr="00237AC7">
        <w:rPr>
          <w:rFonts w:ascii="Sylfaen" w:hAnsi="Sylfaen"/>
          <w:bCs/>
          <w:sz w:val="24"/>
          <w:szCs w:val="24"/>
          <w:lang w:val="en-US"/>
        </w:rPr>
        <w:t xml:space="preserve">, </w:t>
      </w:r>
      <w:r w:rsidRPr="00237AC7">
        <w:rPr>
          <w:rFonts w:ascii="Sylfaen" w:hAnsi="Sylfaen"/>
          <w:bCs/>
          <w:sz w:val="24"/>
          <w:szCs w:val="24"/>
          <w:lang w:val="en-US"/>
        </w:rPr>
        <w:t>რომლებზეც არ ვრცელდება აღნიშნული აკრძალვა. მოსარჩელე მხარის განმარტებით, სადავო ნორმით დადგენილი განსხვავებულ</w:t>
      </w:r>
      <w:r w:rsidR="00495F2E" w:rsidRPr="00237AC7">
        <w:rPr>
          <w:rFonts w:ascii="Sylfaen" w:hAnsi="Sylfaen"/>
          <w:bCs/>
          <w:sz w:val="24"/>
          <w:szCs w:val="24"/>
        </w:rPr>
        <w:t>ი</w:t>
      </w:r>
      <w:r w:rsidRPr="00237AC7">
        <w:rPr>
          <w:rFonts w:ascii="Sylfaen" w:hAnsi="Sylfaen"/>
          <w:bCs/>
          <w:sz w:val="24"/>
          <w:szCs w:val="24"/>
          <w:lang w:val="en-US"/>
        </w:rPr>
        <w:t xml:space="preserve"> მოპყრობა არღვევს </w:t>
      </w:r>
      <w:r w:rsidR="007E2875" w:rsidRPr="00237AC7">
        <w:rPr>
          <w:rFonts w:ascii="Sylfaen" w:hAnsi="Sylfaen"/>
          <w:bCs/>
          <w:sz w:val="24"/>
          <w:szCs w:val="24"/>
          <w:lang w:val="en-US"/>
        </w:rPr>
        <w:t>კონსტიტუციით დაცულ</w:t>
      </w:r>
      <w:r w:rsidR="007E2875">
        <w:rPr>
          <w:rFonts w:ascii="Sylfaen" w:hAnsi="Sylfaen"/>
          <w:bCs/>
          <w:sz w:val="24"/>
          <w:szCs w:val="24"/>
        </w:rPr>
        <w:t xml:space="preserve"> </w:t>
      </w:r>
      <w:r w:rsidRPr="00237AC7">
        <w:rPr>
          <w:rFonts w:ascii="Sylfaen" w:hAnsi="Sylfaen"/>
          <w:bCs/>
          <w:sz w:val="24"/>
          <w:szCs w:val="24"/>
          <w:lang w:val="en-US"/>
        </w:rPr>
        <w:t xml:space="preserve">თანასწორობის უფლებას. </w:t>
      </w:r>
    </w:p>
    <w:p w14:paraId="1E8A4804" w14:textId="77777777" w:rsidR="00F10C9F" w:rsidRPr="00237AC7" w:rsidRDefault="00F10C9F" w:rsidP="00D87CDC">
      <w:pPr>
        <w:pStyle w:val="ListParagraph"/>
        <w:spacing w:after="0" w:line="276" w:lineRule="auto"/>
        <w:ind w:left="284"/>
        <w:jc w:val="both"/>
        <w:rPr>
          <w:rFonts w:ascii="Sylfaen" w:hAnsi="Sylfaen"/>
          <w:bCs/>
          <w:sz w:val="24"/>
          <w:szCs w:val="24"/>
          <w:lang w:val="en-US"/>
        </w:rPr>
      </w:pPr>
    </w:p>
    <w:p w14:paraId="39F9961F" w14:textId="77777777" w:rsidR="00F10C9F" w:rsidRPr="00237AC7" w:rsidRDefault="00F10C9F" w:rsidP="00D87CDC">
      <w:pPr>
        <w:pStyle w:val="ListParagraph"/>
        <w:spacing w:after="0" w:line="276" w:lineRule="auto"/>
        <w:ind w:left="284"/>
        <w:jc w:val="both"/>
        <w:rPr>
          <w:rFonts w:ascii="Sylfaen" w:hAnsi="Sylfaen"/>
          <w:bCs/>
          <w:sz w:val="24"/>
          <w:szCs w:val="24"/>
          <w:lang w:val="en-US"/>
        </w:rPr>
      </w:pPr>
    </w:p>
    <w:p w14:paraId="370106D8" w14:textId="77777777" w:rsidR="00F10C9F" w:rsidRPr="00237AC7" w:rsidRDefault="00F10C9F" w:rsidP="00D87CDC">
      <w:pPr>
        <w:keepNext/>
        <w:keepLines/>
        <w:spacing w:after="100" w:afterAutospacing="1" w:line="276" w:lineRule="auto"/>
        <w:jc w:val="center"/>
        <w:outlineLvl w:val="0"/>
        <w:rPr>
          <w:rFonts w:ascii="Sylfaen" w:eastAsia="Times New Roman" w:hAnsi="Sylfaen" w:cs="Times New Roman"/>
          <w:b/>
          <w:sz w:val="24"/>
          <w:szCs w:val="24"/>
          <w:lang w:val="en-US" w:eastAsia="x-none"/>
        </w:rPr>
      </w:pPr>
      <w:r w:rsidRPr="00237AC7">
        <w:rPr>
          <w:rFonts w:ascii="Sylfaen" w:eastAsia="Times New Roman" w:hAnsi="Sylfaen" w:cs="Times New Roman"/>
          <w:b/>
          <w:sz w:val="24"/>
          <w:szCs w:val="24"/>
          <w:lang w:val="en-US" w:eastAsia="x-none"/>
        </w:rPr>
        <w:lastRenderedPageBreak/>
        <w:t>II</w:t>
      </w:r>
      <w:r w:rsidRPr="00237AC7">
        <w:rPr>
          <w:rFonts w:ascii="Sylfaen" w:eastAsia="Times New Roman" w:hAnsi="Sylfaen" w:cs="Times New Roman"/>
          <w:b/>
          <w:sz w:val="24"/>
          <w:szCs w:val="24"/>
          <w:lang w:val="en-US" w:eastAsia="x-none"/>
        </w:rPr>
        <w:br/>
        <w:t>სამოტივაციო ნაწილი</w:t>
      </w:r>
    </w:p>
    <w:p w14:paraId="3D704F4E" w14:textId="0AC4A183" w:rsidR="00F10C9F" w:rsidRPr="00237AC7" w:rsidRDefault="00F10C9F" w:rsidP="00D87CDC">
      <w:pPr>
        <w:pStyle w:val="ListParagraph"/>
        <w:numPr>
          <w:ilvl w:val="0"/>
          <w:numId w:val="2"/>
        </w:numPr>
        <w:spacing w:after="0" w:line="276" w:lineRule="auto"/>
        <w:ind w:left="0" w:firstLine="284"/>
        <w:jc w:val="both"/>
        <w:rPr>
          <w:rFonts w:ascii="Sylfaen" w:hAnsi="Sylfaen"/>
          <w:b/>
          <w:bCs/>
          <w:sz w:val="24"/>
          <w:szCs w:val="24"/>
          <w:lang w:val="en-US"/>
        </w:rPr>
      </w:pPr>
      <w:r w:rsidRPr="00237AC7">
        <w:rPr>
          <w:rFonts w:ascii="Sylfaen" w:hAnsi="Sylfaen"/>
          <w:sz w:val="24"/>
          <w:szCs w:val="24"/>
          <w:lang w:val="en-US"/>
        </w:rPr>
        <w:t>კონსტიტუციური სარჩელის არსებითად განსახილველად მიღების საკითხის გადასაწყვეტად</w:t>
      </w:r>
      <w:r w:rsidR="00FC62B9">
        <w:rPr>
          <w:rFonts w:ascii="Sylfaen" w:hAnsi="Sylfaen"/>
          <w:sz w:val="24"/>
          <w:szCs w:val="24"/>
          <w:lang w:val="en-US"/>
        </w:rPr>
        <w:t>,</w:t>
      </w:r>
      <w:r w:rsidRPr="00237AC7">
        <w:rPr>
          <w:rFonts w:ascii="Sylfaen" w:hAnsi="Sylfaen"/>
          <w:sz w:val="24"/>
          <w:szCs w:val="24"/>
          <w:lang w:val="en-US"/>
        </w:rPr>
        <w:t xml:space="preserve"> აუცილებელია, რომ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237AC7">
        <w:rPr>
          <w:rFonts w:ascii="Sylfaen" w:hAnsi="Sylfaen"/>
          <w:sz w:val="24"/>
          <w:szCs w:val="24"/>
          <w:vertAlign w:val="superscript"/>
          <w:lang w:val="en-US"/>
        </w:rPr>
        <w:t>1</w:t>
      </w:r>
      <w:r w:rsidRPr="00237AC7">
        <w:rPr>
          <w:rFonts w:ascii="Sylfaen" w:hAnsi="Sylfaen"/>
          <w:sz w:val="24"/>
          <w:szCs w:val="24"/>
          <w:lang w:val="en-US"/>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დადგენილი პრაქტიკის თანახმად, „კონსტიტუციური სარჩელის დასაბუთებულად მიჩნევისათვის აუცილებელია, რომ მასში მოცემული არგუმენტაცია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 ასევე,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აღნიშნულიდან გამომდინარე, </w:t>
      </w:r>
      <w:r w:rsidR="00BB1CB8">
        <w:rPr>
          <w:rFonts w:ascii="Sylfaen" w:hAnsi="Sylfaen"/>
          <w:sz w:val="24"/>
          <w:szCs w:val="24"/>
        </w:rPr>
        <w:t>მოსარჩელე</w:t>
      </w:r>
      <w:r w:rsidRPr="00237AC7">
        <w:rPr>
          <w:rFonts w:ascii="Sylfaen" w:hAnsi="Sylfaen"/>
          <w:sz w:val="24"/>
          <w:szCs w:val="24"/>
          <w:lang w:val="en-US"/>
        </w:rPr>
        <w:t xml:space="preserve"> ვალდებულია, დაასაბუთოს, რომ სახეზეა სადავო ნორმიდან მომდინარე შეზღუდვა, რომელიც მიემართება მის მიერ დასახელებულ კონსტიტუციის დებულებებს. წინააღმდეგ შემთხვევაში, კონსტიტუციური სარჩელი მიიჩნევა დაუსაბუთებლად და</w:t>
      </w:r>
      <w:r w:rsidR="00BB1CB8">
        <w:rPr>
          <w:rFonts w:ascii="Sylfaen" w:hAnsi="Sylfaen"/>
          <w:sz w:val="24"/>
          <w:szCs w:val="24"/>
        </w:rPr>
        <w:t>,</w:t>
      </w:r>
      <w:r w:rsidRPr="00237AC7">
        <w:rPr>
          <w:rFonts w:ascii="Sylfaen" w:hAnsi="Sylfaen"/>
          <w:sz w:val="24"/>
          <w:szCs w:val="24"/>
          <w:lang w:val="en-US"/>
        </w:rPr>
        <w:t xml:space="preserve"> შესაბამისად, არ მიიღება არსებითად განსახილველად.</w:t>
      </w:r>
    </w:p>
    <w:p w14:paraId="189F3E14" w14:textId="7FE830A3" w:rsidR="008F7F4B" w:rsidRPr="00237AC7" w:rsidRDefault="00F10C9F" w:rsidP="00D87CDC">
      <w:pPr>
        <w:pStyle w:val="ListParagraph"/>
        <w:numPr>
          <w:ilvl w:val="0"/>
          <w:numId w:val="2"/>
        </w:numPr>
        <w:spacing w:after="0" w:line="276" w:lineRule="auto"/>
        <w:ind w:left="0" w:firstLine="284"/>
        <w:jc w:val="both"/>
        <w:rPr>
          <w:rFonts w:ascii="Sylfaen" w:hAnsi="Sylfaen"/>
          <w:b/>
          <w:bCs/>
          <w:sz w:val="24"/>
          <w:szCs w:val="24"/>
          <w:lang w:val="en-US"/>
        </w:rPr>
      </w:pPr>
      <w:r w:rsidRPr="00237AC7">
        <w:rPr>
          <w:rFonts w:ascii="Sylfaen" w:hAnsi="Sylfaen"/>
          <w:color w:val="000000"/>
          <w:sz w:val="24"/>
          <w:szCs w:val="24"/>
          <w:shd w:val="clear" w:color="auto" w:fill="FFFFFF"/>
          <w:lang w:val="en-US"/>
        </w:rPr>
        <w:t xml:space="preserve">№1894 </w:t>
      </w:r>
      <w:r w:rsidRPr="00237AC7">
        <w:rPr>
          <w:rFonts w:ascii="Sylfaen" w:hAnsi="Sylfaen" w:cs="Sylfaen"/>
          <w:color w:val="000000"/>
          <w:sz w:val="24"/>
          <w:szCs w:val="24"/>
          <w:shd w:val="clear" w:color="auto" w:fill="FFFFFF"/>
          <w:lang w:val="en-US"/>
        </w:rPr>
        <w:t>კონსტიტუციური</w:t>
      </w:r>
      <w:r w:rsidRPr="00237AC7">
        <w:rPr>
          <w:rFonts w:ascii="Sylfaen" w:hAnsi="Sylfaen"/>
          <w:color w:val="000000"/>
          <w:sz w:val="24"/>
          <w:szCs w:val="24"/>
          <w:shd w:val="clear" w:color="auto" w:fill="FFFFFF"/>
          <w:lang w:val="en-US"/>
        </w:rPr>
        <w:t xml:space="preserve"> </w:t>
      </w:r>
      <w:r w:rsidRPr="00237AC7">
        <w:rPr>
          <w:rFonts w:ascii="Sylfaen" w:hAnsi="Sylfaen" w:cs="Sylfaen"/>
          <w:color w:val="000000"/>
          <w:sz w:val="24"/>
          <w:szCs w:val="24"/>
          <w:shd w:val="clear" w:color="auto" w:fill="FFFFFF"/>
          <w:lang w:val="en-US"/>
        </w:rPr>
        <w:t>სარჩელი</w:t>
      </w:r>
      <w:r w:rsidRPr="00237AC7">
        <w:rPr>
          <w:rFonts w:ascii="Sylfaen" w:hAnsi="Sylfaen"/>
          <w:color w:val="000000"/>
          <w:sz w:val="24"/>
          <w:szCs w:val="24"/>
          <w:shd w:val="clear" w:color="auto" w:fill="FFFFFF"/>
          <w:lang w:val="en-US"/>
        </w:rPr>
        <w:t>თ სადავოდაა გამხდარი</w:t>
      </w:r>
      <w:r w:rsidRPr="00237AC7">
        <w:rPr>
          <w:rFonts w:ascii="Sylfaen" w:hAnsi="Sylfaen" w:cs="Sylfaen"/>
          <w:color w:val="000000"/>
          <w:sz w:val="24"/>
          <w:szCs w:val="24"/>
          <w:shd w:val="clear" w:color="auto" w:fill="FFFFFF"/>
          <w:lang w:val="en-US"/>
        </w:rPr>
        <w:t xml:space="preserve"> </w:t>
      </w:r>
      <w:r w:rsidRPr="00237AC7">
        <w:rPr>
          <w:rFonts w:ascii="Sylfaen" w:hAnsi="Sylfaen"/>
          <w:bCs/>
          <w:sz w:val="24"/>
          <w:szCs w:val="24"/>
          <w:lang w:val="en-US"/>
        </w:rPr>
        <w:t>საქართველოს სამოქალაქო კოდექსის 286-ე მუხლის მე-4 ნაწილის კონსტიტუციურობა საქართველოს კონსტიტუციის მე-9 მუხლის პირველ პუნქტთან მიმართებით. მოსარჩელ</w:t>
      </w:r>
      <w:r w:rsidR="006879B4">
        <w:rPr>
          <w:rFonts w:ascii="Sylfaen" w:hAnsi="Sylfaen"/>
          <w:bCs/>
          <w:sz w:val="24"/>
          <w:szCs w:val="24"/>
        </w:rPr>
        <w:t>ი</w:t>
      </w:r>
      <w:r w:rsidR="00C44BEB" w:rsidRPr="00237AC7">
        <w:rPr>
          <w:rFonts w:ascii="Sylfaen" w:hAnsi="Sylfaen"/>
          <w:bCs/>
          <w:sz w:val="24"/>
          <w:szCs w:val="24"/>
        </w:rPr>
        <w:t xml:space="preserve">სთვის </w:t>
      </w:r>
      <w:r w:rsidRPr="00237AC7">
        <w:rPr>
          <w:rFonts w:ascii="Sylfaen" w:hAnsi="Sylfaen"/>
          <w:bCs/>
          <w:sz w:val="24"/>
          <w:szCs w:val="24"/>
          <w:lang w:val="en-US"/>
        </w:rPr>
        <w:t xml:space="preserve">პრობლემურია სადავო ნორმის ის </w:t>
      </w:r>
      <w:r w:rsidR="00C44BEB" w:rsidRPr="00237AC7">
        <w:rPr>
          <w:rFonts w:ascii="Sylfaen" w:hAnsi="Sylfaen"/>
          <w:bCs/>
          <w:sz w:val="24"/>
          <w:szCs w:val="24"/>
        </w:rPr>
        <w:t xml:space="preserve">ნორმატიული </w:t>
      </w:r>
      <w:r w:rsidRPr="00237AC7">
        <w:rPr>
          <w:rFonts w:ascii="Sylfaen" w:hAnsi="Sylfaen"/>
          <w:bCs/>
          <w:sz w:val="24"/>
          <w:szCs w:val="24"/>
          <w:lang w:val="en-US"/>
        </w:rPr>
        <w:t xml:space="preserve">შინაარსი, რომელიც </w:t>
      </w:r>
      <w:r w:rsidR="00CE0C57">
        <w:rPr>
          <w:rFonts w:ascii="Sylfaen" w:hAnsi="Sylfaen"/>
          <w:bCs/>
          <w:sz w:val="24"/>
          <w:szCs w:val="24"/>
        </w:rPr>
        <w:t>კანონით დადგენილ სპეციალურ ს</w:t>
      </w:r>
      <w:r w:rsidR="00DE63E3">
        <w:rPr>
          <w:rFonts w:ascii="Sylfaen" w:hAnsi="Sylfaen"/>
          <w:bCs/>
          <w:sz w:val="24"/>
          <w:szCs w:val="24"/>
        </w:rPr>
        <w:t>უ</w:t>
      </w:r>
      <w:r w:rsidR="00CE0C57">
        <w:rPr>
          <w:rFonts w:ascii="Sylfaen" w:hAnsi="Sylfaen"/>
          <w:bCs/>
          <w:sz w:val="24"/>
          <w:szCs w:val="24"/>
        </w:rPr>
        <w:t>ბიექტებს</w:t>
      </w:r>
      <w:r w:rsidRPr="00237AC7">
        <w:rPr>
          <w:rFonts w:ascii="Sylfaen" w:hAnsi="Sylfaen"/>
          <w:bCs/>
          <w:sz w:val="24"/>
          <w:szCs w:val="24"/>
          <w:lang w:val="en-US"/>
        </w:rPr>
        <w:t xml:space="preserve"> </w:t>
      </w:r>
      <w:r w:rsidR="00B25690">
        <w:rPr>
          <w:rFonts w:ascii="Sylfaen" w:hAnsi="Sylfaen"/>
          <w:bCs/>
          <w:sz w:val="24"/>
          <w:szCs w:val="24"/>
        </w:rPr>
        <w:t>უფლებას</w:t>
      </w:r>
      <w:r w:rsidR="00B25690" w:rsidRPr="00237AC7">
        <w:rPr>
          <w:rFonts w:ascii="Sylfaen" w:hAnsi="Sylfaen"/>
          <w:bCs/>
          <w:sz w:val="24"/>
          <w:szCs w:val="24"/>
          <w:lang w:val="en-US"/>
        </w:rPr>
        <w:t xml:space="preserve"> </w:t>
      </w:r>
      <w:r w:rsidRPr="00237AC7">
        <w:rPr>
          <w:rFonts w:ascii="Sylfaen" w:hAnsi="Sylfaen"/>
          <w:bCs/>
          <w:sz w:val="24"/>
          <w:szCs w:val="24"/>
          <w:lang w:val="en-US"/>
        </w:rPr>
        <w:t>აძლევს</w:t>
      </w:r>
      <w:r w:rsidR="00200D26">
        <w:rPr>
          <w:rFonts w:ascii="Sylfaen" w:hAnsi="Sylfaen"/>
          <w:bCs/>
          <w:sz w:val="24"/>
          <w:szCs w:val="24"/>
          <w:lang w:val="en-US"/>
        </w:rPr>
        <w:t>,</w:t>
      </w:r>
      <w:r w:rsidRPr="00237AC7">
        <w:rPr>
          <w:rFonts w:ascii="Sylfaen" w:hAnsi="Sylfaen"/>
          <w:bCs/>
          <w:sz w:val="24"/>
          <w:szCs w:val="24"/>
          <w:lang w:val="en-US"/>
        </w:rPr>
        <w:t xml:space="preserve"> </w:t>
      </w:r>
      <w:r w:rsidRPr="00237AC7">
        <w:rPr>
          <w:rFonts w:ascii="Sylfaen" w:hAnsi="Sylfaen" w:cs="Sylfaen"/>
          <w:sz w:val="24"/>
          <w:szCs w:val="24"/>
          <w:lang w:val="en-US"/>
        </w:rPr>
        <w:t>სესხის</w:t>
      </w:r>
      <w:r w:rsidRPr="00237AC7">
        <w:rPr>
          <w:rFonts w:ascii="Sylfaen" w:hAnsi="Sylfaen"/>
          <w:sz w:val="24"/>
          <w:szCs w:val="24"/>
          <w:lang w:val="en-US"/>
        </w:rPr>
        <w:t>/კრედიტის ხელშეკრულებიდან გამომდინარე მოთხოვნის უზრუნველყოფის საშუალებად გამოიყენოს ფიზიკური პირის საკუთრებაში არსებული უძრავი ნივთი</w:t>
      </w:r>
      <w:r w:rsidR="00953F3E" w:rsidRPr="00237AC7">
        <w:rPr>
          <w:rFonts w:ascii="Sylfaen" w:hAnsi="Sylfaen"/>
          <w:sz w:val="24"/>
          <w:szCs w:val="24"/>
          <w:lang w:val="en-US"/>
        </w:rPr>
        <w:t>.</w:t>
      </w:r>
    </w:p>
    <w:p w14:paraId="0C537203" w14:textId="61F2A374" w:rsidR="006C1E2F" w:rsidRPr="006C1E2F" w:rsidRDefault="00953F3E" w:rsidP="006C1E2F">
      <w:pPr>
        <w:pStyle w:val="ListParagraph"/>
        <w:numPr>
          <w:ilvl w:val="0"/>
          <w:numId w:val="2"/>
        </w:numPr>
        <w:spacing w:after="0" w:line="276" w:lineRule="auto"/>
        <w:ind w:left="0" w:firstLine="284"/>
        <w:jc w:val="both"/>
        <w:rPr>
          <w:rFonts w:ascii="Sylfaen" w:hAnsi="Sylfaen"/>
          <w:bCs/>
          <w:sz w:val="24"/>
          <w:szCs w:val="24"/>
          <w:lang w:val="en-US"/>
        </w:rPr>
      </w:pPr>
      <w:r w:rsidRPr="00237AC7">
        <w:rPr>
          <w:rFonts w:ascii="Sylfaen" w:hAnsi="Sylfaen"/>
          <w:bCs/>
          <w:sz w:val="24"/>
          <w:szCs w:val="24"/>
          <w:lang w:val="en-US"/>
        </w:rPr>
        <w:lastRenderedPageBreak/>
        <w:t>სადავო ნორმით</w:t>
      </w:r>
      <w:r w:rsidR="006B447A">
        <w:rPr>
          <w:rFonts w:ascii="Sylfaen" w:hAnsi="Sylfaen"/>
          <w:bCs/>
          <w:sz w:val="24"/>
          <w:szCs w:val="24"/>
        </w:rPr>
        <w:t xml:space="preserve"> </w:t>
      </w:r>
      <w:r w:rsidRPr="00237AC7">
        <w:rPr>
          <w:rFonts w:ascii="Sylfaen" w:hAnsi="Sylfaen"/>
          <w:bCs/>
          <w:sz w:val="24"/>
          <w:szCs w:val="24"/>
          <w:lang w:val="en-US"/>
        </w:rPr>
        <w:t>დადგენილია</w:t>
      </w:r>
      <w:r w:rsidR="00925697" w:rsidRPr="00237AC7">
        <w:rPr>
          <w:rFonts w:ascii="Sylfaen" w:hAnsi="Sylfaen"/>
          <w:bCs/>
          <w:sz w:val="24"/>
          <w:szCs w:val="24"/>
          <w:lang w:val="en-US"/>
        </w:rPr>
        <w:t>, რომ ფიზიკურ პირებზე (მათ შორის</w:t>
      </w:r>
      <w:r w:rsidR="00FE5BEC" w:rsidRPr="00237AC7">
        <w:rPr>
          <w:rFonts w:ascii="Sylfaen" w:hAnsi="Sylfaen"/>
          <w:bCs/>
          <w:sz w:val="24"/>
          <w:szCs w:val="24"/>
        </w:rPr>
        <w:t>,</w:t>
      </w:r>
      <w:r w:rsidR="00925697" w:rsidRPr="00237AC7">
        <w:rPr>
          <w:rFonts w:ascii="Sylfaen" w:hAnsi="Sylfaen"/>
          <w:bCs/>
          <w:sz w:val="24"/>
          <w:szCs w:val="24"/>
          <w:lang w:val="en-US"/>
        </w:rPr>
        <w:t xml:space="preserve"> ინდივიდუალურ მეწარმე</w:t>
      </w:r>
      <w:r w:rsidR="00B95470" w:rsidRPr="00237AC7">
        <w:rPr>
          <w:rFonts w:ascii="Sylfaen" w:hAnsi="Sylfaen"/>
          <w:bCs/>
          <w:sz w:val="24"/>
          <w:szCs w:val="24"/>
          <w:lang w:val="en-US"/>
        </w:rPr>
        <w:t>ზ</w:t>
      </w:r>
      <w:r w:rsidR="00925697" w:rsidRPr="00237AC7">
        <w:rPr>
          <w:rFonts w:ascii="Sylfaen" w:hAnsi="Sylfaen"/>
          <w:bCs/>
          <w:sz w:val="24"/>
          <w:szCs w:val="24"/>
          <w:lang w:val="en-US"/>
        </w:rPr>
        <w:t xml:space="preserve">ე) გაცემული სასესხო/საკრედიტო ვალდებულების უზრუნველსაყოფად, </w:t>
      </w:r>
      <w:r w:rsidR="00FE5BEC" w:rsidRPr="00237AC7">
        <w:rPr>
          <w:rFonts w:ascii="Sylfaen" w:hAnsi="Sylfaen"/>
          <w:bCs/>
          <w:sz w:val="24"/>
          <w:szCs w:val="24"/>
          <w:lang w:val="en-US"/>
        </w:rPr>
        <w:t>არ შეიძლება გამოყენებულ იქნეს მის ან სხვა ფიზიკური პირის საკუთრებაში არსებული უძრავი ნივთი</w:t>
      </w:r>
      <w:r w:rsidR="00603A1F" w:rsidRPr="00237AC7">
        <w:rPr>
          <w:rFonts w:ascii="Sylfaen" w:hAnsi="Sylfaen"/>
          <w:bCs/>
          <w:sz w:val="24"/>
          <w:szCs w:val="24"/>
          <w:lang w:val="en-US"/>
        </w:rPr>
        <w:t>.</w:t>
      </w:r>
      <w:r w:rsidR="00085EF0" w:rsidRPr="00237AC7">
        <w:rPr>
          <w:rFonts w:ascii="Sylfaen" w:hAnsi="Sylfaen"/>
          <w:bCs/>
          <w:sz w:val="24"/>
          <w:szCs w:val="24"/>
        </w:rPr>
        <w:t xml:space="preserve"> </w:t>
      </w:r>
      <w:r w:rsidR="00466857" w:rsidRPr="00237AC7">
        <w:rPr>
          <w:rFonts w:ascii="Sylfaen" w:hAnsi="Sylfaen"/>
          <w:bCs/>
          <w:sz w:val="24"/>
          <w:szCs w:val="24"/>
        </w:rPr>
        <w:t xml:space="preserve">ამასთან, </w:t>
      </w:r>
      <w:r w:rsidR="00085EF0" w:rsidRPr="00237AC7">
        <w:rPr>
          <w:rFonts w:ascii="Sylfaen" w:hAnsi="Sylfaen"/>
          <w:bCs/>
          <w:sz w:val="24"/>
          <w:szCs w:val="24"/>
          <w:lang w:val="en-US"/>
        </w:rPr>
        <w:t>საქართველოს სამოქალაქო კოდექსის 286-ე მუხლის მე</w:t>
      </w:r>
      <w:r w:rsidR="00085EF0" w:rsidRPr="00237AC7">
        <w:rPr>
          <w:rFonts w:ascii="Sylfaen" w:hAnsi="Sylfaen"/>
          <w:bCs/>
          <w:sz w:val="24"/>
          <w:szCs w:val="24"/>
        </w:rPr>
        <w:t>-5 ნაწილის თანახმად, ზემო</w:t>
      </w:r>
      <w:r w:rsidR="00466857" w:rsidRPr="00237AC7">
        <w:rPr>
          <w:rFonts w:ascii="Sylfaen" w:hAnsi="Sylfaen"/>
          <w:bCs/>
          <w:sz w:val="24"/>
          <w:szCs w:val="24"/>
          <w:lang w:val="en-US"/>
        </w:rPr>
        <w:t>აღნიშნული შეზღუდვა</w:t>
      </w:r>
      <w:r w:rsidR="00466857" w:rsidRPr="00237AC7">
        <w:rPr>
          <w:rFonts w:ascii="Sylfaen" w:hAnsi="Sylfaen"/>
          <w:bCs/>
          <w:sz w:val="24"/>
          <w:szCs w:val="24"/>
        </w:rPr>
        <w:t xml:space="preserve"> არ ვრცელდება</w:t>
      </w:r>
      <w:r w:rsidR="00925697" w:rsidRPr="00237AC7">
        <w:rPr>
          <w:rFonts w:ascii="Sylfaen" w:hAnsi="Sylfaen"/>
          <w:bCs/>
          <w:sz w:val="24"/>
          <w:szCs w:val="24"/>
          <w:lang w:val="en-US"/>
        </w:rPr>
        <w:t xml:space="preserve"> საქართველოს ეროვნული ბანკის ზედამხედველობისადმი დაქვემდებარებულ </w:t>
      </w:r>
      <w:r w:rsidR="00031ED1" w:rsidRPr="00237AC7">
        <w:rPr>
          <w:rFonts w:ascii="Sylfaen" w:hAnsi="Sylfaen"/>
          <w:bCs/>
          <w:sz w:val="24"/>
          <w:szCs w:val="24"/>
          <w:lang w:val="en-US"/>
        </w:rPr>
        <w:t>სუბიექტ</w:t>
      </w:r>
      <w:r w:rsidR="009C4BCA" w:rsidRPr="00237AC7">
        <w:rPr>
          <w:rFonts w:ascii="Sylfaen" w:hAnsi="Sylfaen"/>
          <w:bCs/>
          <w:sz w:val="24"/>
          <w:szCs w:val="24"/>
          <w:lang w:val="en-US"/>
        </w:rPr>
        <w:t>ებზე</w:t>
      </w:r>
      <w:r w:rsidR="00925697" w:rsidRPr="00237AC7">
        <w:rPr>
          <w:rFonts w:ascii="Sylfaen" w:hAnsi="Sylfaen"/>
          <w:bCs/>
          <w:sz w:val="24"/>
          <w:szCs w:val="24"/>
          <w:lang w:val="en-US"/>
        </w:rPr>
        <w:t xml:space="preserve"> (კომერციული ბანკი, მიკრობანკი, მიკროსაფინანსო ორგანიზაცია, არასაბანკო სადეპოზიტო დაწესებულება − საკრედიტო კავშირი და სესხის გამცემი სუბიექტი)</w:t>
      </w:r>
      <w:r w:rsidR="00466857" w:rsidRPr="00237AC7">
        <w:rPr>
          <w:rFonts w:ascii="Sylfaen" w:hAnsi="Sylfaen"/>
          <w:bCs/>
          <w:sz w:val="24"/>
          <w:szCs w:val="24"/>
        </w:rPr>
        <w:t>.</w:t>
      </w:r>
      <w:r w:rsidR="00603A1F" w:rsidRPr="00237AC7">
        <w:rPr>
          <w:rFonts w:ascii="Sylfaen" w:hAnsi="Sylfaen"/>
          <w:bCs/>
          <w:sz w:val="24"/>
          <w:szCs w:val="24"/>
        </w:rPr>
        <w:t xml:space="preserve"> </w:t>
      </w:r>
      <w:r w:rsidR="00603A1F" w:rsidRPr="006C1E2F">
        <w:rPr>
          <w:rFonts w:ascii="Sylfaen" w:hAnsi="Sylfaen"/>
          <w:bCs/>
          <w:sz w:val="24"/>
          <w:szCs w:val="24"/>
        </w:rPr>
        <w:t xml:space="preserve">იმავდროულად, </w:t>
      </w:r>
      <w:r w:rsidR="009C4BCA" w:rsidRPr="006C1E2F">
        <w:rPr>
          <w:rFonts w:ascii="Sylfaen" w:hAnsi="Sylfaen"/>
          <w:bCs/>
          <w:sz w:val="24"/>
          <w:szCs w:val="24"/>
          <w:lang w:val="en-US"/>
        </w:rPr>
        <w:t xml:space="preserve">სამოქალაქო კოდექსის 286-ე მუხლის პირველი </w:t>
      </w:r>
      <w:r w:rsidR="000F0AA9" w:rsidRPr="006C1E2F">
        <w:rPr>
          <w:rFonts w:ascii="Sylfaen" w:hAnsi="Sylfaen"/>
          <w:bCs/>
          <w:sz w:val="24"/>
          <w:szCs w:val="24"/>
          <w:lang w:val="en-US"/>
        </w:rPr>
        <w:t>ნაწილი</w:t>
      </w:r>
      <w:r w:rsidR="003C00F5" w:rsidRPr="006C1E2F">
        <w:rPr>
          <w:rFonts w:ascii="Sylfaen" w:hAnsi="Sylfaen"/>
          <w:bCs/>
          <w:sz w:val="24"/>
          <w:szCs w:val="24"/>
        </w:rPr>
        <w:t>თ</w:t>
      </w:r>
      <w:r w:rsidR="000F0AA9" w:rsidRPr="006C1E2F">
        <w:rPr>
          <w:rFonts w:ascii="Sylfaen" w:hAnsi="Sylfaen"/>
          <w:bCs/>
          <w:sz w:val="24"/>
          <w:szCs w:val="24"/>
          <w:lang w:val="en-US"/>
        </w:rPr>
        <w:t xml:space="preserve">, </w:t>
      </w:r>
      <w:r w:rsidR="00B95470" w:rsidRPr="006C1E2F">
        <w:rPr>
          <w:rFonts w:ascii="Sylfaen" w:hAnsi="Sylfaen"/>
          <w:bCs/>
          <w:sz w:val="24"/>
          <w:szCs w:val="24"/>
          <w:lang w:val="en-US"/>
        </w:rPr>
        <w:t>განსაზღვრ</w:t>
      </w:r>
      <w:r w:rsidR="003C00F5" w:rsidRPr="006C1E2F">
        <w:rPr>
          <w:rFonts w:ascii="Sylfaen" w:hAnsi="Sylfaen"/>
          <w:bCs/>
          <w:sz w:val="24"/>
          <w:szCs w:val="24"/>
        </w:rPr>
        <w:t>ულია</w:t>
      </w:r>
      <w:r w:rsidR="00B95470" w:rsidRPr="006C1E2F">
        <w:rPr>
          <w:rFonts w:ascii="Sylfaen" w:hAnsi="Sylfaen"/>
          <w:bCs/>
          <w:sz w:val="24"/>
          <w:szCs w:val="24"/>
          <w:lang w:val="en-US"/>
        </w:rPr>
        <w:t xml:space="preserve"> იპოთეკის</w:t>
      </w:r>
      <w:r w:rsidR="00F56EEC" w:rsidRPr="006C1E2F">
        <w:rPr>
          <w:rFonts w:ascii="Sylfaen" w:hAnsi="Sylfaen"/>
          <w:bCs/>
          <w:sz w:val="24"/>
          <w:szCs w:val="24"/>
        </w:rPr>
        <w:t xml:space="preserve"> ინსტიტუტის</w:t>
      </w:r>
      <w:r w:rsidR="00DC59E4" w:rsidRPr="006C1E2F">
        <w:rPr>
          <w:rFonts w:ascii="Sylfaen" w:hAnsi="Sylfaen"/>
          <w:bCs/>
          <w:sz w:val="24"/>
          <w:szCs w:val="24"/>
        </w:rPr>
        <w:t xml:space="preserve"> </w:t>
      </w:r>
      <w:r w:rsidR="00B95470" w:rsidRPr="006C1E2F">
        <w:rPr>
          <w:rFonts w:ascii="Sylfaen" w:hAnsi="Sylfaen"/>
          <w:bCs/>
          <w:sz w:val="24"/>
          <w:szCs w:val="24"/>
          <w:lang w:val="en-US"/>
        </w:rPr>
        <w:t>ცნება</w:t>
      </w:r>
      <w:r w:rsidR="00603A1F" w:rsidRPr="006C1E2F">
        <w:rPr>
          <w:rFonts w:ascii="Sylfaen" w:hAnsi="Sylfaen"/>
          <w:bCs/>
          <w:sz w:val="24"/>
          <w:szCs w:val="24"/>
        </w:rPr>
        <w:t xml:space="preserve"> და არსი, რომლის თანახმადაც</w:t>
      </w:r>
      <w:r w:rsidR="00B95470" w:rsidRPr="006C1E2F">
        <w:rPr>
          <w:rFonts w:ascii="Sylfaen" w:hAnsi="Sylfaen"/>
          <w:bCs/>
          <w:sz w:val="24"/>
          <w:szCs w:val="24"/>
          <w:lang w:val="en-US"/>
        </w:rPr>
        <w:t xml:space="preserve">, </w:t>
      </w:r>
      <w:r w:rsidR="009C4BCA" w:rsidRPr="006C1E2F">
        <w:rPr>
          <w:rFonts w:ascii="Sylfaen" w:hAnsi="Sylfaen"/>
          <w:bCs/>
          <w:sz w:val="24"/>
          <w:szCs w:val="24"/>
          <w:lang w:val="en-US"/>
        </w:rPr>
        <w:t>„უძრავი ნივთი შეიძლება ისე იქნეს გამოყენებული (დატვირთული) მოთხოვნის დასაკმაყოფილებლად, რომ უზრუნველყოფილ კრედიტორს მიეცეს უფლება, სხვა კრედიტორებთან შედარებით პირველ რიგში მიიღოს თავისი მოთხოვნის დაკმაყოფილება ამ ნივთის რეალიზაციით ან მის საკუთრებაში გადაცემით</w:t>
      </w:r>
      <w:r w:rsidR="008B3C36" w:rsidRPr="006C1E2F">
        <w:rPr>
          <w:rFonts w:ascii="Sylfaen" w:hAnsi="Sylfaen"/>
          <w:bCs/>
          <w:sz w:val="24"/>
          <w:szCs w:val="24"/>
        </w:rPr>
        <w:t xml:space="preserve"> (იპოთეკა)</w:t>
      </w:r>
      <w:r w:rsidR="009C4BCA" w:rsidRPr="006C1E2F">
        <w:rPr>
          <w:rFonts w:ascii="Sylfaen" w:hAnsi="Sylfaen"/>
          <w:bCs/>
          <w:sz w:val="24"/>
          <w:szCs w:val="24"/>
          <w:lang w:val="en-US"/>
        </w:rPr>
        <w:t xml:space="preserve">“. </w:t>
      </w:r>
      <w:r w:rsidR="006C1E2F" w:rsidRPr="006C1E2F">
        <w:rPr>
          <w:rFonts w:ascii="Sylfaen" w:hAnsi="Sylfaen"/>
          <w:bCs/>
          <w:sz w:val="24"/>
          <w:szCs w:val="24"/>
        </w:rPr>
        <w:t xml:space="preserve">შესაბამისად, ერთი მხრივ, </w:t>
      </w:r>
      <w:r w:rsidR="006C1E2F" w:rsidRPr="006C1E2F">
        <w:rPr>
          <w:rFonts w:ascii="Sylfaen" w:hAnsi="Sylfaen"/>
          <w:bCs/>
          <w:sz w:val="24"/>
          <w:szCs w:val="24"/>
          <w:lang w:val="en-US"/>
        </w:rPr>
        <w:t>სადავოდ გამხდარი</w:t>
      </w:r>
      <w:r w:rsidR="006C1E2F" w:rsidRPr="006C1E2F">
        <w:rPr>
          <w:rFonts w:ascii="Sylfaen" w:hAnsi="Sylfaen"/>
          <w:bCs/>
          <w:sz w:val="24"/>
          <w:szCs w:val="24"/>
        </w:rPr>
        <w:t xml:space="preserve"> საქართველოს სამოქალაქო კოდექ</w:t>
      </w:r>
      <w:r w:rsidR="00DE63E3">
        <w:rPr>
          <w:rFonts w:ascii="Sylfaen" w:hAnsi="Sylfaen"/>
          <w:bCs/>
          <w:sz w:val="24"/>
          <w:szCs w:val="24"/>
        </w:rPr>
        <w:t>ს</w:t>
      </w:r>
      <w:r w:rsidR="006C1E2F" w:rsidRPr="006C1E2F">
        <w:rPr>
          <w:rFonts w:ascii="Sylfaen" w:hAnsi="Sylfaen"/>
          <w:bCs/>
          <w:sz w:val="24"/>
          <w:szCs w:val="24"/>
        </w:rPr>
        <w:t>ის</w:t>
      </w:r>
      <w:r w:rsidR="006C1E2F" w:rsidRPr="006C1E2F">
        <w:rPr>
          <w:rFonts w:ascii="Sylfaen" w:hAnsi="Sylfaen"/>
          <w:bCs/>
          <w:sz w:val="24"/>
          <w:szCs w:val="24"/>
          <w:lang w:val="en-US"/>
        </w:rPr>
        <w:t xml:space="preserve"> 286-ე მუხლის მე-4 ნაწილი საგამონაკლისოდ გამორიცხავს </w:t>
      </w:r>
      <w:r w:rsidR="006C1E2F" w:rsidRPr="00BB1CB8">
        <w:rPr>
          <w:rFonts w:ascii="Sylfaen" w:hAnsi="Sylfaen"/>
          <w:bCs/>
          <w:sz w:val="24"/>
          <w:szCs w:val="24"/>
          <w:lang w:val="en-US"/>
        </w:rPr>
        <w:t>ფიზიკურ პირზე გასაცემი/გაცემული სესხის/კრედიტის ხელშეკრულებიდან გამომდინარე მოთხოვნის უზრუნველყოფის საშუალებად ფიზიკური პირის საკუთრებაში არსებული უძრავი ქონებ</w:t>
      </w:r>
      <w:r w:rsidR="006C1E2F">
        <w:rPr>
          <w:rFonts w:ascii="Sylfaen" w:hAnsi="Sylfaen"/>
          <w:bCs/>
          <w:sz w:val="24"/>
          <w:szCs w:val="24"/>
        </w:rPr>
        <w:t>ის გამოყენებას</w:t>
      </w:r>
      <w:r w:rsidR="00D44AAB">
        <w:rPr>
          <w:rFonts w:ascii="Sylfaen" w:hAnsi="Sylfaen"/>
          <w:bCs/>
          <w:sz w:val="24"/>
          <w:szCs w:val="24"/>
        </w:rPr>
        <w:t>,</w:t>
      </w:r>
      <w:r w:rsidR="006C1E2F" w:rsidRPr="006C1E2F">
        <w:rPr>
          <w:rFonts w:ascii="Sylfaen" w:hAnsi="Sylfaen"/>
          <w:bCs/>
          <w:sz w:val="24"/>
          <w:szCs w:val="24"/>
        </w:rPr>
        <w:t xml:space="preserve"> </w:t>
      </w:r>
      <w:r w:rsidR="006C1E2F" w:rsidRPr="00BB1CB8">
        <w:rPr>
          <w:rFonts w:ascii="Sylfaen" w:hAnsi="Sylfaen"/>
          <w:bCs/>
          <w:sz w:val="24"/>
          <w:szCs w:val="24"/>
        </w:rPr>
        <w:t>ხოლო, მეორე მხრივ,</w:t>
      </w:r>
      <w:r w:rsidR="006C1E2F" w:rsidRPr="00BB1CB8">
        <w:rPr>
          <w:rFonts w:ascii="Sylfaen" w:hAnsi="Sylfaen"/>
          <w:bCs/>
          <w:sz w:val="24"/>
          <w:szCs w:val="24"/>
          <w:lang w:val="en-US"/>
        </w:rPr>
        <w:t xml:space="preserve"> </w:t>
      </w:r>
      <w:r w:rsidR="006C1E2F" w:rsidRPr="00BB1CB8">
        <w:rPr>
          <w:rFonts w:ascii="Sylfaen" w:hAnsi="Sylfaen"/>
          <w:bCs/>
          <w:sz w:val="24"/>
          <w:szCs w:val="24"/>
        </w:rPr>
        <w:t>ამავე მუხლის მე-5 ნაწილი</w:t>
      </w:r>
      <w:r w:rsidR="006C1E2F" w:rsidRPr="00BB1CB8">
        <w:rPr>
          <w:rFonts w:ascii="Sylfaen" w:hAnsi="Sylfaen"/>
          <w:bCs/>
          <w:sz w:val="24"/>
          <w:szCs w:val="24"/>
          <w:lang w:val="en-US"/>
        </w:rPr>
        <w:t xml:space="preserve"> საქართველოს ეროვნული ბანკის ზედამხედველობისადმი დაქვემდებარებულ </w:t>
      </w:r>
      <w:r w:rsidR="006C1E2F" w:rsidRPr="00BB1CB8">
        <w:rPr>
          <w:rFonts w:ascii="Sylfaen" w:hAnsi="Sylfaen"/>
          <w:bCs/>
          <w:sz w:val="24"/>
          <w:szCs w:val="24"/>
        </w:rPr>
        <w:t>სუბიექტებზე არ ავრცელებს იგივე სახის შეზღუდვას.</w:t>
      </w:r>
      <w:r w:rsidR="006C1E2F">
        <w:rPr>
          <w:rFonts w:ascii="Sylfaen" w:hAnsi="Sylfaen"/>
          <w:bCs/>
          <w:sz w:val="24"/>
          <w:szCs w:val="24"/>
        </w:rPr>
        <w:t xml:space="preserve"> ამასთანავე, </w:t>
      </w:r>
    </w:p>
    <w:p w14:paraId="581FA5AD" w14:textId="058BC181" w:rsidR="00E73BDA" w:rsidRPr="006C1E2F" w:rsidRDefault="00F05E13" w:rsidP="006C1E2F">
      <w:pPr>
        <w:spacing w:after="0" w:line="276" w:lineRule="auto"/>
        <w:jc w:val="both"/>
        <w:rPr>
          <w:rFonts w:ascii="Sylfaen" w:hAnsi="Sylfaen"/>
          <w:bCs/>
          <w:sz w:val="24"/>
          <w:szCs w:val="24"/>
          <w:lang w:val="en-US"/>
        </w:rPr>
      </w:pPr>
      <w:r w:rsidRPr="006C1E2F">
        <w:rPr>
          <w:rFonts w:ascii="Sylfaen" w:hAnsi="Sylfaen"/>
          <w:bCs/>
          <w:sz w:val="24"/>
          <w:szCs w:val="24"/>
        </w:rPr>
        <w:t xml:space="preserve">უძრავი ნივთის უზრუნველყოფის სანივთო საშუალებად გამოყენების ზოგადი წესი დადგენილია სწორედ </w:t>
      </w:r>
      <w:r w:rsidRPr="006C1E2F">
        <w:rPr>
          <w:rFonts w:ascii="Sylfaen" w:hAnsi="Sylfaen"/>
          <w:bCs/>
          <w:sz w:val="24"/>
          <w:szCs w:val="24"/>
          <w:lang w:val="en-US"/>
        </w:rPr>
        <w:t>სამოქალაქო კოდექსის 286-ე მუხლის პირველი ნაწილი</w:t>
      </w:r>
      <w:r w:rsidRPr="006C1E2F">
        <w:rPr>
          <w:rFonts w:ascii="Sylfaen" w:hAnsi="Sylfaen"/>
          <w:bCs/>
          <w:sz w:val="24"/>
          <w:szCs w:val="24"/>
        </w:rPr>
        <w:t>თ.</w:t>
      </w:r>
    </w:p>
    <w:p w14:paraId="11CE69C0" w14:textId="099EE8A9" w:rsidR="00816686" w:rsidRPr="00816686" w:rsidRDefault="00B25690" w:rsidP="006C1E2F">
      <w:pPr>
        <w:pStyle w:val="ListParagraph"/>
        <w:numPr>
          <w:ilvl w:val="0"/>
          <w:numId w:val="2"/>
        </w:numPr>
        <w:spacing w:after="0" w:line="276" w:lineRule="auto"/>
        <w:ind w:left="0" w:firstLine="284"/>
        <w:jc w:val="both"/>
        <w:rPr>
          <w:rFonts w:ascii="Sylfaen" w:hAnsi="Sylfaen"/>
          <w:b/>
          <w:bCs/>
          <w:sz w:val="24"/>
          <w:szCs w:val="24"/>
          <w:lang w:val="en-US"/>
        </w:rPr>
      </w:pPr>
      <w:r w:rsidRPr="006C1E2F">
        <w:rPr>
          <w:rFonts w:ascii="Sylfaen" w:hAnsi="Sylfaen"/>
          <w:bCs/>
          <w:sz w:val="24"/>
          <w:szCs w:val="24"/>
        </w:rPr>
        <w:t xml:space="preserve">როგორც აღინიშნა, </w:t>
      </w:r>
      <w:r w:rsidR="00031ED1" w:rsidRPr="006C1E2F">
        <w:rPr>
          <w:rFonts w:ascii="Sylfaen" w:hAnsi="Sylfaen"/>
          <w:bCs/>
          <w:sz w:val="24"/>
          <w:szCs w:val="24"/>
          <w:lang w:val="en-US"/>
        </w:rPr>
        <w:t>მოსარჩელე მხარის მიერ წარმოდგენილი არგუმენტებიდან ი</w:t>
      </w:r>
      <w:r w:rsidR="00031ED1" w:rsidRPr="006C1E2F">
        <w:rPr>
          <w:rFonts w:ascii="Sylfaen" w:hAnsi="Sylfaen"/>
          <w:bCs/>
          <w:sz w:val="24"/>
          <w:szCs w:val="24"/>
        </w:rPr>
        <w:t>რკვევა,</w:t>
      </w:r>
      <w:r w:rsidR="00031ED1" w:rsidRPr="006C1E2F">
        <w:rPr>
          <w:rFonts w:ascii="Sylfaen" w:hAnsi="Sylfaen"/>
          <w:bCs/>
          <w:sz w:val="24"/>
          <w:szCs w:val="24"/>
          <w:lang w:val="en-US"/>
        </w:rPr>
        <w:t xml:space="preserve"> რომ მისთვის</w:t>
      </w:r>
      <w:r w:rsidR="001663C5" w:rsidRPr="006C1E2F">
        <w:rPr>
          <w:rFonts w:ascii="Sylfaen" w:hAnsi="Sylfaen"/>
          <w:bCs/>
          <w:sz w:val="24"/>
          <w:szCs w:val="24"/>
        </w:rPr>
        <w:t xml:space="preserve"> </w:t>
      </w:r>
      <w:r w:rsidR="001663C5" w:rsidRPr="006C1E2F">
        <w:rPr>
          <w:rFonts w:ascii="Sylfaen" w:hAnsi="Sylfaen"/>
          <w:bCs/>
          <w:sz w:val="24"/>
          <w:szCs w:val="24"/>
          <w:lang w:val="en-US"/>
        </w:rPr>
        <w:t>პრობლემურია</w:t>
      </w:r>
      <w:r w:rsidR="001663C5" w:rsidRPr="006C1E2F">
        <w:rPr>
          <w:rFonts w:ascii="Sylfaen" w:hAnsi="Sylfaen"/>
          <w:bCs/>
          <w:sz w:val="24"/>
          <w:szCs w:val="24"/>
        </w:rPr>
        <w:t xml:space="preserve"> იურიდიული პირების, კერძოდ</w:t>
      </w:r>
      <w:r w:rsidR="00DD70AB" w:rsidRPr="006C1E2F">
        <w:rPr>
          <w:rFonts w:ascii="Sylfaen" w:hAnsi="Sylfaen"/>
          <w:bCs/>
          <w:sz w:val="24"/>
          <w:szCs w:val="24"/>
        </w:rPr>
        <w:t>,</w:t>
      </w:r>
      <w:r w:rsidR="001663C5" w:rsidRPr="006C1E2F">
        <w:rPr>
          <w:rFonts w:ascii="Sylfaen" w:hAnsi="Sylfaen"/>
          <w:bCs/>
          <w:sz w:val="24"/>
          <w:szCs w:val="24"/>
        </w:rPr>
        <w:t xml:space="preserve"> </w:t>
      </w:r>
      <w:r w:rsidR="001663C5" w:rsidRPr="006C1E2F">
        <w:rPr>
          <w:rFonts w:ascii="Sylfaen" w:hAnsi="Sylfaen"/>
          <w:bCs/>
          <w:sz w:val="24"/>
          <w:szCs w:val="24"/>
          <w:lang w:val="en-US"/>
        </w:rPr>
        <w:t>საქართველოს სამოქალაქო კოდექსის 286-ე მუხლის მე</w:t>
      </w:r>
      <w:r w:rsidR="001663C5" w:rsidRPr="006C1E2F">
        <w:rPr>
          <w:rFonts w:ascii="Sylfaen" w:hAnsi="Sylfaen"/>
          <w:bCs/>
          <w:sz w:val="24"/>
          <w:szCs w:val="24"/>
        </w:rPr>
        <w:t>-5 ნაწილით განსაზღვრული სუბიექტების მხრიდან</w:t>
      </w:r>
      <w:r w:rsidR="00950D99">
        <w:rPr>
          <w:rFonts w:ascii="Sylfaen" w:hAnsi="Sylfaen"/>
          <w:bCs/>
          <w:sz w:val="24"/>
          <w:szCs w:val="24"/>
        </w:rPr>
        <w:t>,</w:t>
      </w:r>
      <w:r w:rsidR="00031ED1" w:rsidRPr="006C1E2F">
        <w:rPr>
          <w:rFonts w:ascii="Sylfaen" w:hAnsi="Sylfaen"/>
          <w:bCs/>
          <w:sz w:val="24"/>
          <w:szCs w:val="24"/>
          <w:lang w:val="en-US"/>
        </w:rPr>
        <w:t xml:space="preserve"> </w:t>
      </w:r>
      <w:r w:rsidR="00DC59E4" w:rsidRPr="006C1E2F">
        <w:rPr>
          <w:rFonts w:ascii="Sylfaen" w:hAnsi="Sylfaen"/>
          <w:bCs/>
          <w:sz w:val="24"/>
          <w:szCs w:val="24"/>
        </w:rPr>
        <w:t>უძრავ</w:t>
      </w:r>
      <w:r w:rsidR="001663C5" w:rsidRPr="006C1E2F">
        <w:rPr>
          <w:rFonts w:ascii="Sylfaen" w:hAnsi="Sylfaen"/>
          <w:bCs/>
          <w:sz w:val="24"/>
          <w:szCs w:val="24"/>
        </w:rPr>
        <w:t>ი</w:t>
      </w:r>
      <w:r w:rsidR="00DC59E4" w:rsidRPr="006C1E2F">
        <w:rPr>
          <w:rFonts w:ascii="Sylfaen" w:hAnsi="Sylfaen"/>
          <w:bCs/>
          <w:sz w:val="24"/>
          <w:szCs w:val="24"/>
        </w:rPr>
        <w:t xml:space="preserve"> ნივთ</w:t>
      </w:r>
      <w:r w:rsidR="001663C5" w:rsidRPr="006C1E2F">
        <w:rPr>
          <w:rFonts w:ascii="Sylfaen" w:hAnsi="Sylfaen"/>
          <w:bCs/>
          <w:sz w:val="24"/>
          <w:szCs w:val="24"/>
        </w:rPr>
        <w:t>ის</w:t>
      </w:r>
      <w:r w:rsidR="00DC59E4" w:rsidRPr="006C1E2F">
        <w:rPr>
          <w:rFonts w:ascii="Sylfaen" w:hAnsi="Sylfaen"/>
          <w:bCs/>
          <w:sz w:val="24"/>
          <w:szCs w:val="24"/>
        </w:rPr>
        <w:t xml:space="preserve"> (საცხოვრებელ</w:t>
      </w:r>
      <w:r w:rsidR="004C697A" w:rsidRPr="006C1E2F">
        <w:rPr>
          <w:rFonts w:ascii="Sylfaen" w:hAnsi="Sylfaen"/>
          <w:bCs/>
          <w:sz w:val="24"/>
          <w:szCs w:val="24"/>
        </w:rPr>
        <w:t>ი</w:t>
      </w:r>
      <w:r w:rsidR="00DC59E4" w:rsidRPr="006C1E2F">
        <w:rPr>
          <w:rFonts w:ascii="Sylfaen" w:hAnsi="Sylfaen"/>
          <w:bCs/>
          <w:sz w:val="24"/>
          <w:szCs w:val="24"/>
        </w:rPr>
        <w:t xml:space="preserve"> სახლ</w:t>
      </w:r>
      <w:r w:rsidR="001663C5" w:rsidRPr="006C1E2F">
        <w:rPr>
          <w:rFonts w:ascii="Sylfaen" w:hAnsi="Sylfaen"/>
          <w:bCs/>
          <w:sz w:val="24"/>
          <w:szCs w:val="24"/>
        </w:rPr>
        <w:t>ის</w:t>
      </w:r>
      <w:r w:rsidR="00DC59E4" w:rsidRPr="006C1E2F">
        <w:rPr>
          <w:rFonts w:ascii="Sylfaen" w:hAnsi="Sylfaen"/>
          <w:bCs/>
          <w:sz w:val="24"/>
          <w:szCs w:val="24"/>
        </w:rPr>
        <w:t>)</w:t>
      </w:r>
      <w:r w:rsidR="00DD70AB" w:rsidRPr="006C1E2F">
        <w:rPr>
          <w:rFonts w:ascii="Sylfaen" w:hAnsi="Sylfaen"/>
          <w:bCs/>
          <w:sz w:val="24"/>
          <w:szCs w:val="24"/>
        </w:rPr>
        <w:t>,</w:t>
      </w:r>
      <w:r w:rsidR="00DC59E4" w:rsidRPr="006C1E2F">
        <w:rPr>
          <w:rFonts w:ascii="Sylfaen" w:hAnsi="Sylfaen"/>
          <w:bCs/>
          <w:sz w:val="24"/>
          <w:szCs w:val="24"/>
        </w:rPr>
        <w:t xml:space="preserve"> როგორც</w:t>
      </w:r>
      <w:r w:rsidR="001663C5" w:rsidRPr="006C1E2F">
        <w:rPr>
          <w:rFonts w:ascii="Sylfaen" w:hAnsi="Sylfaen"/>
          <w:bCs/>
          <w:sz w:val="24"/>
          <w:szCs w:val="24"/>
        </w:rPr>
        <w:t xml:space="preserve"> მოთხოვნის</w:t>
      </w:r>
      <w:r w:rsidR="00DC59E4" w:rsidRPr="006C1E2F">
        <w:rPr>
          <w:rFonts w:ascii="Sylfaen" w:hAnsi="Sylfaen"/>
          <w:bCs/>
          <w:sz w:val="24"/>
          <w:szCs w:val="24"/>
        </w:rPr>
        <w:t xml:space="preserve"> უზრუნველყოფის საშუალებ</w:t>
      </w:r>
      <w:r w:rsidR="001663C5" w:rsidRPr="006C1E2F">
        <w:rPr>
          <w:rFonts w:ascii="Sylfaen" w:hAnsi="Sylfaen"/>
          <w:bCs/>
          <w:sz w:val="24"/>
          <w:szCs w:val="24"/>
        </w:rPr>
        <w:t>ად</w:t>
      </w:r>
      <w:r w:rsidR="00DC59E4" w:rsidRPr="006C1E2F">
        <w:rPr>
          <w:rFonts w:ascii="Sylfaen" w:hAnsi="Sylfaen"/>
          <w:bCs/>
          <w:sz w:val="24"/>
          <w:szCs w:val="24"/>
        </w:rPr>
        <w:t xml:space="preserve"> გამოყენება</w:t>
      </w:r>
      <w:r w:rsidR="00031ED1" w:rsidRPr="006C1E2F">
        <w:rPr>
          <w:rFonts w:ascii="Sylfaen" w:hAnsi="Sylfaen"/>
          <w:bCs/>
          <w:sz w:val="24"/>
          <w:szCs w:val="24"/>
          <w:lang w:val="en-US"/>
        </w:rPr>
        <w:t>.</w:t>
      </w:r>
      <w:r w:rsidR="00C44BEB" w:rsidRPr="006C1E2F">
        <w:rPr>
          <w:rFonts w:ascii="Sylfaen" w:hAnsi="Sylfaen"/>
          <w:bCs/>
          <w:sz w:val="24"/>
          <w:szCs w:val="24"/>
        </w:rPr>
        <w:t xml:space="preserve"> თუ მოსარჩელე მიიჩნევს, რომ </w:t>
      </w:r>
      <w:r w:rsidR="006C1E2F" w:rsidRPr="006C1E2F">
        <w:rPr>
          <w:rFonts w:ascii="Sylfaen" w:hAnsi="Sylfaen"/>
          <w:bCs/>
          <w:sz w:val="24"/>
          <w:szCs w:val="24"/>
        </w:rPr>
        <w:t xml:space="preserve">არაკონსტიტუციურია </w:t>
      </w:r>
      <w:r w:rsidR="006C1E2F" w:rsidRPr="006C1E2F">
        <w:rPr>
          <w:rFonts w:ascii="Sylfaen" w:hAnsi="Sylfaen"/>
          <w:bCs/>
          <w:sz w:val="24"/>
          <w:szCs w:val="24"/>
          <w:lang w:val="en-US"/>
        </w:rPr>
        <w:t>სესხის გამცემ</w:t>
      </w:r>
      <w:r w:rsidR="006C1E2F" w:rsidRPr="006C1E2F">
        <w:rPr>
          <w:rFonts w:ascii="Sylfaen" w:hAnsi="Sylfaen"/>
          <w:bCs/>
          <w:sz w:val="24"/>
          <w:szCs w:val="24"/>
        </w:rPr>
        <w:t>ი</w:t>
      </w:r>
      <w:r w:rsidR="006C1E2F" w:rsidRPr="006C1E2F">
        <w:rPr>
          <w:rFonts w:ascii="Sylfaen" w:hAnsi="Sylfaen"/>
          <w:bCs/>
          <w:sz w:val="24"/>
          <w:szCs w:val="24"/>
          <w:lang w:val="en-US"/>
        </w:rPr>
        <w:t xml:space="preserve"> სუბიექტებ</w:t>
      </w:r>
      <w:r w:rsidR="006C1E2F" w:rsidRPr="006C1E2F">
        <w:rPr>
          <w:rFonts w:ascii="Sylfaen" w:hAnsi="Sylfaen"/>
          <w:bCs/>
          <w:sz w:val="24"/>
          <w:szCs w:val="24"/>
        </w:rPr>
        <w:t>ი</w:t>
      </w:r>
      <w:r w:rsidR="006C1E2F" w:rsidRPr="006C1E2F">
        <w:rPr>
          <w:rFonts w:ascii="Sylfaen" w:hAnsi="Sylfaen"/>
          <w:bCs/>
          <w:sz w:val="24"/>
          <w:szCs w:val="24"/>
          <w:lang w:val="en-US"/>
        </w:rPr>
        <w:t>ს, კერძოდ, კონკრეტულ</w:t>
      </w:r>
      <w:r w:rsidR="0021141C">
        <w:rPr>
          <w:rFonts w:ascii="Sylfaen" w:hAnsi="Sylfaen"/>
          <w:bCs/>
          <w:sz w:val="24"/>
          <w:szCs w:val="24"/>
        </w:rPr>
        <w:t>ი</w:t>
      </w:r>
      <w:r w:rsidR="006C1E2F" w:rsidRPr="006C1E2F">
        <w:rPr>
          <w:rFonts w:ascii="Sylfaen" w:hAnsi="Sylfaen"/>
          <w:bCs/>
          <w:sz w:val="24"/>
          <w:szCs w:val="24"/>
          <w:lang w:val="en-US"/>
        </w:rPr>
        <w:t xml:space="preserve"> პირებ</w:t>
      </w:r>
      <w:r w:rsidR="006C1E2F" w:rsidRPr="006C1E2F">
        <w:rPr>
          <w:rFonts w:ascii="Sylfaen" w:hAnsi="Sylfaen"/>
          <w:bCs/>
          <w:sz w:val="24"/>
          <w:szCs w:val="24"/>
        </w:rPr>
        <w:t>ი</w:t>
      </w:r>
      <w:r w:rsidR="006C1E2F" w:rsidRPr="006C1E2F">
        <w:rPr>
          <w:rFonts w:ascii="Sylfaen" w:hAnsi="Sylfaen"/>
          <w:bCs/>
          <w:sz w:val="24"/>
          <w:szCs w:val="24"/>
          <w:lang w:val="en-US"/>
        </w:rPr>
        <w:t>ს აღჭურვ</w:t>
      </w:r>
      <w:r w:rsidR="006C1E2F" w:rsidRPr="006C1E2F">
        <w:rPr>
          <w:rFonts w:ascii="Sylfaen" w:hAnsi="Sylfaen"/>
          <w:bCs/>
          <w:sz w:val="24"/>
          <w:szCs w:val="24"/>
        </w:rPr>
        <w:t>ა</w:t>
      </w:r>
      <w:r w:rsidR="006C1E2F" w:rsidRPr="006C1E2F">
        <w:rPr>
          <w:rFonts w:ascii="Sylfaen" w:hAnsi="Sylfaen"/>
          <w:bCs/>
          <w:sz w:val="24"/>
          <w:szCs w:val="24"/>
          <w:lang w:val="en-US"/>
        </w:rPr>
        <w:t xml:space="preserve"> </w:t>
      </w:r>
      <w:r w:rsidR="006C1E2F" w:rsidRPr="00BB1CB8">
        <w:rPr>
          <w:rFonts w:ascii="Sylfaen" w:hAnsi="Sylfaen"/>
          <w:bCs/>
          <w:sz w:val="24"/>
          <w:szCs w:val="24"/>
          <w:lang w:val="en-US"/>
        </w:rPr>
        <w:t>უფლებამოსილებით, ფიზიკურ პირთან დადებული სესხისა და კრედიტის ხელშეკრულებიდან გამომდინარე მოთხოვნის უზრუნველყოფისთვის გამოიყენონ იპოთეკ</w:t>
      </w:r>
      <w:r w:rsidR="0021141C">
        <w:rPr>
          <w:rFonts w:ascii="Sylfaen" w:hAnsi="Sylfaen"/>
          <w:bCs/>
          <w:sz w:val="24"/>
          <w:szCs w:val="24"/>
        </w:rPr>
        <w:t>ის უფლება</w:t>
      </w:r>
      <w:r w:rsidR="006C1E2F" w:rsidRPr="00BB1CB8">
        <w:rPr>
          <w:rFonts w:ascii="Sylfaen" w:hAnsi="Sylfaen"/>
          <w:bCs/>
          <w:sz w:val="24"/>
          <w:szCs w:val="24"/>
          <w:lang w:val="en-US"/>
        </w:rPr>
        <w:t xml:space="preserve"> ფიზიკური პირის საკუთრებაში არსებულ უძრავ ქონება</w:t>
      </w:r>
      <w:r w:rsidR="006C1E2F" w:rsidRPr="00BB1CB8">
        <w:rPr>
          <w:rFonts w:ascii="Sylfaen" w:hAnsi="Sylfaen"/>
          <w:bCs/>
          <w:sz w:val="24"/>
          <w:szCs w:val="24"/>
        </w:rPr>
        <w:t>ზ</w:t>
      </w:r>
      <w:r w:rsidR="0021141C">
        <w:rPr>
          <w:rFonts w:ascii="Sylfaen" w:hAnsi="Sylfaen"/>
          <w:bCs/>
          <w:sz w:val="24"/>
          <w:szCs w:val="24"/>
        </w:rPr>
        <w:t>ე,</w:t>
      </w:r>
      <w:r w:rsidR="006C1E2F" w:rsidRPr="00BB1CB8">
        <w:rPr>
          <w:rFonts w:ascii="Sylfaen" w:hAnsi="Sylfaen"/>
          <w:bCs/>
          <w:sz w:val="24"/>
          <w:szCs w:val="24"/>
        </w:rPr>
        <w:t xml:space="preserve"> </w:t>
      </w:r>
      <w:r w:rsidR="00AC3D3A" w:rsidRPr="00BB1CB8">
        <w:rPr>
          <w:rFonts w:ascii="Sylfaen" w:hAnsi="Sylfaen"/>
          <w:bCs/>
          <w:sz w:val="24"/>
          <w:szCs w:val="24"/>
          <w:lang w:val="en-US"/>
        </w:rPr>
        <w:t>მან უნდა გაასაჩივროს სწორედ ის ნორმა, რომელიც ზოგადად ამკვიდრებს იპოთეკის ინსტიტუტს</w:t>
      </w:r>
      <w:r w:rsidR="00112CA2" w:rsidRPr="00BB1CB8">
        <w:rPr>
          <w:rFonts w:ascii="Sylfaen" w:hAnsi="Sylfaen"/>
          <w:bCs/>
          <w:sz w:val="24"/>
          <w:szCs w:val="24"/>
        </w:rPr>
        <w:t xml:space="preserve"> (წარმოადგენს ინსტიტუტის დამდგენ ნორმას)</w:t>
      </w:r>
      <w:r w:rsidR="00AC3D3A" w:rsidRPr="00BB1CB8">
        <w:rPr>
          <w:rFonts w:ascii="Sylfaen" w:hAnsi="Sylfaen"/>
          <w:bCs/>
          <w:sz w:val="24"/>
          <w:szCs w:val="24"/>
          <w:lang w:val="en-US"/>
        </w:rPr>
        <w:t xml:space="preserve"> და</w:t>
      </w:r>
      <w:r w:rsidR="00B95470" w:rsidRPr="00BB1CB8">
        <w:rPr>
          <w:rFonts w:ascii="Sylfaen" w:hAnsi="Sylfaen"/>
          <w:bCs/>
          <w:sz w:val="24"/>
          <w:szCs w:val="24"/>
          <w:lang w:val="en-US"/>
        </w:rPr>
        <w:t xml:space="preserve"> </w:t>
      </w:r>
      <w:r w:rsidR="00603A1F" w:rsidRPr="00BB1CB8">
        <w:rPr>
          <w:rFonts w:ascii="Sylfaen" w:hAnsi="Sylfaen"/>
          <w:bCs/>
          <w:sz w:val="24"/>
          <w:szCs w:val="24"/>
        </w:rPr>
        <w:t>უშვებს</w:t>
      </w:r>
      <w:r w:rsidR="00F05E13" w:rsidRPr="00BB1CB8">
        <w:rPr>
          <w:rFonts w:ascii="Sylfaen" w:hAnsi="Sylfaen"/>
          <w:bCs/>
          <w:sz w:val="24"/>
          <w:szCs w:val="24"/>
        </w:rPr>
        <w:t xml:space="preserve"> იურიდიული პირების მხრიდან</w:t>
      </w:r>
      <w:r w:rsidR="00603A1F" w:rsidRPr="00BB1CB8">
        <w:rPr>
          <w:rFonts w:ascii="Sylfaen" w:hAnsi="Sylfaen"/>
          <w:bCs/>
          <w:sz w:val="24"/>
          <w:szCs w:val="24"/>
        </w:rPr>
        <w:t xml:space="preserve"> </w:t>
      </w:r>
      <w:r w:rsidR="00AC3D3A" w:rsidRPr="00BB1CB8">
        <w:rPr>
          <w:rFonts w:ascii="Sylfaen" w:hAnsi="Sylfaen"/>
          <w:bCs/>
          <w:sz w:val="24"/>
          <w:szCs w:val="24"/>
          <w:lang w:val="en-US"/>
        </w:rPr>
        <w:t>ფიზიკური პირის ქონების, მათ შორის</w:t>
      </w:r>
      <w:r w:rsidR="00F05E13" w:rsidRPr="00BB1CB8">
        <w:rPr>
          <w:rFonts w:ascii="Sylfaen" w:hAnsi="Sylfaen"/>
          <w:bCs/>
          <w:sz w:val="24"/>
          <w:szCs w:val="24"/>
        </w:rPr>
        <w:t>,</w:t>
      </w:r>
      <w:r w:rsidR="00AC3D3A" w:rsidRPr="00BB1CB8">
        <w:rPr>
          <w:rFonts w:ascii="Sylfaen" w:hAnsi="Sylfaen"/>
          <w:bCs/>
          <w:sz w:val="24"/>
          <w:szCs w:val="24"/>
          <w:lang w:val="en-US"/>
        </w:rPr>
        <w:t xml:space="preserve"> საცხოვრებელი ფართის, </w:t>
      </w:r>
      <w:r w:rsidR="007A3BD6" w:rsidRPr="00BB1CB8">
        <w:rPr>
          <w:rFonts w:ascii="Sylfaen" w:hAnsi="Sylfaen"/>
          <w:bCs/>
          <w:sz w:val="24"/>
          <w:szCs w:val="24"/>
        </w:rPr>
        <w:lastRenderedPageBreak/>
        <w:t>სასესხო/</w:t>
      </w:r>
      <w:r w:rsidR="00AC3D3A" w:rsidRPr="00BB1CB8">
        <w:rPr>
          <w:rFonts w:ascii="Sylfaen" w:hAnsi="Sylfaen"/>
          <w:bCs/>
          <w:sz w:val="24"/>
          <w:szCs w:val="24"/>
          <w:lang w:val="en-US"/>
        </w:rPr>
        <w:t>საკრედიტო ვალდებულების</w:t>
      </w:r>
      <w:r w:rsidR="00AC3D3A" w:rsidRPr="006C1E2F">
        <w:rPr>
          <w:rFonts w:ascii="Sylfaen" w:hAnsi="Sylfaen"/>
          <w:bCs/>
          <w:sz w:val="24"/>
          <w:szCs w:val="24"/>
          <w:lang w:val="en-US"/>
        </w:rPr>
        <w:t xml:space="preserve"> უზრუნველყოფის საშუალებად გამოყენების შესაძლებლობას. </w:t>
      </w:r>
    </w:p>
    <w:p w14:paraId="5AB062A5" w14:textId="268F2E3A" w:rsidR="00F20DE1" w:rsidRPr="006C1E2F" w:rsidRDefault="00901A60" w:rsidP="006C1E2F">
      <w:pPr>
        <w:pStyle w:val="ListParagraph"/>
        <w:numPr>
          <w:ilvl w:val="0"/>
          <w:numId w:val="2"/>
        </w:numPr>
        <w:spacing w:after="0" w:line="276" w:lineRule="auto"/>
        <w:ind w:left="0" w:firstLine="284"/>
        <w:jc w:val="both"/>
        <w:rPr>
          <w:rFonts w:ascii="Sylfaen" w:hAnsi="Sylfaen"/>
          <w:b/>
          <w:bCs/>
          <w:sz w:val="24"/>
          <w:szCs w:val="24"/>
          <w:lang w:val="en-US"/>
        </w:rPr>
      </w:pPr>
      <w:r w:rsidRPr="006C1E2F">
        <w:rPr>
          <w:rFonts w:ascii="Sylfaen" w:hAnsi="Sylfaen"/>
          <w:bCs/>
          <w:sz w:val="24"/>
          <w:szCs w:val="24"/>
          <w:lang w:val="en-US"/>
        </w:rPr>
        <w:t>№</w:t>
      </w:r>
      <w:r w:rsidR="00F05E13" w:rsidRPr="006C1E2F">
        <w:rPr>
          <w:rFonts w:ascii="Sylfaen" w:hAnsi="Sylfaen"/>
          <w:bCs/>
          <w:sz w:val="24"/>
          <w:szCs w:val="24"/>
          <w:lang w:val="en-US"/>
        </w:rPr>
        <w:t xml:space="preserve">1894 </w:t>
      </w:r>
      <w:r w:rsidR="00F05E13" w:rsidRPr="006C1E2F">
        <w:rPr>
          <w:rFonts w:ascii="Sylfaen" w:hAnsi="Sylfaen"/>
          <w:bCs/>
          <w:sz w:val="24"/>
          <w:szCs w:val="24"/>
        </w:rPr>
        <w:t>კონსტიტუციური სარჩელით</w:t>
      </w:r>
      <w:r w:rsidR="00AC3D3A" w:rsidRPr="006C1E2F">
        <w:rPr>
          <w:rFonts w:ascii="Sylfaen" w:hAnsi="Sylfaen"/>
          <w:bCs/>
          <w:sz w:val="24"/>
          <w:szCs w:val="24"/>
          <w:lang w:val="en-US"/>
        </w:rPr>
        <w:t xml:space="preserve"> </w:t>
      </w:r>
      <w:r w:rsidR="00C44BEB" w:rsidRPr="006C1E2F">
        <w:rPr>
          <w:rFonts w:ascii="Sylfaen" w:hAnsi="Sylfaen"/>
          <w:bCs/>
          <w:sz w:val="24"/>
          <w:szCs w:val="24"/>
        </w:rPr>
        <w:t xml:space="preserve">სადავოდ </w:t>
      </w:r>
      <w:r w:rsidR="001663C5" w:rsidRPr="006C1E2F">
        <w:rPr>
          <w:rFonts w:ascii="Sylfaen" w:hAnsi="Sylfaen"/>
          <w:bCs/>
          <w:sz w:val="24"/>
          <w:szCs w:val="24"/>
        </w:rPr>
        <w:t>გამხდარი საქართველოს სამოქალაქო კოდექ</w:t>
      </w:r>
      <w:r w:rsidR="00602B63" w:rsidRPr="006C1E2F">
        <w:rPr>
          <w:rFonts w:ascii="Sylfaen" w:hAnsi="Sylfaen"/>
          <w:bCs/>
          <w:sz w:val="24"/>
          <w:szCs w:val="24"/>
        </w:rPr>
        <w:t>ს</w:t>
      </w:r>
      <w:r w:rsidR="001663C5" w:rsidRPr="006C1E2F">
        <w:rPr>
          <w:rFonts w:ascii="Sylfaen" w:hAnsi="Sylfaen"/>
          <w:bCs/>
          <w:sz w:val="24"/>
          <w:szCs w:val="24"/>
        </w:rPr>
        <w:t>ის</w:t>
      </w:r>
      <w:r w:rsidR="001663C5" w:rsidRPr="006C1E2F">
        <w:rPr>
          <w:rFonts w:ascii="Sylfaen" w:hAnsi="Sylfaen"/>
          <w:bCs/>
          <w:sz w:val="24"/>
          <w:szCs w:val="24"/>
          <w:lang w:val="en-US"/>
        </w:rPr>
        <w:t xml:space="preserve"> 286-ე მუხლის მე-4 ნაწილი</w:t>
      </w:r>
      <w:r w:rsidR="001663C5" w:rsidRPr="006C1E2F">
        <w:rPr>
          <w:rFonts w:ascii="Sylfaen" w:hAnsi="Sylfaen"/>
          <w:bCs/>
          <w:sz w:val="24"/>
          <w:szCs w:val="24"/>
        </w:rPr>
        <w:t xml:space="preserve"> </w:t>
      </w:r>
      <w:r w:rsidR="001663C5" w:rsidRPr="006C1E2F">
        <w:rPr>
          <w:rFonts w:ascii="Sylfaen" w:hAnsi="Sylfaen" w:cs="Sylfaen"/>
          <w:color w:val="000000"/>
          <w:sz w:val="24"/>
          <w:szCs w:val="24"/>
          <w:shd w:val="clear" w:color="auto" w:fill="FFFFFF"/>
        </w:rPr>
        <w:t>განსაზღვრავს</w:t>
      </w:r>
      <w:r w:rsidR="00DD70AB" w:rsidRPr="006C1E2F">
        <w:rPr>
          <w:rFonts w:ascii="Sylfaen" w:hAnsi="Sylfaen" w:cs="Sylfaen"/>
          <w:color w:val="000000"/>
          <w:sz w:val="24"/>
          <w:szCs w:val="24"/>
          <w:shd w:val="clear" w:color="auto" w:fill="FFFFFF"/>
        </w:rPr>
        <w:t>,</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ფიზიკური</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პირის</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საკუთრებაში</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არსებული</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უძრავი</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ნივთის</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ფიზიკურ</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პირზე</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გასაცემი</w:t>
      </w:r>
      <w:r w:rsidR="001663C5" w:rsidRPr="006C1E2F">
        <w:rPr>
          <w:rFonts w:ascii="Sylfaen" w:hAnsi="Sylfaen"/>
          <w:color w:val="000000"/>
          <w:sz w:val="24"/>
          <w:szCs w:val="24"/>
          <w:shd w:val="clear" w:color="auto" w:fill="FFFFFF"/>
        </w:rPr>
        <w:t>/</w:t>
      </w:r>
      <w:r w:rsidR="001663C5" w:rsidRPr="006C1E2F">
        <w:rPr>
          <w:rFonts w:ascii="Sylfaen" w:hAnsi="Sylfaen" w:cs="Sylfaen"/>
          <w:color w:val="000000"/>
          <w:sz w:val="24"/>
          <w:szCs w:val="24"/>
          <w:shd w:val="clear" w:color="auto" w:fill="FFFFFF"/>
        </w:rPr>
        <w:t>გაცემული</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სესხის</w:t>
      </w:r>
      <w:r w:rsidR="001663C5" w:rsidRPr="006C1E2F">
        <w:rPr>
          <w:rFonts w:ascii="Sylfaen" w:hAnsi="Sylfaen"/>
          <w:color w:val="000000"/>
          <w:sz w:val="24"/>
          <w:szCs w:val="24"/>
          <w:shd w:val="clear" w:color="auto" w:fill="FFFFFF"/>
        </w:rPr>
        <w:t>/</w:t>
      </w:r>
      <w:r w:rsidR="001663C5" w:rsidRPr="006C1E2F">
        <w:rPr>
          <w:rFonts w:ascii="Sylfaen" w:hAnsi="Sylfaen" w:cs="Sylfaen"/>
          <w:color w:val="000000"/>
          <w:sz w:val="24"/>
          <w:szCs w:val="24"/>
          <w:shd w:val="clear" w:color="auto" w:fill="FFFFFF"/>
        </w:rPr>
        <w:t>კრედიტის</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ხელშეკრულებიდან</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გამომდინარე</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მოთხოვნის</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უზრუნველყოფის</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საშუალებად</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გამოყენებასთან</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დაკავშირებით</w:t>
      </w:r>
      <w:r w:rsidR="00950D99">
        <w:rPr>
          <w:rFonts w:ascii="Sylfaen" w:hAnsi="Sylfaen" w:cs="Sylfaen"/>
          <w:color w:val="000000"/>
          <w:sz w:val="24"/>
          <w:szCs w:val="24"/>
          <w:shd w:val="clear" w:color="auto" w:fill="FFFFFF"/>
        </w:rPr>
        <w:t>,</w:t>
      </w:r>
      <w:r w:rsidR="001663C5" w:rsidRPr="006C1E2F">
        <w:rPr>
          <w:rFonts w:ascii="Sylfaen" w:hAnsi="Sylfaen"/>
          <w:color w:val="000000"/>
          <w:sz w:val="24"/>
          <w:szCs w:val="24"/>
          <w:shd w:val="clear" w:color="auto" w:fill="FFFFFF"/>
        </w:rPr>
        <w:t xml:space="preserve"> </w:t>
      </w:r>
      <w:r w:rsidR="00BB1CB8">
        <w:rPr>
          <w:rFonts w:ascii="Sylfaen" w:hAnsi="Sylfaen" w:cs="Sylfaen"/>
          <w:color w:val="000000"/>
          <w:sz w:val="24"/>
          <w:szCs w:val="24"/>
          <w:shd w:val="clear" w:color="auto" w:fill="FFFFFF"/>
        </w:rPr>
        <w:t>საგამონაკლისო წესს,</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აკრძალვას</w:t>
      </w:r>
      <w:r w:rsidR="001663C5" w:rsidRPr="006C1E2F">
        <w:rPr>
          <w:rFonts w:ascii="Sylfaen" w:hAnsi="Sylfaen"/>
          <w:color w:val="000000"/>
          <w:sz w:val="24"/>
          <w:szCs w:val="24"/>
          <w:shd w:val="clear" w:color="auto" w:fill="FFFFFF"/>
        </w:rPr>
        <w:t>.</w:t>
      </w:r>
      <w:r w:rsidR="00DD70AB" w:rsidRPr="006C1E2F">
        <w:rPr>
          <w:rFonts w:ascii="Sylfaen" w:hAnsi="Sylfaen"/>
          <w:bCs/>
          <w:sz w:val="24"/>
          <w:szCs w:val="24"/>
          <w:lang w:val="en-US"/>
        </w:rPr>
        <w:t xml:space="preserve"> </w:t>
      </w:r>
      <w:r w:rsidR="001663C5" w:rsidRPr="006C1E2F">
        <w:rPr>
          <w:rFonts w:ascii="Sylfaen" w:hAnsi="Sylfaen" w:cs="Sylfaen"/>
          <w:color w:val="000000"/>
          <w:sz w:val="24"/>
          <w:szCs w:val="24"/>
          <w:shd w:val="clear" w:color="auto" w:fill="FFFFFF"/>
        </w:rPr>
        <w:t>ამდენად</w:t>
      </w:r>
      <w:r w:rsidR="001663C5" w:rsidRPr="006C1E2F">
        <w:rPr>
          <w:rFonts w:ascii="Sylfaen" w:hAnsi="Sylfaen"/>
          <w:color w:val="000000"/>
          <w:sz w:val="24"/>
          <w:szCs w:val="24"/>
          <w:shd w:val="clear" w:color="auto" w:fill="FFFFFF"/>
        </w:rPr>
        <w:t xml:space="preserve">, </w:t>
      </w:r>
      <w:r w:rsidR="001663C5" w:rsidRPr="006C1E2F">
        <w:rPr>
          <w:rFonts w:ascii="Sylfaen" w:hAnsi="Sylfaen" w:cs="Sylfaen"/>
          <w:color w:val="000000"/>
          <w:sz w:val="24"/>
          <w:szCs w:val="24"/>
          <w:shd w:val="clear" w:color="auto" w:fill="FFFFFF"/>
        </w:rPr>
        <w:t>ნათელია</w:t>
      </w:r>
      <w:r w:rsidR="001663C5" w:rsidRPr="006C1E2F">
        <w:rPr>
          <w:rFonts w:ascii="Sylfaen" w:hAnsi="Sylfaen"/>
          <w:color w:val="000000"/>
          <w:sz w:val="24"/>
          <w:szCs w:val="24"/>
          <w:shd w:val="clear" w:color="auto" w:fill="FFFFFF"/>
        </w:rPr>
        <w:t>,</w:t>
      </w:r>
      <w:r w:rsidR="00AC3D3A" w:rsidRPr="006C1E2F">
        <w:rPr>
          <w:rFonts w:ascii="Sylfaen" w:hAnsi="Sylfaen"/>
          <w:bCs/>
          <w:sz w:val="24"/>
          <w:szCs w:val="24"/>
          <w:lang w:val="en-US"/>
        </w:rPr>
        <w:t xml:space="preserve"> </w:t>
      </w:r>
      <w:r w:rsidR="001663C5" w:rsidRPr="006C1E2F">
        <w:rPr>
          <w:rFonts w:ascii="Sylfaen" w:hAnsi="Sylfaen"/>
          <w:sz w:val="24"/>
          <w:szCs w:val="24"/>
          <w:lang w:val="en-US"/>
        </w:rPr>
        <w:t>თავისი შინაარსისა და მოწესრიგების სფეროს გათვალისწინებით, უშუალოდ გასაჩივრებული ნორმის რეგულირების საგანს არ წარმოადგენს ფიზიკურ პირზე საქართველოს ეროვნული ბანკის ზედამხედველობისადმი დაქვემდებარებულ</w:t>
      </w:r>
      <w:r w:rsidR="00DD70AB" w:rsidRPr="006C1E2F">
        <w:rPr>
          <w:rFonts w:ascii="Sylfaen" w:hAnsi="Sylfaen"/>
          <w:sz w:val="24"/>
          <w:szCs w:val="24"/>
        </w:rPr>
        <w:t>ი</w:t>
      </w:r>
      <w:r w:rsidR="001663C5" w:rsidRPr="006C1E2F">
        <w:rPr>
          <w:rFonts w:ascii="Sylfaen" w:hAnsi="Sylfaen"/>
          <w:sz w:val="24"/>
          <w:szCs w:val="24"/>
          <w:lang w:val="en-US"/>
        </w:rPr>
        <w:t xml:space="preserve"> სუბიექტებ</w:t>
      </w:r>
      <w:r w:rsidR="001663C5" w:rsidRPr="006C1E2F">
        <w:rPr>
          <w:rFonts w:ascii="Sylfaen" w:hAnsi="Sylfaen"/>
          <w:sz w:val="24"/>
          <w:szCs w:val="24"/>
        </w:rPr>
        <w:t>ის</w:t>
      </w:r>
      <w:r w:rsidR="001663C5" w:rsidRPr="006C1E2F">
        <w:rPr>
          <w:rFonts w:ascii="Sylfaen" w:hAnsi="Sylfaen"/>
          <w:sz w:val="24"/>
          <w:szCs w:val="24"/>
          <w:lang w:val="en-US"/>
        </w:rPr>
        <w:t xml:space="preserve"> (კომერციული ბანკი, მიკრობანკი, მიკროსაფინანსო ორგანიზაცია, არასაბანკო სადეპოზიტო დაწესებულება − საკრედიტო კავშირი და სესხის გამცემი</w:t>
      </w:r>
      <w:r w:rsidR="001663C5" w:rsidRPr="006C1E2F">
        <w:rPr>
          <w:rFonts w:ascii="Sylfaen" w:hAnsi="Sylfaen"/>
          <w:sz w:val="24"/>
          <w:szCs w:val="24"/>
        </w:rPr>
        <w:t xml:space="preserve">) მიერ </w:t>
      </w:r>
      <w:r w:rsidR="001663C5" w:rsidRPr="006C1E2F">
        <w:rPr>
          <w:rFonts w:ascii="Sylfaen" w:hAnsi="Sylfaen"/>
          <w:sz w:val="24"/>
          <w:szCs w:val="24"/>
          <w:lang w:val="en-US"/>
        </w:rPr>
        <w:t>პირის საკუთრებაში არსებული უძრავი ქონების იპოთეკით დატვირთვის</w:t>
      </w:r>
      <w:r w:rsidR="00FE5476" w:rsidRPr="006C1E2F">
        <w:rPr>
          <w:rFonts w:ascii="Sylfaen" w:hAnsi="Sylfaen"/>
          <w:sz w:val="24"/>
          <w:szCs w:val="24"/>
        </w:rPr>
        <w:t xml:space="preserve"> </w:t>
      </w:r>
      <w:r w:rsidR="00FE5476" w:rsidRPr="006C1E2F">
        <w:rPr>
          <w:rFonts w:ascii="Sylfaen" w:hAnsi="Sylfaen" w:cs="Sylfaen"/>
          <w:color w:val="000000"/>
          <w:sz w:val="24"/>
          <w:szCs w:val="24"/>
          <w:shd w:val="clear" w:color="auto" w:fill="FFFFFF"/>
        </w:rPr>
        <w:t>საკითხის</w:t>
      </w:r>
      <w:r w:rsidR="00FE5476" w:rsidRPr="006C1E2F">
        <w:rPr>
          <w:rFonts w:ascii="Sylfaen" w:hAnsi="Sylfaen"/>
          <w:color w:val="000000"/>
          <w:sz w:val="24"/>
          <w:szCs w:val="24"/>
          <w:shd w:val="clear" w:color="auto" w:fill="FFFFFF"/>
        </w:rPr>
        <w:t xml:space="preserve"> </w:t>
      </w:r>
      <w:r w:rsidR="00FE5476" w:rsidRPr="006C1E2F">
        <w:rPr>
          <w:rFonts w:ascii="Sylfaen" w:hAnsi="Sylfaen" w:cs="Sylfaen"/>
          <w:color w:val="000000"/>
          <w:sz w:val="24"/>
          <w:szCs w:val="24"/>
          <w:shd w:val="clear" w:color="auto" w:fill="FFFFFF"/>
        </w:rPr>
        <w:t>გადაწყვეტა</w:t>
      </w:r>
      <w:r w:rsidR="00FE5476" w:rsidRPr="006C1E2F">
        <w:rPr>
          <w:rFonts w:ascii="Sylfaen" w:hAnsi="Sylfaen"/>
          <w:sz w:val="24"/>
          <w:szCs w:val="24"/>
        </w:rPr>
        <w:t xml:space="preserve">. </w:t>
      </w:r>
      <w:r w:rsidR="009C4BCA" w:rsidRPr="006C1E2F">
        <w:rPr>
          <w:rFonts w:ascii="Sylfaen" w:hAnsi="Sylfaen"/>
          <w:bCs/>
          <w:sz w:val="24"/>
          <w:szCs w:val="24"/>
          <w:lang w:val="en-US"/>
        </w:rPr>
        <w:t>შესაბამისად,</w:t>
      </w:r>
      <w:r w:rsidR="00AC3D3A" w:rsidRPr="006C1E2F">
        <w:rPr>
          <w:rFonts w:ascii="Sylfaen" w:hAnsi="Sylfaen"/>
          <w:bCs/>
          <w:sz w:val="24"/>
          <w:szCs w:val="24"/>
          <w:lang w:val="en-US"/>
        </w:rPr>
        <w:t xml:space="preserve"> მოსარჩელის მიერ </w:t>
      </w:r>
      <w:r w:rsidR="00FE5476" w:rsidRPr="006C1E2F">
        <w:rPr>
          <w:rFonts w:ascii="Sylfaen" w:hAnsi="Sylfaen"/>
          <w:bCs/>
          <w:sz w:val="24"/>
          <w:szCs w:val="24"/>
        </w:rPr>
        <w:t>იდენტიფიცირებული</w:t>
      </w:r>
      <w:r w:rsidR="00FE5476" w:rsidRPr="006C1E2F">
        <w:rPr>
          <w:rFonts w:ascii="Sylfaen" w:hAnsi="Sylfaen"/>
          <w:bCs/>
          <w:sz w:val="24"/>
          <w:szCs w:val="24"/>
          <w:lang w:val="en-US"/>
        </w:rPr>
        <w:t xml:space="preserve"> </w:t>
      </w:r>
      <w:r w:rsidR="00AC3D3A" w:rsidRPr="006C1E2F">
        <w:rPr>
          <w:rFonts w:ascii="Sylfaen" w:hAnsi="Sylfaen"/>
          <w:bCs/>
          <w:sz w:val="24"/>
          <w:szCs w:val="24"/>
          <w:lang w:val="en-US"/>
        </w:rPr>
        <w:t>პრობლემა</w:t>
      </w:r>
      <w:r w:rsidR="000F0AA9" w:rsidRPr="006C1E2F">
        <w:rPr>
          <w:rFonts w:ascii="Sylfaen" w:hAnsi="Sylfaen"/>
          <w:bCs/>
          <w:sz w:val="24"/>
          <w:szCs w:val="24"/>
          <w:lang w:val="en-US"/>
        </w:rPr>
        <w:t xml:space="preserve"> </w:t>
      </w:r>
      <w:r w:rsidR="009C4BCA" w:rsidRPr="006C1E2F">
        <w:rPr>
          <w:rFonts w:ascii="Sylfaen" w:hAnsi="Sylfaen"/>
          <w:bCs/>
          <w:sz w:val="24"/>
          <w:szCs w:val="24"/>
          <w:lang w:val="en-US"/>
        </w:rPr>
        <w:t xml:space="preserve">არ მომდინარეობს </w:t>
      </w:r>
      <w:r w:rsidR="00C44BEB" w:rsidRPr="006C1E2F">
        <w:rPr>
          <w:rFonts w:ascii="Sylfaen" w:hAnsi="Sylfaen"/>
          <w:bCs/>
          <w:sz w:val="24"/>
          <w:szCs w:val="24"/>
        </w:rPr>
        <w:t>გასაჩივრებული</w:t>
      </w:r>
      <w:r w:rsidR="009C4BCA" w:rsidRPr="006C1E2F">
        <w:rPr>
          <w:rFonts w:ascii="Sylfaen" w:hAnsi="Sylfaen"/>
          <w:bCs/>
          <w:sz w:val="24"/>
          <w:szCs w:val="24"/>
          <w:lang w:val="en-US"/>
        </w:rPr>
        <w:t xml:space="preserve"> ნორმიდან</w:t>
      </w:r>
      <w:r w:rsidR="00AD4B7C" w:rsidRPr="006C1E2F">
        <w:rPr>
          <w:rFonts w:ascii="Sylfaen" w:hAnsi="Sylfaen"/>
          <w:bCs/>
          <w:sz w:val="24"/>
          <w:szCs w:val="24"/>
        </w:rPr>
        <w:t xml:space="preserve"> </w:t>
      </w:r>
      <w:r w:rsidR="00C44BEB" w:rsidRPr="006C1E2F">
        <w:rPr>
          <w:rFonts w:ascii="Sylfaen" w:hAnsi="Sylfaen"/>
          <w:bCs/>
          <w:sz w:val="24"/>
          <w:szCs w:val="24"/>
        </w:rPr>
        <w:t>და არსებობს მისი განსახილველად მიუღებლობის საფუძველი.</w:t>
      </w:r>
    </w:p>
    <w:p w14:paraId="2D285EC4" w14:textId="30505038" w:rsidR="000D7DBB" w:rsidRPr="00187789" w:rsidRDefault="0010223E" w:rsidP="00BE1516">
      <w:pPr>
        <w:pStyle w:val="ListParagraph"/>
        <w:numPr>
          <w:ilvl w:val="0"/>
          <w:numId w:val="2"/>
        </w:numPr>
        <w:spacing w:after="0" w:line="276" w:lineRule="auto"/>
        <w:ind w:left="0" w:firstLine="284"/>
        <w:jc w:val="both"/>
        <w:rPr>
          <w:rFonts w:ascii="Sylfaen" w:hAnsi="Sylfaen"/>
          <w:sz w:val="24"/>
          <w:szCs w:val="24"/>
        </w:rPr>
      </w:pPr>
      <w:r w:rsidRPr="00187789">
        <w:rPr>
          <w:rFonts w:ascii="Sylfaen" w:hAnsi="Sylfaen" w:cs="Sylfaen"/>
          <w:bCs/>
          <w:sz w:val="24"/>
          <w:szCs w:val="24"/>
          <w:lang w:val="en-US"/>
        </w:rPr>
        <w:t>სადავო ნორმიდან მომდინარე შემზღუდველი წესის იდენტიფიცირების პრობლემურობის მიღმა, აღსანიშნავია ისიც, რომ განსახილველ შემთხვევაში</w:t>
      </w:r>
      <w:r w:rsidR="00950D99">
        <w:rPr>
          <w:rFonts w:ascii="Sylfaen" w:hAnsi="Sylfaen" w:cs="Sylfaen"/>
          <w:bCs/>
          <w:sz w:val="24"/>
          <w:szCs w:val="24"/>
        </w:rPr>
        <w:t>,</w:t>
      </w:r>
      <w:r w:rsidRPr="00187789">
        <w:rPr>
          <w:rFonts w:ascii="Sylfaen" w:hAnsi="Sylfaen" w:cs="Sylfaen"/>
          <w:bCs/>
          <w:sz w:val="24"/>
          <w:szCs w:val="24"/>
          <w:lang w:val="en-US"/>
        </w:rPr>
        <w:t xml:space="preserve"> მოსარჩელე მხარე საქართველოს </w:t>
      </w:r>
      <w:r w:rsidRPr="00187789">
        <w:rPr>
          <w:rFonts w:ascii="Sylfaen" w:hAnsi="Sylfaen" w:cs="Sylfaen"/>
          <w:bCs/>
          <w:sz w:val="24"/>
          <w:szCs w:val="24"/>
        </w:rPr>
        <w:t xml:space="preserve">სამოქალაქო კოდექსის </w:t>
      </w:r>
      <w:r w:rsidRPr="00187789">
        <w:rPr>
          <w:rFonts w:ascii="Sylfaen" w:hAnsi="Sylfaen"/>
          <w:bCs/>
          <w:sz w:val="24"/>
          <w:szCs w:val="24"/>
          <w:lang w:val="en-US"/>
        </w:rPr>
        <w:t xml:space="preserve">286-ე მუხლის მე-4 ნაწილის </w:t>
      </w:r>
      <w:r w:rsidRPr="00187789">
        <w:rPr>
          <w:rFonts w:ascii="Sylfaen" w:hAnsi="Sylfaen" w:cs="Sylfaen"/>
          <w:bCs/>
          <w:sz w:val="24"/>
          <w:szCs w:val="24"/>
          <w:lang w:val="en-US"/>
        </w:rPr>
        <w:t>არაკონსტიტუციურად ცნობას ითხოვს საქართველოს</w:t>
      </w:r>
      <w:r w:rsidRPr="00187789">
        <w:rPr>
          <w:rFonts w:ascii="Sylfaen" w:hAnsi="Sylfaen"/>
          <w:bCs/>
          <w:sz w:val="24"/>
          <w:szCs w:val="24"/>
          <w:lang w:val="en-US"/>
        </w:rPr>
        <w:t xml:space="preserve"> კონსტიტუციის მე-9 მუხლის პირველ პუნქტთან მიმართებით</w:t>
      </w:r>
      <w:r w:rsidRPr="00187789">
        <w:rPr>
          <w:rFonts w:ascii="Sylfaen" w:hAnsi="Sylfaen"/>
          <w:bCs/>
          <w:sz w:val="24"/>
          <w:szCs w:val="24"/>
        </w:rPr>
        <w:t xml:space="preserve">. </w:t>
      </w:r>
      <w:r w:rsidR="009C4BCA" w:rsidRPr="00187789">
        <w:rPr>
          <w:rFonts w:ascii="Sylfaen" w:hAnsi="Sylfaen"/>
          <w:color w:val="000000"/>
          <w:sz w:val="24"/>
          <w:szCs w:val="24"/>
          <w:shd w:val="clear" w:color="auto" w:fill="FFFFFF"/>
          <w:lang w:val="en-US"/>
        </w:rPr>
        <w:t>მოსარჩელის განმარტებით, ადამიანის საცხოვრებელი ფართით უზრუნველყოფა ღირსების უფლების განუყოფელი ნაწილია.</w:t>
      </w:r>
      <w:r w:rsidR="00663543" w:rsidRPr="00187789">
        <w:rPr>
          <w:rFonts w:ascii="Sylfaen" w:hAnsi="Sylfaen"/>
          <w:color w:val="000000"/>
          <w:sz w:val="24"/>
          <w:szCs w:val="24"/>
          <w:shd w:val="clear" w:color="auto" w:fill="FFFFFF"/>
          <w:lang w:val="en-US"/>
        </w:rPr>
        <w:t xml:space="preserve"> </w:t>
      </w:r>
      <w:r w:rsidR="00FE5476" w:rsidRPr="00187789">
        <w:rPr>
          <w:rFonts w:ascii="Sylfaen" w:hAnsi="Sylfaen"/>
          <w:sz w:val="24"/>
          <w:szCs w:val="24"/>
        </w:rPr>
        <w:t xml:space="preserve">თავის მხრივ, </w:t>
      </w:r>
      <w:r w:rsidR="00FD6E60" w:rsidRPr="00187789">
        <w:rPr>
          <w:rFonts w:ascii="Sylfaen" w:hAnsi="Sylfaen"/>
          <w:sz w:val="24"/>
          <w:szCs w:val="24"/>
          <w:lang w:val="en-US"/>
        </w:rPr>
        <w:t>უძრავი ნივთი</w:t>
      </w:r>
      <w:r w:rsidR="004532AA" w:rsidRPr="00187789">
        <w:rPr>
          <w:rFonts w:ascii="Sylfaen" w:hAnsi="Sylfaen"/>
          <w:sz w:val="24"/>
          <w:szCs w:val="24"/>
        </w:rPr>
        <w:t>ს</w:t>
      </w:r>
      <w:r w:rsidR="00FD6E60" w:rsidRPr="00187789">
        <w:rPr>
          <w:rFonts w:ascii="Sylfaen" w:hAnsi="Sylfaen"/>
          <w:sz w:val="24"/>
          <w:szCs w:val="24"/>
          <w:lang w:val="en-US"/>
        </w:rPr>
        <w:t xml:space="preserve"> მოთხოვნის</w:t>
      </w:r>
      <w:r w:rsidR="00816686">
        <w:rPr>
          <w:rFonts w:ascii="Sylfaen" w:hAnsi="Sylfaen"/>
          <w:sz w:val="24"/>
          <w:szCs w:val="24"/>
        </w:rPr>
        <w:t xml:space="preserve"> უზრუნველყოფის საშუალებად გამოყენება</w:t>
      </w:r>
      <w:r w:rsidR="004532AA" w:rsidRPr="00187789">
        <w:rPr>
          <w:rFonts w:ascii="Sylfaen" w:hAnsi="Sylfaen"/>
          <w:sz w:val="24"/>
          <w:szCs w:val="24"/>
        </w:rPr>
        <w:t xml:space="preserve"> </w:t>
      </w:r>
      <w:r w:rsidR="00C0672D" w:rsidRPr="00187789">
        <w:rPr>
          <w:rFonts w:ascii="Sylfaen" w:hAnsi="Sylfaen"/>
          <w:color w:val="000000"/>
          <w:sz w:val="24"/>
          <w:szCs w:val="24"/>
          <w:shd w:val="clear" w:color="auto" w:fill="FFFFFF"/>
          <w:lang w:val="en-US"/>
        </w:rPr>
        <w:t xml:space="preserve">აჩენს </w:t>
      </w:r>
      <w:r w:rsidR="004532AA" w:rsidRPr="00187789">
        <w:rPr>
          <w:rFonts w:ascii="Sylfaen" w:hAnsi="Sylfaen"/>
          <w:color w:val="000000"/>
          <w:sz w:val="24"/>
          <w:szCs w:val="24"/>
          <w:shd w:val="clear" w:color="auto" w:fill="FFFFFF"/>
        </w:rPr>
        <w:t xml:space="preserve">პირის საცხოვრისის </w:t>
      </w:r>
      <w:r w:rsidR="00C0672D" w:rsidRPr="00187789">
        <w:rPr>
          <w:rFonts w:ascii="Sylfaen" w:hAnsi="Sylfaen"/>
          <w:color w:val="000000"/>
          <w:sz w:val="24"/>
          <w:szCs w:val="24"/>
          <w:shd w:val="clear" w:color="auto" w:fill="FFFFFF"/>
          <w:lang w:val="en-US"/>
        </w:rPr>
        <w:t>გარეშე დარჩენის რისკებს</w:t>
      </w:r>
      <w:r w:rsidR="004532AA" w:rsidRPr="00187789">
        <w:rPr>
          <w:rFonts w:ascii="Sylfaen" w:hAnsi="Sylfaen"/>
          <w:color w:val="000000"/>
          <w:sz w:val="24"/>
          <w:szCs w:val="24"/>
          <w:shd w:val="clear" w:color="auto" w:fill="FFFFFF"/>
        </w:rPr>
        <w:t>.</w:t>
      </w:r>
    </w:p>
    <w:p w14:paraId="31C3A707" w14:textId="1422505C" w:rsidR="00A876EB" w:rsidRPr="00187789" w:rsidRDefault="00A6239A" w:rsidP="00A876EB">
      <w:pPr>
        <w:pStyle w:val="ListParagraph"/>
        <w:numPr>
          <w:ilvl w:val="0"/>
          <w:numId w:val="2"/>
        </w:numPr>
        <w:spacing w:after="0" w:line="276" w:lineRule="auto"/>
        <w:ind w:left="0" w:firstLine="284"/>
        <w:jc w:val="both"/>
        <w:rPr>
          <w:rFonts w:ascii="Sylfaen" w:hAnsi="Sylfaen"/>
          <w:color w:val="000000" w:themeColor="text1"/>
          <w:sz w:val="24"/>
          <w:szCs w:val="24"/>
        </w:rPr>
      </w:pPr>
      <w:r w:rsidRPr="00187789">
        <w:rPr>
          <w:rFonts w:ascii="Sylfaen" w:hAnsi="Sylfaen"/>
          <w:color w:val="000000"/>
          <w:sz w:val="24"/>
          <w:szCs w:val="24"/>
          <w:shd w:val="clear" w:color="auto" w:fill="FFFFFF"/>
        </w:rPr>
        <w:t>აღსანიშნავია, რომ</w:t>
      </w:r>
      <w:r w:rsidR="0010223E" w:rsidRPr="00187789">
        <w:rPr>
          <w:rFonts w:ascii="Sylfaen" w:hAnsi="Sylfaen"/>
          <w:color w:val="000000"/>
          <w:sz w:val="24"/>
          <w:szCs w:val="24"/>
          <w:shd w:val="clear" w:color="auto" w:fill="FFFFFF"/>
        </w:rPr>
        <w:t xml:space="preserve"> სამოქალაქო კოდექსის 286-ე მუხლის მე-4 ნაწილის კონსტიტუციურობის საკითხი, საკუთრების უფლებასთან მიმართებით,</w:t>
      </w:r>
      <w:r w:rsidR="00094037" w:rsidRPr="00187789">
        <w:rPr>
          <w:rFonts w:ascii="Sylfaen" w:hAnsi="Sylfaen"/>
          <w:color w:val="000000"/>
          <w:sz w:val="24"/>
          <w:szCs w:val="24"/>
          <w:shd w:val="clear" w:color="auto" w:fill="FFFFFF"/>
        </w:rPr>
        <w:t xml:space="preserve"> </w:t>
      </w:r>
      <w:r w:rsidR="0010223E" w:rsidRPr="00187789">
        <w:rPr>
          <w:rFonts w:ascii="Sylfaen" w:hAnsi="Sylfaen"/>
          <w:color w:val="000000"/>
          <w:sz w:val="24"/>
          <w:szCs w:val="24"/>
          <w:shd w:val="clear" w:color="auto" w:fill="FFFFFF"/>
        </w:rPr>
        <w:t xml:space="preserve">შეფასებულ იქნა </w:t>
      </w:r>
      <w:r w:rsidR="00094037" w:rsidRPr="00187789">
        <w:rPr>
          <w:rFonts w:ascii="Sylfaen" w:hAnsi="Sylfaen"/>
          <w:color w:val="000000"/>
          <w:sz w:val="24"/>
          <w:szCs w:val="24"/>
          <w:shd w:val="clear" w:color="auto" w:fill="FFFFFF"/>
        </w:rPr>
        <w:t>საქართველოს საკონსტიტუციო სასამართლოს</w:t>
      </w:r>
      <w:r w:rsidR="00DD70AB" w:rsidRPr="00187789">
        <w:rPr>
          <w:rFonts w:ascii="Sylfaen" w:hAnsi="Sylfaen"/>
          <w:color w:val="000000"/>
          <w:sz w:val="24"/>
          <w:szCs w:val="24"/>
          <w:shd w:val="clear" w:color="auto" w:fill="FFFFFF"/>
        </w:rPr>
        <w:t xml:space="preserve"> </w:t>
      </w:r>
      <w:r w:rsidR="0010223E" w:rsidRPr="00187789">
        <w:rPr>
          <w:rFonts w:ascii="Sylfaen" w:hAnsi="Sylfaen"/>
          <w:color w:val="000000"/>
          <w:sz w:val="24"/>
          <w:szCs w:val="24"/>
          <w:shd w:val="clear" w:color="auto" w:fill="FFFFFF"/>
        </w:rPr>
        <w:t xml:space="preserve">2020 წლის 18 დეკემბრის №1/4/1380 გადაწყვეტილებით საქმეზე „ფატმან კვარაცხელია და კახა ეხვაია საქართველოს პარლამენტის წინააღმდეგ“. </w:t>
      </w:r>
      <w:r w:rsidR="00425210" w:rsidRPr="00187789">
        <w:rPr>
          <w:rFonts w:ascii="Sylfaen" w:hAnsi="Sylfaen"/>
          <w:color w:val="000000"/>
          <w:sz w:val="24"/>
          <w:szCs w:val="24"/>
          <w:shd w:val="clear" w:color="auto" w:fill="FFFFFF"/>
        </w:rPr>
        <w:t>ხსენებულ</w:t>
      </w:r>
      <w:r w:rsidR="00854BB5" w:rsidRPr="00187789">
        <w:rPr>
          <w:rFonts w:ascii="Sylfaen" w:hAnsi="Sylfaen"/>
          <w:color w:val="000000"/>
          <w:sz w:val="24"/>
          <w:szCs w:val="24"/>
          <w:shd w:val="clear" w:color="auto" w:fill="FFFFFF"/>
        </w:rPr>
        <w:t xml:space="preserve"> გადაწყვეტილებაში სასამართლომ იმსჯელა </w:t>
      </w:r>
      <w:r w:rsidR="00727194" w:rsidRPr="00187789">
        <w:rPr>
          <w:rFonts w:ascii="Sylfaen" w:hAnsi="Sylfaen"/>
          <w:color w:val="000000" w:themeColor="text1"/>
          <w:sz w:val="24"/>
          <w:szCs w:val="24"/>
        </w:rPr>
        <w:t>პირის საკუთრებაში არსებული ნივთების</w:t>
      </w:r>
      <w:r w:rsidR="004532AA" w:rsidRPr="00187789">
        <w:rPr>
          <w:rFonts w:ascii="Sylfaen" w:hAnsi="Sylfaen"/>
          <w:color w:val="000000" w:themeColor="text1"/>
          <w:sz w:val="24"/>
          <w:szCs w:val="24"/>
        </w:rPr>
        <w:t>, მათ შორის, უძრავი ქონების</w:t>
      </w:r>
      <w:r w:rsidR="00727194" w:rsidRPr="00187789">
        <w:rPr>
          <w:rFonts w:ascii="Sylfaen" w:hAnsi="Sylfaen"/>
          <w:color w:val="000000" w:themeColor="text1"/>
          <w:sz w:val="24"/>
          <w:szCs w:val="24"/>
        </w:rPr>
        <w:t xml:space="preserve"> თავისუფალ განკარგვასთან დაკავშირებით</w:t>
      </w:r>
      <w:r w:rsidR="004532AA" w:rsidRPr="00187789">
        <w:rPr>
          <w:rFonts w:ascii="Sylfaen" w:hAnsi="Sylfaen"/>
          <w:color w:val="000000" w:themeColor="text1"/>
          <w:sz w:val="24"/>
          <w:szCs w:val="24"/>
        </w:rPr>
        <w:t xml:space="preserve"> და მიიჩნია, რომ</w:t>
      </w:r>
      <w:r w:rsidR="00DD70AB" w:rsidRPr="00187789">
        <w:rPr>
          <w:rFonts w:ascii="Sylfaen" w:hAnsi="Sylfaen"/>
          <w:color w:val="000000" w:themeColor="text1"/>
          <w:sz w:val="24"/>
          <w:szCs w:val="24"/>
        </w:rPr>
        <w:t xml:space="preserve"> </w:t>
      </w:r>
      <w:r w:rsidR="004532AA" w:rsidRPr="00187789">
        <w:rPr>
          <w:rFonts w:ascii="Sylfaen" w:hAnsi="Sylfaen"/>
          <w:color w:val="000000" w:themeColor="text1"/>
          <w:sz w:val="24"/>
          <w:szCs w:val="24"/>
        </w:rPr>
        <w:t xml:space="preserve">რეგულირება, რომელიც </w:t>
      </w:r>
      <w:r w:rsidR="00425210" w:rsidRPr="00187789">
        <w:rPr>
          <w:rFonts w:ascii="Sylfaen" w:hAnsi="Sylfaen" w:cs="Sylfaen"/>
          <w:color w:val="000000"/>
          <w:sz w:val="24"/>
          <w:szCs w:val="24"/>
          <w:shd w:val="clear" w:color="auto" w:fill="FFFFFF"/>
        </w:rPr>
        <w:t>აფერხებს</w:t>
      </w:r>
      <w:r w:rsidR="004532AA" w:rsidRPr="00187789">
        <w:rPr>
          <w:rFonts w:ascii="Sylfaen" w:hAnsi="Sylfaen" w:cs="Sylfaen"/>
          <w:color w:val="000000"/>
          <w:sz w:val="24"/>
          <w:szCs w:val="24"/>
          <w:shd w:val="clear" w:color="auto" w:fill="FFFFFF"/>
        </w:rPr>
        <w:t xml:space="preserve"> მესაკუთრის</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მიერ</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ქონებით</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სარგებლობ</w:t>
      </w:r>
      <w:r w:rsidR="00425210" w:rsidRPr="00187789">
        <w:rPr>
          <w:rFonts w:ascii="Sylfaen" w:hAnsi="Sylfaen" w:cs="Sylfaen"/>
          <w:color w:val="000000"/>
          <w:sz w:val="24"/>
          <w:szCs w:val="24"/>
          <w:shd w:val="clear" w:color="auto" w:fill="FFFFFF"/>
        </w:rPr>
        <w:t>ისა</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და</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განკარგვ</w:t>
      </w:r>
      <w:r w:rsidR="00425210" w:rsidRPr="00187789">
        <w:rPr>
          <w:rFonts w:ascii="Sylfaen" w:hAnsi="Sylfaen" w:cs="Sylfaen"/>
          <w:color w:val="000000"/>
          <w:sz w:val="24"/>
          <w:szCs w:val="24"/>
          <w:shd w:val="clear" w:color="auto" w:fill="FFFFFF"/>
        </w:rPr>
        <w:t>ი</w:t>
      </w:r>
      <w:r w:rsidR="004532AA" w:rsidRPr="00187789">
        <w:rPr>
          <w:rFonts w:ascii="Sylfaen" w:hAnsi="Sylfaen" w:cs="Sylfaen"/>
          <w:color w:val="000000"/>
          <w:sz w:val="24"/>
          <w:szCs w:val="24"/>
          <w:shd w:val="clear" w:color="auto" w:fill="FFFFFF"/>
        </w:rPr>
        <w:t>ს</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თავისუფლებ</w:t>
      </w:r>
      <w:r w:rsidR="00E6073F" w:rsidRPr="00187789">
        <w:rPr>
          <w:rFonts w:ascii="Sylfaen" w:hAnsi="Sylfaen" w:cs="Sylfaen"/>
          <w:color w:val="000000"/>
          <w:sz w:val="24"/>
          <w:szCs w:val="24"/>
          <w:shd w:val="clear" w:color="auto" w:fill="FFFFFF"/>
        </w:rPr>
        <w:t>ა</w:t>
      </w:r>
      <w:r w:rsidR="004532AA" w:rsidRPr="00187789">
        <w:rPr>
          <w:rFonts w:ascii="Sylfaen" w:hAnsi="Sylfaen" w:cs="Sylfaen"/>
          <w:color w:val="000000"/>
          <w:sz w:val="24"/>
          <w:szCs w:val="24"/>
          <w:shd w:val="clear" w:color="auto" w:fill="FFFFFF"/>
        </w:rPr>
        <w:t>ს</w:t>
      </w:r>
      <w:r w:rsidR="00CD5211" w:rsidRPr="00187789">
        <w:rPr>
          <w:rFonts w:ascii="Sylfaen" w:hAnsi="Sylfaen" w:cs="Sylfaen"/>
          <w:color w:val="000000"/>
          <w:sz w:val="24"/>
          <w:szCs w:val="24"/>
          <w:shd w:val="clear" w:color="auto" w:fill="FFFFFF"/>
        </w:rPr>
        <w:t>,</w:t>
      </w:r>
      <w:r w:rsidR="004532AA" w:rsidRPr="00187789">
        <w:rPr>
          <w:rFonts w:ascii="Sylfaen" w:hAnsi="Sylfaen"/>
          <w:color w:val="000000"/>
          <w:sz w:val="24"/>
          <w:szCs w:val="24"/>
          <w:shd w:val="clear" w:color="auto" w:fill="FFFFFF"/>
        </w:rPr>
        <w:t xml:space="preserve"> ზღუდავს </w:t>
      </w:r>
      <w:r w:rsidR="004532AA" w:rsidRPr="00187789">
        <w:rPr>
          <w:rFonts w:ascii="Sylfaen" w:hAnsi="Sylfaen" w:cs="Sylfaen"/>
          <w:color w:val="000000"/>
          <w:sz w:val="24"/>
          <w:szCs w:val="24"/>
          <w:shd w:val="clear" w:color="auto" w:fill="FFFFFF"/>
        </w:rPr>
        <w:t>საქართველოს</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კონსტიტუციის</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მე</w:t>
      </w:r>
      <w:r w:rsidR="004532AA" w:rsidRPr="00187789">
        <w:rPr>
          <w:rFonts w:ascii="Sylfaen" w:hAnsi="Sylfaen"/>
          <w:color w:val="000000"/>
          <w:sz w:val="24"/>
          <w:szCs w:val="24"/>
          <w:shd w:val="clear" w:color="auto" w:fill="FFFFFF"/>
        </w:rPr>
        <w:t xml:space="preserve">-19 </w:t>
      </w:r>
      <w:r w:rsidR="004532AA" w:rsidRPr="00187789">
        <w:rPr>
          <w:rFonts w:ascii="Sylfaen" w:hAnsi="Sylfaen" w:cs="Sylfaen"/>
          <w:color w:val="000000"/>
          <w:sz w:val="24"/>
          <w:szCs w:val="24"/>
          <w:shd w:val="clear" w:color="auto" w:fill="FFFFFF"/>
        </w:rPr>
        <w:t>მუხლის</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პირველი</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და</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მე</w:t>
      </w:r>
      <w:r w:rsidR="004532AA" w:rsidRPr="00187789">
        <w:rPr>
          <w:rFonts w:ascii="Sylfaen" w:hAnsi="Sylfaen"/>
          <w:color w:val="000000"/>
          <w:sz w:val="24"/>
          <w:szCs w:val="24"/>
          <w:shd w:val="clear" w:color="auto" w:fill="FFFFFF"/>
        </w:rPr>
        <w:t xml:space="preserve">-2 </w:t>
      </w:r>
      <w:r w:rsidR="004532AA" w:rsidRPr="00187789">
        <w:rPr>
          <w:rFonts w:ascii="Sylfaen" w:hAnsi="Sylfaen" w:cs="Sylfaen"/>
          <w:color w:val="000000"/>
          <w:sz w:val="24"/>
          <w:szCs w:val="24"/>
          <w:shd w:val="clear" w:color="auto" w:fill="FFFFFF"/>
        </w:rPr>
        <w:t>პუნქტებით</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დაცულ</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საკუთრების</w:t>
      </w:r>
      <w:r w:rsidR="004532AA" w:rsidRPr="00187789">
        <w:rPr>
          <w:rFonts w:ascii="Sylfaen" w:hAnsi="Sylfaen"/>
          <w:color w:val="000000"/>
          <w:sz w:val="24"/>
          <w:szCs w:val="24"/>
          <w:shd w:val="clear" w:color="auto" w:fill="FFFFFF"/>
        </w:rPr>
        <w:t xml:space="preserve"> </w:t>
      </w:r>
      <w:r w:rsidR="004532AA" w:rsidRPr="00187789">
        <w:rPr>
          <w:rFonts w:ascii="Sylfaen" w:hAnsi="Sylfaen" w:cs="Sylfaen"/>
          <w:color w:val="000000"/>
          <w:sz w:val="24"/>
          <w:szCs w:val="24"/>
          <w:shd w:val="clear" w:color="auto" w:fill="FFFFFF"/>
        </w:rPr>
        <w:t xml:space="preserve">უფლებას. </w:t>
      </w:r>
      <w:r w:rsidR="00854BB5" w:rsidRPr="00187789">
        <w:rPr>
          <w:rFonts w:ascii="Sylfaen" w:hAnsi="Sylfaen"/>
          <w:color w:val="000000"/>
          <w:sz w:val="24"/>
          <w:szCs w:val="24"/>
          <w:shd w:val="clear" w:color="auto" w:fill="FFFFFF"/>
        </w:rPr>
        <w:t>სასამართლო</w:t>
      </w:r>
      <w:r w:rsidR="00E6073F" w:rsidRPr="00187789">
        <w:rPr>
          <w:rFonts w:ascii="Sylfaen" w:hAnsi="Sylfaen"/>
          <w:color w:val="000000"/>
          <w:sz w:val="24"/>
          <w:szCs w:val="24"/>
          <w:shd w:val="clear" w:color="auto" w:fill="FFFFFF"/>
        </w:rPr>
        <w:t>მ</w:t>
      </w:r>
      <w:r w:rsidR="00094037" w:rsidRPr="00187789">
        <w:rPr>
          <w:rFonts w:ascii="Sylfaen" w:hAnsi="Sylfaen"/>
          <w:color w:val="000000"/>
          <w:sz w:val="24"/>
          <w:szCs w:val="24"/>
          <w:shd w:val="clear" w:color="auto" w:fill="FFFFFF"/>
        </w:rPr>
        <w:t xml:space="preserve"> განმარტა, რომ </w:t>
      </w:r>
      <w:r w:rsidR="00A876EB" w:rsidRPr="00187789">
        <w:rPr>
          <w:rFonts w:ascii="Sylfaen" w:hAnsi="Sylfaen"/>
          <w:color w:val="000000" w:themeColor="text1"/>
          <w:sz w:val="24"/>
          <w:szCs w:val="24"/>
        </w:rPr>
        <w:t xml:space="preserve">„ქონებით სარგებლობის და განკარგვის უფლება, მათ შორის, უძრავი ნივთის </w:t>
      </w:r>
      <w:r w:rsidR="00A876EB" w:rsidRPr="00187789">
        <w:rPr>
          <w:rFonts w:ascii="Sylfaen" w:hAnsi="Sylfaen"/>
          <w:color w:val="000000" w:themeColor="text1"/>
          <w:sz w:val="24"/>
          <w:szCs w:val="24"/>
        </w:rPr>
        <w:lastRenderedPageBreak/>
        <w:t xml:space="preserve">მოთხოვნის დასაკმაყოფილებლად გამოყენება (დატვირთვა), მნიშვნელოვანი მექანიზმებია ინდივიდის საზოგადოებრივ ცხოვრებაში მონაწილეობის უზრუნველსაყოფად. უძრავი ქონებით უზრუნველყოფილი სესხის მიღებას შესაძლოა ჰქონდეს სასიცოცხლო მნიშვნელობა მისი მიმღებისთვის და მისცეს მას წვდომა ისეთ სერვისებზე, რომლებიც სხვაგვარად მისთვის ხელმისაწვდომი ვერ იქნებოდა. ამდენად, ასეთ სერვისებზე წვდომამ შესაძლოა გააუმჯობესოს ადამიანის ცხოვრების ხარისხი, გადაჭრას მის წინაშე მდგარი გადაუდებელი ამოცანები, უზრუნველყოს მისი ინტეგრაცია საზოგადოებაში და, მთლიანობაში, ხელი შეუწყოს სხვადასხვა საჯარო ინტერესის რეალიზაციას, მათ შორის, ქვეყნის ეკონომიკურ განვითარებას“ </w:t>
      </w:r>
      <w:r w:rsidR="00A876EB" w:rsidRPr="00187789">
        <w:rPr>
          <w:rFonts w:ascii="Sylfaen" w:hAnsi="Sylfaen"/>
          <w:color w:val="000000"/>
          <w:sz w:val="24"/>
          <w:szCs w:val="24"/>
          <w:shd w:val="clear" w:color="auto" w:fill="FFFFFF"/>
        </w:rPr>
        <w:t>(</w:t>
      </w:r>
      <w:r w:rsidR="00A876EB" w:rsidRPr="00187789">
        <w:rPr>
          <w:rFonts w:ascii="Sylfaen" w:hAnsi="Sylfaen"/>
          <w:sz w:val="24"/>
          <w:szCs w:val="24"/>
          <w:lang w:val="en-US"/>
        </w:rPr>
        <w:t>საქართველოს საკონსტიტუციო სასამართლოს 20</w:t>
      </w:r>
      <w:r w:rsidR="00A876EB" w:rsidRPr="00187789">
        <w:rPr>
          <w:rFonts w:ascii="Sylfaen" w:hAnsi="Sylfaen"/>
          <w:sz w:val="24"/>
          <w:szCs w:val="24"/>
        </w:rPr>
        <w:t>20</w:t>
      </w:r>
      <w:r w:rsidR="00A876EB" w:rsidRPr="00187789">
        <w:rPr>
          <w:rFonts w:ascii="Sylfaen" w:hAnsi="Sylfaen"/>
          <w:sz w:val="24"/>
          <w:szCs w:val="24"/>
          <w:lang w:val="en-US"/>
        </w:rPr>
        <w:t xml:space="preserve"> წლის 18 </w:t>
      </w:r>
      <w:r w:rsidR="00A876EB" w:rsidRPr="00187789">
        <w:rPr>
          <w:rFonts w:ascii="Sylfaen" w:hAnsi="Sylfaen"/>
          <w:sz w:val="24"/>
          <w:szCs w:val="24"/>
        </w:rPr>
        <w:t>დეკემბრის</w:t>
      </w:r>
      <w:r w:rsidR="00A876EB" w:rsidRPr="00187789">
        <w:rPr>
          <w:rFonts w:ascii="Sylfaen" w:hAnsi="Sylfaen"/>
          <w:sz w:val="24"/>
          <w:szCs w:val="24"/>
          <w:lang w:val="en-US"/>
        </w:rPr>
        <w:t xml:space="preserve"> №1/4/1380</w:t>
      </w:r>
      <w:r w:rsidR="00A876EB" w:rsidRPr="00187789">
        <w:rPr>
          <w:rFonts w:ascii="Sylfaen" w:hAnsi="Sylfaen"/>
          <w:sz w:val="24"/>
          <w:szCs w:val="24"/>
        </w:rPr>
        <w:t xml:space="preserve"> </w:t>
      </w:r>
      <w:r w:rsidR="00A876EB" w:rsidRPr="00187789">
        <w:rPr>
          <w:rFonts w:ascii="Sylfaen" w:hAnsi="Sylfaen"/>
          <w:sz w:val="24"/>
          <w:szCs w:val="24"/>
          <w:lang w:val="en-US"/>
        </w:rPr>
        <w:t>გადაწყვეტილება საქმეზე</w:t>
      </w:r>
      <w:r w:rsidR="00A876EB" w:rsidRPr="00187789">
        <w:rPr>
          <w:rFonts w:ascii="Sylfaen" w:hAnsi="Sylfaen"/>
          <w:sz w:val="24"/>
          <w:szCs w:val="24"/>
        </w:rPr>
        <w:t xml:space="preserve"> „ფატმან კვარაცხელია და კახა ეხვაია საქართველოს პარლამენტის წინააღმდეგ“, </w:t>
      </w:r>
      <w:r w:rsidR="00A876EB" w:rsidRPr="00187789">
        <w:rPr>
          <w:rFonts w:ascii="Sylfaen" w:hAnsi="Sylfaen"/>
          <w:sz w:val="24"/>
          <w:szCs w:val="24"/>
          <w:lang w:val="en-US"/>
        </w:rPr>
        <w:t>II</w:t>
      </w:r>
      <w:r w:rsidR="00A876EB" w:rsidRPr="00187789">
        <w:rPr>
          <w:rFonts w:ascii="Sylfaen" w:hAnsi="Sylfaen"/>
          <w:sz w:val="24"/>
          <w:szCs w:val="24"/>
        </w:rPr>
        <w:t xml:space="preserve">-30). ამასთანავე, სასამართლოს მითითებით, </w:t>
      </w:r>
      <w:r w:rsidR="00A876EB" w:rsidRPr="00187789">
        <w:rPr>
          <w:rFonts w:ascii="Sylfaen" w:hAnsi="Sylfaen"/>
          <w:color w:val="000000" w:themeColor="text1"/>
          <w:sz w:val="24"/>
          <w:szCs w:val="24"/>
        </w:rPr>
        <w:t>საქართველოს სამოქალაქო კოდექსის 286-ე მუხლის მე-4 ნაწილი მნიშვნელოვნად ამცირებს იმ უფლებამოსილ კრედიტორთა წრეს, რომელთაგანაც ფიზიკურ პირს უძრავი ქონებით უზრუნველყოფილი სესხის მიღება შეუძლია. სასამართლომ</w:t>
      </w:r>
      <w:r w:rsidR="00426E65" w:rsidRPr="00187789">
        <w:rPr>
          <w:rFonts w:ascii="Sylfaen" w:hAnsi="Sylfaen"/>
          <w:color w:val="000000" w:themeColor="text1"/>
          <w:sz w:val="24"/>
          <w:szCs w:val="24"/>
          <w:lang w:val="en-US"/>
        </w:rPr>
        <w:t xml:space="preserve"> </w:t>
      </w:r>
      <w:r w:rsidR="00426E65" w:rsidRPr="00187789">
        <w:rPr>
          <w:rFonts w:ascii="Sylfaen" w:hAnsi="Sylfaen"/>
          <w:color w:val="000000" w:themeColor="text1"/>
          <w:sz w:val="24"/>
          <w:szCs w:val="24"/>
        </w:rPr>
        <w:t>აღნიშნული</w:t>
      </w:r>
      <w:r w:rsidR="00A876EB" w:rsidRPr="00187789">
        <w:rPr>
          <w:rFonts w:ascii="Sylfaen" w:hAnsi="Sylfaen"/>
          <w:color w:val="000000" w:themeColor="text1"/>
          <w:sz w:val="24"/>
          <w:szCs w:val="24"/>
        </w:rPr>
        <w:t xml:space="preserve"> რეგულ</w:t>
      </w:r>
      <w:r w:rsidR="00CD5211" w:rsidRPr="00187789">
        <w:rPr>
          <w:rFonts w:ascii="Sylfaen" w:hAnsi="Sylfaen"/>
          <w:color w:val="000000" w:themeColor="text1"/>
          <w:sz w:val="24"/>
          <w:szCs w:val="24"/>
        </w:rPr>
        <w:t>ირ</w:t>
      </w:r>
      <w:r w:rsidR="00A876EB" w:rsidRPr="00187789">
        <w:rPr>
          <w:rFonts w:ascii="Sylfaen" w:hAnsi="Sylfaen"/>
          <w:color w:val="000000" w:themeColor="text1"/>
          <w:sz w:val="24"/>
          <w:szCs w:val="24"/>
        </w:rPr>
        <w:t>ება საკუთრების უფლების ინტენსიურ შეზღუდვად მიიჩნია.</w:t>
      </w:r>
      <w:r w:rsidR="00DD70AB" w:rsidRPr="00187789">
        <w:rPr>
          <w:rFonts w:ascii="Sylfaen" w:hAnsi="Sylfaen"/>
          <w:color w:val="000000" w:themeColor="text1"/>
          <w:sz w:val="24"/>
          <w:szCs w:val="24"/>
        </w:rPr>
        <w:t xml:space="preserve"> </w:t>
      </w:r>
    </w:p>
    <w:p w14:paraId="20498DCF" w14:textId="7DF16F15" w:rsidR="000D7DBB" w:rsidRPr="00187789" w:rsidRDefault="00A876EB" w:rsidP="00525AF0">
      <w:pPr>
        <w:pStyle w:val="ListParagraph"/>
        <w:numPr>
          <w:ilvl w:val="0"/>
          <w:numId w:val="2"/>
        </w:numPr>
        <w:spacing w:after="0" w:line="276" w:lineRule="auto"/>
        <w:ind w:left="0" w:firstLine="284"/>
        <w:jc w:val="both"/>
        <w:rPr>
          <w:rFonts w:ascii="Sylfaen" w:hAnsi="Sylfaen"/>
          <w:color w:val="000000" w:themeColor="text1"/>
          <w:sz w:val="24"/>
          <w:szCs w:val="24"/>
        </w:rPr>
      </w:pPr>
      <w:r w:rsidRPr="00187789">
        <w:rPr>
          <w:rFonts w:ascii="Sylfaen" w:hAnsi="Sylfaen"/>
          <w:color w:val="000000" w:themeColor="text1"/>
          <w:sz w:val="24"/>
          <w:szCs w:val="24"/>
        </w:rPr>
        <w:t>ზემოაღნიშნულის გათვალისწი</w:t>
      </w:r>
      <w:r w:rsidR="00CD5211" w:rsidRPr="00187789">
        <w:rPr>
          <w:rFonts w:ascii="Sylfaen" w:hAnsi="Sylfaen"/>
          <w:color w:val="000000" w:themeColor="text1"/>
          <w:sz w:val="24"/>
          <w:szCs w:val="24"/>
        </w:rPr>
        <w:t>ნებ</w:t>
      </w:r>
      <w:r w:rsidRPr="00187789">
        <w:rPr>
          <w:rFonts w:ascii="Sylfaen" w:hAnsi="Sylfaen"/>
          <w:color w:val="000000" w:themeColor="text1"/>
          <w:sz w:val="24"/>
          <w:szCs w:val="24"/>
        </w:rPr>
        <w:t xml:space="preserve">ით, საკონსტიტუციო სასამართლოს დადგენილი სტანდარტებით, </w:t>
      </w:r>
      <w:r w:rsidR="00094037" w:rsidRPr="00187789">
        <w:rPr>
          <w:rFonts w:ascii="Sylfaen" w:hAnsi="Sylfaen"/>
          <w:color w:val="000000"/>
          <w:sz w:val="24"/>
          <w:szCs w:val="24"/>
          <w:shd w:val="clear" w:color="auto" w:fill="FFFFFF"/>
        </w:rPr>
        <w:t xml:space="preserve">„სახელმწიფოს ქმედება, რომელიც ზღუდავს პირის თავისუფლებას ფლობდეს, სარგებლობდეს, განკარგავდეს საკუთარ ქონებას ... </w:t>
      </w:r>
      <w:r w:rsidR="00094037" w:rsidRPr="00187789">
        <w:rPr>
          <w:rFonts w:ascii="Sylfaen" w:hAnsi="Sylfaen"/>
          <w:i/>
          <w:iCs/>
          <w:color w:val="000000"/>
          <w:sz w:val="24"/>
          <w:szCs w:val="24"/>
          <w:shd w:val="clear" w:color="auto" w:fill="FFFFFF"/>
        </w:rPr>
        <w:t>a priori</w:t>
      </w:r>
      <w:r w:rsidR="00094037" w:rsidRPr="00187789">
        <w:rPr>
          <w:rFonts w:ascii="Sylfaen" w:hAnsi="Sylfaen"/>
          <w:color w:val="000000"/>
          <w:sz w:val="24"/>
          <w:szCs w:val="24"/>
          <w:shd w:val="clear" w:color="auto" w:fill="FFFFFF"/>
        </w:rPr>
        <w:t xml:space="preserve"> განიხილება როგორც ჩარევა საქართველოს კონსტიტუციის მე-19 მუხლით დაცულ საკუთრების კონსტიტუციურ </w:t>
      </w:r>
      <w:r w:rsidR="00094037" w:rsidRPr="00187789">
        <w:rPr>
          <w:rFonts w:ascii="Sylfaen" w:hAnsi="Sylfaen"/>
          <w:sz w:val="24"/>
          <w:szCs w:val="24"/>
          <w:shd w:val="clear" w:color="auto" w:fill="FFFFFF"/>
        </w:rPr>
        <w:t>უფლებაში“ (</w:t>
      </w:r>
      <w:r w:rsidR="00094037" w:rsidRPr="00187789">
        <w:rPr>
          <w:rFonts w:ascii="Sylfaen" w:hAnsi="Sylfaen"/>
          <w:sz w:val="24"/>
          <w:szCs w:val="24"/>
          <w:lang w:val="en-US"/>
        </w:rPr>
        <w:t>საქართველოს საკონსტიტუციო სასამართლოს 20</w:t>
      </w:r>
      <w:r w:rsidR="00094037" w:rsidRPr="00187789">
        <w:rPr>
          <w:rFonts w:ascii="Sylfaen" w:hAnsi="Sylfaen"/>
          <w:sz w:val="24"/>
          <w:szCs w:val="24"/>
        </w:rPr>
        <w:t>20</w:t>
      </w:r>
      <w:r w:rsidR="00094037" w:rsidRPr="00187789">
        <w:rPr>
          <w:rFonts w:ascii="Sylfaen" w:hAnsi="Sylfaen"/>
          <w:sz w:val="24"/>
          <w:szCs w:val="24"/>
          <w:lang w:val="en-US"/>
        </w:rPr>
        <w:t xml:space="preserve"> წლის 18 </w:t>
      </w:r>
      <w:r w:rsidR="00094037" w:rsidRPr="00187789">
        <w:rPr>
          <w:rFonts w:ascii="Sylfaen" w:hAnsi="Sylfaen"/>
          <w:sz w:val="24"/>
          <w:szCs w:val="24"/>
        </w:rPr>
        <w:t>დეკემბრის</w:t>
      </w:r>
      <w:r w:rsidR="00094037" w:rsidRPr="00187789">
        <w:rPr>
          <w:rFonts w:ascii="Sylfaen" w:hAnsi="Sylfaen"/>
          <w:sz w:val="24"/>
          <w:szCs w:val="24"/>
          <w:lang w:val="en-US"/>
        </w:rPr>
        <w:t xml:space="preserve"> №1/4/1380</w:t>
      </w:r>
      <w:r w:rsidR="00094037" w:rsidRPr="00187789">
        <w:rPr>
          <w:rFonts w:ascii="Sylfaen" w:hAnsi="Sylfaen"/>
          <w:sz w:val="24"/>
          <w:szCs w:val="24"/>
        </w:rPr>
        <w:t xml:space="preserve"> </w:t>
      </w:r>
      <w:r w:rsidR="00094037" w:rsidRPr="00187789">
        <w:rPr>
          <w:rFonts w:ascii="Sylfaen" w:hAnsi="Sylfaen"/>
          <w:sz w:val="24"/>
          <w:szCs w:val="24"/>
          <w:lang w:val="en-US"/>
        </w:rPr>
        <w:t>გადაწყვეტილება საქმეზე</w:t>
      </w:r>
      <w:r w:rsidR="00094037" w:rsidRPr="00187789">
        <w:rPr>
          <w:rFonts w:ascii="Sylfaen" w:hAnsi="Sylfaen"/>
          <w:sz w:val="24"/>
          <w:szCs w:val="24"/>
        </w:rPr>
        <w:t xml:space="preserve"> „ფატმან კვარაცხელია და კახა ეხვაია საქართველოს პარლამენტის წინააღმდეგ“, </w:t>
      </w:r>
      <w:r w:rsidR="00094037" w:rsidRPr="00187789">
        <w:rPr>
          <w:rFonts w:ascii="Sylfaen" w:hAnsi="Sylfaen"/>
          <w:sz w:val="24"/>
          <w:szCs w:val="24"/>
          <w:lang w:val="en-US"/>
        </w:rPr>
        <w:t>II</w:t>
      </w:r>
      <w:r w:rsidR="00094037" w:rsidRPr="00187789">
        <w:rPr>
          <w:rFonts w:ascii="Sylfaen" w:hAnsi="Sylfaen"/>
          <w:sz w:val="24"/>
          <w:szCs w:val="24"/>
        </w:rPr>
        <w:t>-4). შესაბამისად,</w:t>
      </w:r>
      <w:r w:rsidR="00B54514" w:rsidRPr="00187789">
        <w:rPr>
          <w:rFonts w:ascii="Sylfaen" w:hAnsi="Sylfaen"/>
          <w:sz w:val="24"/>
          <w:szCs w:val="24"/>
        </w:rPr>
        <w:t xml:space="preserve"> ნათელია, რომ</w:t>
      </w:r>
      <w:r w:rsidR="00DD70AB" w:rsidRPr="00187789">
        <w:rPr>
          <w:rFonts w:ascii="Sylfaen" w:hAnsi="Sylfaen"/>
          <w:sz w:val="24"/>
          <w:szCs w:val="24"/>
        </w:rPr>
        <w:t xml:space="preserve"> </w:t>
      </w:r>
      <w:r w:rsidR="00094037" w:rsidRPr="00187789">
        <w:rPr>
          <w:rFonts w:ascii="Sylfaen" w:hAnsi="Sylfaen"/>
          <w:sz w:val="24"/>
          <w:szCs w:val="24"/>
        </w:rPr>
        <w:t xml:space="preserve">პირის </w:t>
      </w:r>
      <w:r w:rsidR="00B55043" w:rsidRPr="00187789">
        <w:rPr>
          <w:rFonts w:ascii="Sylfaen" w:hAnsi="Sylfaen" w:cs="Sylfaen"/>
          <w:sz w:val="24"/>
          <w:szCs w:val="24"/>
        </w:rPr>
        <w:t>შესაძლებ</w:t>
      </w:r>
      <w:r w:rsidR="00094037" w:rsidRPr="00187789">
        <w:rPr>
          <w:rFonts w:ascii="Sylfaen" w:hAnsi="Sylfaen" w:cs="Sylfaen"/>
          <w:sz w:val="24"/>
          <w:szCs w:val="24"/>
        </w:rPr>
        <w:t>ლობა</w:t>
      </w:r>
      <w:r w:rsidR="00854BB5" w:rsidRPr="00187789">
        <w:rPr>
          <w:rFonts w:ascii="Sylfaen" w:hAnsi="Sylfaen" w:cs="Sylfaen"/>
          <w:sz w:val="24"/>
          <w:szCs w:val="24"/>
        </w:rPr>
        <w:t>,</w:t>
      </w:r>
      <w:r w:rsidR="00094037" w:rsidRPr="00187789">
        <w:rPr>
          <w:rFonts w:ascii="Sylfaen" w:hAnsi="Sylfaen" w:cs="Sylfaen"/>
          <w:sz w:val="24"/>
          <w:szCs w:val="24"/>
        </w:rPr>
        <w:t xml:space="preserve"> </w:t>
      </w:r>
      <w:r w:rsidR="00B55043" w:rsidRPr="00187789">
        <w:rPr>
          <w:rFonts w:ascii="Sylfaen" w:hAnsi="Sylfaen"/>
          <w:sz w:val="24"/>
          <w:szCs w:val="24"/>
        </w:rPr>
        <w:t xml:space="preserve">საკუთარი სურვილის მიხედვით განკარგოს </w:t>
      </w:r>
      <w:r w:rsidR="00094037" w:rsidRPr="00187789">
        <w:rPr>
          <w:rFonts w:ascii="Sylfaen" w:hAnsi="Sylfaen"/>
          <w:sz w:val="24"/>
          <w:szCs w:val="24"/>
        </w:rPr>
        <w:t xml:space="preserve">მისსავე საკუთრებაში არსებული </w:t>
      </w:r>
      <w:r w:rsidR="00B55043" w:rsidRPr="00187789">
        <w:rPr>
          <w:rFonts w:ascii="Sylfaen" w:hAnsi="Sylfaen"/>
          <w:sz w:val="24"/>
          <w:szCs w:val="24"/>
        </w:rPr>
        <w:t>ქონება, მათ შორის, მოახდინოს მისი იპოთეკით დატვირთვა</w:t>
      </w:r>
      <w:r w:rsidR="008924CE">
        <w:rPr>
          <w:rFonts w:ascii="Sylfaen" w:hAnsi="Sylfaen"/>
          <w:sz w:val="24"/>
          <w:szCs w:val="24"/>
          <w:lang w:val="en-US"/>
        </w:rPr>
        <w:t>,</w:t>
      </w:r>
      <w:r w:rsidR="00854BB5" w:rsidRPr="00187789">
        <w:rPr>
          <w:rFonts w:ascii="Sylfaen" w:hAnsi="Sylfaen"/>
          <w:sz w:val="24"/>
          <w:szCs w:val="24"/>
        </w:rPr>
        <w:t xml:space="preserve"> მიიჩნევა</w:t>
      </w:r>
      <w:r w:rsidR="00B55043" w:rsidRPr="00187789">
        <w:rPr>
          <w:rFonts w:ascii="Sylfaen" w:hAnsi="Sylfaen"/>
          <w:sz w:val="24"/>
          <w:szCs w:val="24"/>
        </w:rPr>
        <w:t xml:space="preserve"> </w:t>
      </w:r>
      <w:r w:rsidR="00854BB5" w:rsidRPr="00187789">
        <w:rPr>
          <w:rFonts w:ascii="Sylfaen" w:hAnsi="Sylfaen"/>
          <w:sz w:val="24"/>
          <w:szCs w:val="24"/>
        </w:rPr>
        <w:t>საქართველოს კონსტიტუციის მე</w:t>
      </w:r>
      <w:r w:rsidR="00425210" w:rsidRPr="00187789">
        <w:rPr>
          <w:rFonts w:ascii="Sylfaen" w:hAnsi="Sylfaen"/>
          <w:sz w:val="24"/>
          <w:szCs w:val="24"/>
        </w:rPr>
        <w:t>-</w:t>
      </w:r>
      <w:r w:rsidR="00854BB5" w:rsidRPr="00187789">
        <w:rPr>
          <w:rFonts w:ascii="Sylfaen" w:hAnsi="Sylfaen"/>
          <w:sz w:val="24"/>
          <w:szCs w:val="24"/>
        </w:rPr>
        <w:t>19 მუხლი</w:t>
      </w:r>
      <w:r w:rsidR="00425210" w:rsidRPr="00187789">
        <w:rPr>
          <w:rFonts w:ascii="Sylfaen" w:hAnsi="Sylfaen"/>
          <w:sz w:val="24"/>
          <w:szCs w:val="24"/>
        </w:rPr>
        <w:t xml:space="preserve">თ დაცულ </w:t>
      </w:r>
      <w:r w:rsidR="00B55043" w:rsidRPr="00187789">
        <w:rPr>
          <w:rFonts w:ascii="Sylfaen" w:hAnsi="Sylfaen"/>
          <w:sz w:val="24"/>
          <w:szCs w:val="24"/>
        </w:rPr>
        <w:t xml:space="preserve">საკუთრების </w:t>
      </w:r>
      <w:r w:rsidR="00854BB5" w:rsidRPr="00187789">
        <w:rPr>
          <w:rFonts w:ascii="Sylfaen" w:hAnsi="Sylfaen"/>
          <w:sz w:val="24"/>
          <w:szCs w:val="24"/>
        </w:rPr>
        <w:t>უფლებრივ</w:t>
      </w:r>
      <w:r w:rsidR="00DD70AB" w:rsidRPr="00187789">
        <w:rPr>
          <w:rFonts w:ascii="Sylfaen" w:hAnsi="Sylfaen"/>
          <w:sz w:val="24"/>
          <w:szCs w:val="24"/>
        </w:rPr>
        <w:t xml:space="preserve"> </w:t>
      </w:r>
      <w:r w:rsidR="00094037" w:rsidRPr="00187789">
        <w:rPr>
          <w:rFonts w:ascii="Sylfaen" w:hAnsi="Sylfaen"/>
          <w:sz w:val="24"/>
          <w:szCs w:val="24"/>
        </w:rPr>
        <w:t>კომპონენტ</w:t>
      </w:r>
      <w:r w:rsidR="00854BB5" w:rsidRPr="00187789">
        <w:rPr>
          <w:rFonts w:ascii="Sylfaen" w:hAnsi="Sylfaen"/>
          <w:color w:val="000000" w:themeColor="text1"/>
          <w:sz w:val="24"/>
          <w:szCs w:val="24"/>
        </w:rPr>
        <w:t>ად</w:t>
      </w:r>
      <w:r w:rsidR="00B55043" w:rsidRPr="00187789">
        <w:rPr>
          <w:rFonts w:ascii="Sylfaen" w:hAnsi="Sylfaen"/>
          <w:color w:val="000000" w:themeColor="text1"/>
          <w:sz w:val="24"/>
          <w:szCs w:val="24"/>
        </w:rPr>
        <w:t>.</w:t>
      </w:r>
    </w:p>
    <w:p w14:paraId="06726E55" w14:textId="79106ECD" w:rsidR="00607DF6" w:rsidRPr="000835AA" w:rsidRDefault="00A876EB" w:rsidP="000835AA">
      <w:pPr>
        <w:pStyle w:val="ListParagraph"/>
        <w:numPr>
          <w:ilvl w:val="0"/>
          <w:numId w:val="2"/>
        </w:numPr>
        <w:spacing w:after="0" w:line="276" w:lineRule="auto"/>
        <w:ind w:left="0" w:firstLine="284"/>
        <w:jc w:val="both"/>
        <w:rPr>
          <w:rFonts w:ascii="Sylfaen" w:hAnsi="Sylfaen"/>
          <w:b/>
          <w:bCs/>
          <w:sz w:val="24"/>
          <w:szCs w:val="24"/>
          <w:lang w:val="en-US"/>
        </w:rPr>
      </w:pPr>
      <w:r w:rsidRPr="00187789">
        <w:rPr>
          <w:rFonts w:ascii="Sylfaen" w:hAnsi="Sylfaen"/>
          <w:sz w:val="24"/>
          <w:szCs w:val="24"/>
          <w:lang w:val="en-US"/>
        </w:rPr>
        <w:t>№</w:t>
      </w:r>
      <w:r w:rsidRPr="00187789">
        <w:rPr>
          <w:rFonts w:ascii="Sylfaen" w:hAnsi="Sylfaen"/>
          <w:sz w:val="24"/>
          <w:szCs w:val="24"/>
        </w:rPr>
        <w:t>1</w:t>
      </w:r>
      <w:r w:rsidR="00525AF0" w:rsidRPr="00187789">
        <w:rPr>
          <w:rFonts w:ascii="Sylfaen" w:hAnsi="Sylfaen"/>
          <w:sz w:val="24"/>
          <w:szCs w:val="24"/>
        </w:rPr>
        <w:t>894 კონსტიტუციური სარჩელით</w:t>
      </w:r>
      <w:r w:rsidR="00D11FE5" w:rsidRPr="00187789">
        <w:rPr>
          <w:rFonts w:ascii="Sylfaen" w:hAnsi="Sylfaen"/>
          <w:sz w:val="24"/>
          <w:szCs w:val="24"/>
        </w:rPr>
        <w:t xml:space="preserve">, </w:t>
      </w:r>
      <w:r w:rsidR="00525AF0" w:rsidRPr="00187789">
        <w:rPr>
          <w:rFonts w:ascii="Sylfaen" w:hAnsi="Sylfaen"/>
          <w:sz w:val="24"/>
          <w:szCs w:val="24"/>
        </w:rPr>
        <w:t>მოსარჩელე მიიჩნევს,</w:t>
      </w:r>
      <w:r w:rsidR="00FB75A6" w:rsidRPr="00187789">
        <w:rPr>
          <w:rFonts w:ascii="Sylfaen" w:hAnsi="Sylfaen"/>
          <w:sz w:val="24"/>
          <w:szCs w:val="24"/>
        </w:rPr>
        <w:t xml:space="preserve"> რომ</w:t>
      </w:r>
      <w:r w:rsidR="00525AF0" w:rsidRPr="00187789">
        <w:rPr>
          <w:rFonts w:ascii="Sylfaen" w:hAnsi="Sylfaen"/>
          <w:sz w:val="24"/>
          <w:szCs w:val="24"/>
        </w:rPr>
        <w:t xml:space="preserve"> იპოთეკის ინსტიტუტის ფარგლებში საკუთრების უფლების რეალი</w:t>
      </w:r>
      <w:r w:rsidR="00CD5211" w:rsidRPr="00187789">
        <w:rPr>
          <w:rFonts w:ascii="Sylfaen" w:hAnsi="Sylfaen"/>
          <w:sz w:val="24"/>
          <w:szCs w:val="24"/>
        </w:rPr>
        <w:t>ზ</w:t>
      </w:r>
      <w:r w:rsidR="00525AF0" w:rsidRPr="00187789">
        <w:rPr>
          <w:rFonts w:ascii="Sylfaen" w:hAnsi="Sylfaen"/>
          <w:sz w:val="24"/>
          <w:szCs w:val="24"/>
        </w:rPr>
        <w:t xml:space="preserve">ება, პირის </w:t>
      </w:r>
      <w:r w:rsidR="00525AF0" w:rsidRPr="00187789">
        <w:rPr>
          <w:rFonts w:ascii="Sylfaen" w:hAnsi="Sylfaen"/>
          <w:sz w:val="24"/>
          <w:szCs w:val="24"/>
          <w:lang w:val="en-US"/>
        </w:rPr>
        <w:t>საკუთრებაში არსებული ქონების ინდივიდის შეხედულებისამებრ</w:t>
      </w:r>
      <w:r w:rsidR="00525AF0" w:rsidRPr="00187789">
        <w:rPr>
          <w:rFonts w:ascii="Sylfaen" w:hAnsi="Sylfaen"/>
          <w:sz w:val="24"/>
          <w:szCs w:val="24"/>
        </w:rPr>
        <w:t xml:space="preserve"> განკარგვა</w:t>
      </w:r>
      <w:r w:rsidR="00525AF0" w:rsidRPr="00187789">
        <w:rPr>
          <w:rFonts w:ascii="Sylfaen" w:hAnsi="Sylfaen"/>
          <w:b/>
          <w:bCs/>
          <w:sz w:val="24"/>
          <w:szCs w:val="24"/>
        </w:rPr>
        <w:t xml:space="preserve"> </w:t>
      </w:r>
      <w:r w:rsidR="00525AF0" w:rsidRPr="00187789">
        <w:rPr>
          <w:rFonts w:ascii="Sylfaen" w:hAnsi="Sylfaen"/>
          <w:sz w:val="24"/>
          <w:szCs w:val="24"/>
        </w:rPr>
        <w:t>არღვევს კონსტიტუციით დაცულ ღირსების უფლებას. უფრო კონკრეტულად კი</w:t>
      </w:r>
      <w:r w:rsidR="0031471C">
        <w:rPr>
          <w:rFonts w:ascii="Sylfaen" w:hAnsi="Sylfaen"/>
          <w:sz w:val="24"/>
          <w:szCs w:val="24"/>
        </w:rPr>
        <w:t>,</w:t>
      </w:r>
      <w:r w:rsidR="00525AF0" w:rsidRPr="00187789">
        <w:rPr>
          <w:rFonts w:ascii="Sylfaen" w:hAnsi="Sylfaen"/>
          <w:sz w:val="24"/>
          <w:szCs w:val="24"/>
        </w:rPr>
        <w:t xml:space="preserve"> მოსარჩელე მიუთითებს, რომ </w:t>
      </w:r>
      <w:r w:rsidR="00525AF0" w:rsidRPr="00187789">
        <w:rPr>
          <w:rFonts w:ascii="Sylfaen" w:hAnsi="Sylfaen"/>
          <w:sz w:val="24"/>
          <w:szCs w:val="24"/>
          <w:lang w:val="en-US"/>
        </w:rPr>
        <w:t xml:space="preserve">უძრავი ქონებით უზრუნველყოფილი სესხის </w:t>
      </w:r>
      <w:r w:rsidR="00525AF0" w:rsidRPr="00187789">
        <w:rPr>
          <w:rFonts w:ascii="Sylfaen" w:hAnsi="Sylfaen"/>
          <w:sz w:val="24"/>
          <w:szCs w:val="24"/>
        </w:rPr>
        <w:t xml:space="preserve">გაცემა უნდა აეკრძალოთ ასევე </w:t>
      </w:r>
      <w:r w:rsidR="003E04DC" w:rsidRPr="00187789">
        <w:rPr>
          <w:rFonts w:ascii="Sylfaen" w:hAnsi="Sylfaen" w:cs="Sylfaen"/>
          <w:color w:val="000000"/>
          <w:sz w:val="24"/>
          <w:szCs w:val="24"/>
          <w:shd w:val="clear" w:color="auto" w:fill="FFFFFF"/>
        </w:rPr>
        <w:t>„საქართველოს ეროვნული ბანკის შესახებ“ საქართველოს ორგანული კანონის შესაბამისად</w:t>
      </w:r>
      <w:r w:rsidR="00272CF6">
        <w:rPr>
          <w:rFonts w:ascii="Sylfaen" w:hAnsi="Sylfaen" w:cs="Sylfaen"/>
          <w:color w:val="000000"/>
          <w:sz w:val="24"/>
          <w:szCs w:val="24"/>
          <w:shd w:val="clear" w:color="auto" w:fill="FFFFFF"/>
          <w:lang w:val="en-US"/>
        </w:rPr>
        <w:t>,</w:t>
      </w:r>
      <w:r w:rsidR="003E04DC" w:rsidRPr="00187789">
        <w:rPr>
          <w:rFonts w:ascii="Sylfaen" w:hAnsi="Sylfaen" w:cs="Sylfaen"/>
          <w:color w:val="000000"/>
          <w:sz w:val="24"/>
          <w:szCs w:val="24"/>
          <w:shd w:val="clear" w:color="auto" w:fill="FFFFFF"/>
        </w:rPr>
        <w:t xml:space="preserve"> საქართველოს ეროვნული ბანკის ზედამხედველობისადმი დაქვემდებარებული კომერციული ბანკის, მიკრობანკის, </w:t>
      </w:r>
      <w:r w:rsidR="003E04DC" w:rsidRPr="00187789">
        <w:rPr>
          <w:rFonts w:ascii="Sylfaen" w:hAnsi="Sylfaen" w:cs="Sylfaen"/>
          <w:color w:val="000000"/>
          <w:sz w:val="24"/>
          <w:szCs w:val="24"/>
          <w:shd w:val="clear" w:color="auto" w:fill="FFFFFF"/>
        </w:rPr>
        <w:lastRenderedPageBreak/>
        <w:t>მიკროსაფინანსო ორგანიზაციის, არასაბანკო სადეპოზიტო დაწესებულების − საკრედიტო კავშირის და სესხის გამცემ სუბიექტებ</w:t>
      </w:r>
      <w:r w:rsidR="00525AF0" w:rsidRPr="00187789">
        <w:rPr>
          <w:rFonts w:ascii="Sylfaen" w:hAnsi="Sylfaen" w:cs="Sylfaen"/>
          <w:color w:val="000000"/>
          <w:sz w:val="24"/>
          <w:szCs w:val="24"/>
          <w:shd w:val="clear" w:color="auto" w:fill="FFFFFF"/>
        </w:rPr>
        <w:t>ს.</w:t>
      </w:r>
      <w:r w:rsidR="00525AF0" w:rsidRPr="000835AA">
        <w:rPr>
          <w:rFonts w:ascii="Sylfaen" w:hAnsi="Sylfaen" w:cs="Sylfaen"/>
          <w:color w:val="000000"/>
          <w:sz w:val="24"/>
          <w:szCs w:val="24"/>
          <w:shd w:val="clear" w:color="auto" w:fill="FFFFFF"/>
        </w:rPr>
        <w:t xml:space="preserve"> </w:t>
      </w:r>
      <w:r w:rsidR="00B54514" w:rsidRPr="000835AA">
        <w:rPr>
          <w:rFonts w:ascii="Sylfaen" w:hAnsi="Sylfaen" w:cs="Sylfaen"/>
          <w:color w:val="000000"/>
          <w:sz w:val="24"/>
          <w:szCs w:val="24"/>
          <w:shd w:val="clear" w:color="auto" w:fill="FFFFFF"/>
        </w:rPr>
        <w:t xml:space="preserve">შესაბამისად, </w:t>
      </w:r>
      <w:r w:rsidR="00031ED1" w:rsidRPr="000835AA">
        <w:rPr>
          <w:rFonts w:ascii="Sylfaen" w:hAnsi="Sylfaen"/>
          <w:bCs/>
          <w:sz w:val="24"/>
          <w:szCs w:val="24"/>
          <w:lang w:val="en-US"/>
        </w:rPr>
        <w:t>თუ მოსარჩელე მიიჩნევს, რომ ქონების იპოთეკით დატვირთვა</w:t>
      </w:r>
      <w:r w:rsidR="00B1661E" w:rsidRPr="000835AA">
        <w:rPr>
          <w:rFonts w:ascii="Sylfaen" w:hAnsi="Sylfaen"/>
          <w:bCs/>
          <w:sz w:val="24"/>
          <w:szCs w:val="24"/>
        </w:rPr>
        <w:t xml:space="preserve"> </w:t>
      </w:r>
      <w:r w:rsidR="00031ED1" w:rsidRPr="000835AA">
        <w:rPr>
          <w:rFonts w:ascii="Sylfaen" w:hAnsi="Sylfaen"/>
          <w:bCs/>
          <w:sz w:val="24"/>
          <w:szCs w:val="24"/>
          <w:lang w:val="en-US"/>
        </w:rPr>
        <w:t>ვალდებულების უზრუნველყოფის მიზნით,</w:t>
      </w:r>
      <w:r w:rsidR="00B54514" w:rsidRPr="000835AA">
        <w:rPr>
          <w:rFonts w:ascii="Sylfaen" w:hAnsi="Sylfaen"/>
          <w:bCs/>
          <w:sz w:val="24"/>
          <w:szCs w:val="24"/>
        </w:rPr>
        <w:t xml:space="preserve"> არათუ საკუთრების უფლებით არ</w:t>
      </w:r>
      <w:r w:rsidR="00FD5483">
        <w:rPr>
          <w:rFonts w:ascii="Sylfaen" w:hAnsi="Sylfaen"/>
          <w:bCs/>
          <w:sz w:val="24"/>
          <w:szCs w:val="24"/>
        </w:rPr>
        <w:t xml:space="preserve"> არის</w:t>
      </w:r>
      <w:r w:rsidR="00B54514" w:rsidRPr="000835AA">
        <w:rPr>
          <w:rFonts w:ascii="Sylfaen" w:hAnsi="Sylfaen"/>
          <w:bCs/>
          <w:sz w:val="24"/>
          <w:szCs w:val="24"/>
        </w:rPr>
        <w:t xml:space="preserve"> დაცული, არამედ იწვევს </w:t>
      </w:r>
      <w:r w:rsidR="00031ED1" w:rsidRPr="000835AA">
        <w:rPr>
          <w:rFonts w:ascii="Sylfaen" w:hAnsi="Sylfaen"/>
          <w:bCs/>
          <w:sz w:val="24"/>
          <w:szCs w:val="24"/>
          <w:lang w:val="en-US"/>
        </w:rPr>
        <w:t>ღირსების უფლების შეზღუდვა</w:t>
      </w:r>
      <w:r w:rsidR="00B54514" w:rsidRPr="000835AA">
        <w:rPr>
          <w:rFonts w:ascii="Sylfaen" w:hAnsi="Sylfaen"/>
          <w:bCs/>
          <w:sz w:val="24"/>
          <w:szCs w:val="24"/>
        </w:rPr>
        <w:t>ს</w:t>
      </w:r>
      <w:r w:rsidR="00A10CEB" w:rsidRPr="000835AA">
        <w:rPr>
          <w:rFonts w:ascii="Sylfaen" w:hAnsi="Sylfaen"/>
          <w:bCs/>
          <w:sz w:val="24"/>
          <w:szCs w:val="24"/>
        </w:rPr>
        <w:t>,</w:t>
      </w:r>
      <w:r w:rsidR="00B54514" w:rsidRPr="000835AA">
        <w:rPr>
          <w:rFonts w:ascii="Sylfaen" w:hAnsi="Sylfaen"/>
          <w:bCs/>
          <w:sz w:val="24"/>
          <w:szCs w:val="24"/>
        </w:rPr>
        <w:t xml:space="preserve"> იგ</w:t>
      </w:r>
      <w:r w:rsidR="00031ED1" w:rsidRPr="000835AA">
        <w:rPr>
          <w:rFonts w:ascii="Sylfaen" w:hAnsi="Sylfaen"/>
          <w:bCs/>
          <w:sz w:val="24"/>
          <w:szCs w:val="24"/>
          <w:lang w:val="en-US"/>
        </w:rPr>
        <w:t>ი ვალდებულია</w:t>
      </w:r>
      <w:r w:rsidR="00FD5483">
        <w:rPr>
          <w:rFonts w:ascii="Sylfaen" w:hAnsi="Sylfaen"/>
          <w:bCs/>
          <w:sz w:val="24"/>
          <w:szCs w:val="24"/>
        </w:rPr>
        <w:t>,</w:t>
      </w:r>
      <w:r w:rsidR="00031ED1" w:rsidRPr="000835AA">
        <w:rPr>
          <w:rFonts w:ascii="Sylfaen" w:hAnsi="Sylfaen"/>
          <w:bCs/>
          <w:sz w:val="24"/>
          <w:szCs w:val="24"/>
          <w:lang w:val="en-US"/>
        </w:rPr>
        <w:t xml:space="preserve"> საკონსტიტუციო სასამართლოს წარუდგინოს შესაბამისი სამართლებრივი არგუმენტაცია</w:t>
      </w:r>
      <w:r w:rsidR="0047153C">
        <w:rPr>
          <w:rFonts w:ascii="Sylfaen" w:hAnsi="Sylfaen"/>
          <w:bCs/>
          <w:sz w:val="24"/>
          <w:szCs w:val="24"/>
        </w:rPr>
        <w:t xml:space="preserve">. </w:t>
      </w:r>
      <w:r w:rsidR="0047153C" w:rsidRPr="000835AA">
        <w:rPr>
          <w:rFonts w:ascii="Sylfaen" w:hAnsi="Sylfaen" w:cs="Sylfaen"/>
          <w:color w:val="000000"/>
          <w:sz w:val="24"/>
          <w:szCs w:val="24"/>
          <w:shd w:val="clear" w:color="auto" w:fill="FFFFFF"/>
        </w:rPr>
        <w:t>მოსარჩელე მხარე საერთოდ არ ასაბუთებს, თუ რა ფორმით ზღუდავს კონსტიტუციით დაცული</w:t>
      </w:r>
      <w:r w:rsidR="0047153C" w:rsidRPr="000835AA">
        <w:rPr>
          <w:rFonts w:ascii="Sylfaen" w:hAnsi="Sylfaen" w:cs="Sylfaen"/>
          <w:color w:val="000000"/>
          <w:sz w:val="24"/>
          <w:szCs w:val="24"/>
          <w:shd w:val="clear" w:color="auto" w:fill="FFFFFF"/>
          <w:lang w:val="en-US"/>
        </w:rPr>
        <w:t xml:space="preserve"> </w:t>
      </w:r>
      <w:r w:rsidR="0047153C" w:rsidRPr="000835AA">
        <w:rPr>
          <w:rFonts w:ascii="Sylfaen" w:hAnsi="Sylfaen" w:cs="Sylfaen"/>
          <w:color w:val="000000"/>
          <w:sz w:val="24"/>
          <w:szCs w:val="24"/>
          <w:shd w:val="clear" w:color="auto" w:fill="FFFFFF"/>
        </w:rPr>
        <w:t>საკუთრების უფლების რეალიზება ღირსების უფლებას.</w:t>
      </w:r>
    </w:p>
    <w:p w14:paraId="68BF57E9" w14:textId="188123E1" w:rsidR="00D05DBC" w:rsidRPr="00187789" w:rsidRDefault="00D05DBC" w:rsidP="00D87CDC">
      <w:pPr>
        <w:pStyle w:val="ListParagraph"/>
        <w:numPr>
          <w:ilvl w:val="0"/>
          <w:numId w:val="2"/>
        </w:numPr>
        <w:spacing w:after="0" w:line="276" w:lineRule="auto"/>
        <w:ind w:left="0" w:firstLine="284"/>
        <w:jc w:val="both"/>
        <w:rPr>
          <w:rFonts w:ascii="Sylfaen" w:hAnsi="Sylfaen"/>
          <w:b/>
          <w:bCs/>
          <w:sz w:val="24"/>
          <w:szCs w:val="24"/>
          <w:lang w:val="en-US"/>
        </w:rPr>
      </w:pPr>
      <w:r w:rsidRPr="00187789">
        <w:rPr>
          <w:rFonts w:ascii="Sylfaen" w:hAnsi="Sylfaen"/>
          <w:sz w:val="24"/>
          <w:szCs w:val="24"/>
          <w:shd w:val="clear" w:color="auto" w:fill="FFFFFF"/>
          <w:lang w:val="en-US"/>
        </w:rPr>
        <w:t>ყ</w:t>
      </w:r>
      <w:r w:rsidRPr="00187789">
        <w:rPr>
          <w:rFonts w:ascii="Sylfaen" w:hAnsi="Sylfaen"/>
          <w:bCs/>
          <w:sz w:val="24"/>
          <w:szCs w:val="24"/>
          <w:lang w:val="en-US"/>
        </w:rPr>
        <w:t>ოველივე ზემოაღნიშნულიდან გამომდინარე, საქართველოს საკონსტიტუციო სასამ</w:t>
      </w:r>
      <w:r w:rsidRPr="007168B1">
        <w:rPr>
          <w:rFonts w:ascii="Sylfaen" w:hAnsi="Sylfaen"/>
          <w:bCs/>
          <w:sz w:val="24"/>
          <w:szCs w:val="24"/>
          <w:lang w:val="en-US"/>
        </w:rPr>
        <w:t>ართლო</w:t>
      </w:r>
      <w:r w:rsidRPr="00187789">
        <w:rPr>
          <w:rFonts w:ascii="Sylfaen" w:hAnsi="Sylfaen"/>
          <w:bCs/>
          <w:sz w:val="24"/>
          <w:szCs w:val="24"/>
          <w:lang w:val="en-US"/>
        </w:rPr>
        <w:t xml:space="preserve"> მიიჩნევს, რომ №1894 კონსტიტუციური სარჩელი, სასარჩელო მოთხოვნის იმ ნაწილში, რომელიც შეეხება საქართველოს სამოქალაქო კოდექსის 286-ე მუხლის მე-4 ნაწილის კონსტიტუციურობას საქართველოს კონსტიტუციის მე-9 მუხლის პირველ პუნქტთან მიმართებით</w:t>
      </w:r>
      <w:r w:rsidR="00FD5483">
        <w:rPr>
          <w:rFonts w:ascii="Sylfaen" w:hAnsi="Sylfaen"/>
          <w:bCs/>
          <w:sz w:val="24"/>
          <w:szCs w:val="24"/>
        </w:rPr>
        <w:t>,</w:t>
      </w:r>
      <w:r w:rsidRPr="00187789">
        <w:rPr>
          <w:rFonts w:ascii="Sylfaen" w:hAnsi="Sylfaen"/>
          <w:bCs/>
          <w:sz w:val="24"/>
          <w:szCs w:val="24"/>
          <w:lang w:val="en-US"/>
        </w:rPr>
        <w:t xml:space="preserve"> დაუსაბუთებელია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w:t>
      </w:r>
      <w:r w:rsidRPr="00187789">
        <w:rPr>
          <w:rFonts w:ascii="Sylfaen" w:hAnsi="Sylfaen"/>
          <w:bCs/>
          <w:color w:val="000000" w:themeColor="text1"/>
          <w:sz w:val="24"/>
          <w:szCs w:val="24"/>
          <w:lang w:val="en-US"/>
        </w:rPr>
        <w:t>შესახებ“ საქართველოს ორგანული კანონის 31</w:t>
      </w:r>
      <w:r w:rsidRPr="00187789">
        <w:rPr>
          <w:rFonts w:ascii="Sylfaen" w:hAnsi="Sylfaen"/>
          <w:bCs/>
          <w:color w:val="000000" w:themeColor="text1"/>
          <w:sz w:val="24"/>
          <w:szCs w:val="24"/>
          <w:vertAlign w:val="superscript"/>
          <w:lang w:val="en-US"/>
        </w:rPr>
        <w:t>1</w:t>
      </w:r>
      <w:r w:rsidRPr="00187789">
        <w:rPr>
          <w:rFonts w:ascii="Sylfaen" w:hAnsi="Sylfaen"/>
          <w:bCs/>
          <w:color w:val="000000" w:themeColor="text1"/>
          <w:sz w:val="24"/>
          <w:szCs w:val="24"/>
          <w:lang w:val="en-US"/>
        </w:rPr>
        <w:t xml:space="preserve"> მუხლის პირველი პუნქტის „ე“ ქვეპუნქტითა და 31</w:t>
      </w:r>
      <w:r w:rsidRPr="00187789">
        <w:rPr>
          <w:rFonts w:ascii="Sylfaen" w:hAnsi="Sylfaen"/>
          <w:bCs/>
          <w:color w:val="000000" w:themeColor="text1"/>
          <w:sz w:val="24"/>
          <w:szCs w:val="24"/>
          <w:vertAlign w:val="superscript"/>
          <w:lang w:val="en-US"/>
        </w:rPr>
        <w:t>3</w:t>
      </w:r>
      <w:r w:rsidRPr="00187789">
        <w:rPr>
          <w:rFonts w:ascii="Sylfaen" w:hAnsi="Sylfaen"/>
          <w:bCs/>
          <w:color w:val="000000" w:themeColor="text1"/>
          <w:sz w:val="24"/>
          <w:szCs w:val="24"/>
          <w:lang w:val="en-US"/>
        </w:rPr>
        <w:t xml:space="preserve"> მუხლის პირველი პუნქტის „ა“ ქვეპუნქტით გათვალისწინებული საფუძვლები.</w:t>
      </w:r>
    </w:p>
    <w:p w14:paraId="314D2830" w14:textId="493350F7" w:rsidR="00B1661E" w:rsidRPr="00CA6B63" w:rsidRDefault="00693F3C" w:rsidP="00CA6B63">
      <w:pPr>
        <w:pStyle w:val="ListParagraph"/>
        <w:numPr>
          <w:ilvl w:val="0"/>
          <w:numId w:val="2"/>
        </w:numPr>
        <w:spacing w:after="0" w:line="276" w:lineRule="auto"/>
        <w:ind w:left="0" w:firstLine="284"/>
        <w:jc w:val="both"/>
        <w:rPr>
          <w:rFonts w:ascii="Sylfaen" w:hAnsi="Sylfaen"/>
          <w:b/>
          <w:bCs/>
          <w:sz w:val="24"/>
          <w:szCs w:val="24"/>
          <w:lang w:val="en-US"/>
        </w:rPr>
      </w:pPr>
      <w:r w:rsidRPr="00CA6B63">
        <w:rPr>
          <w:rFonts w:ascii="Sylfaen" w:hAnsi="Sylfaen"/>
          <w:color w:val="000000"/>
          <w:sz w:val="24"/>
          <w:szCs w:val="24"/>
          <w:shd w:val="clear" w:color="auto" w:fill="FFFFFF"/>
          <w:lang w:val="en-US"/>
        </w:rPr>
        <w:t xml:space="preserve">№1894 </w:t>
      </w:r>
      <w:r w:rsidRPr="00CA6B63">
        <w:rPr>
          <w:rFonts w:ascii="Sylfaen" w:hAnsi="Sylfaen" w:cs="Sylfaen"/>
          <w:color w:val="000000"/>
          <w:sz w:val="24"/>
          <w:szCs w:val="24"/>
          <w:shd w:val="clear" w:color="auto" w:fill="FFFFFF"/>
          <w:lang w:val="en-US"/>
        </w:rPr>
        <w:t>კონსტიტუციური</w:t>
      </w:r>
      <w:r w:rsidRPr="00CA6B63">
        <w:rPr>
          <w:rFonts w:ascii="Sylfaen" w:hAnsi="Sylfaen"/>
          <w:color w:val="000000"/>
          <w:sz w:val="24"/>
          <w:szCs w:val="24"/>
          <w:shd w:val="clear" w:color="auto" w:fill="FFFFFF"/>
          <w:lang w:val="en-US"/>
        </w:rPr>
        <w:t xml:space="preserve"> </w:t>
      </w:r>
      <w:r w:rsidRPr="00CA6B63">
        <w:rPr>
          <w:rFonts w:ascii="Sylfaen" w:hAnsi="Sylfaen" w:cs="Sylfaen"/>
          <w:color w:val="000000"/>
          <w:sz w:val="24"/>
          <w:szCs w:val="24"/>
          <w:shd w:val="clear" w:color="auto" w:fill="FFFFFF"/>
          <w:lang w:val="en-US"/>
        </w:rPr>
        <w:t>სარჩელი</w:t>
      </w:r>
      <w:r w:rsidR="00993B23" w:rsidRPr="00CA6B63">
        <w:rPr>
          <w:rFonts w:ascii="Sylfaen" w:hAnsi="Sylfaen"/>
          <w:color w:val="000000"/>
          <w:sz w:val="24"/>
          <w:szCs w:val="24"/>
          <w:shd w:val="clear" w:color="auto" w:fill="FFFFFF"/>
        </w:rPr>
        <w:t>თ</w:t>
      </w:r>
      <w:r w:rsidRPr="00CA6B63">
        <w:rPr>
          <w:rFonts w:ascii="Sylfaen" w:hAnsi="Sylfaen" w:cs="Sylfaen"/>
          <w:color w:val="000000"/>
          <w:sz w:val="24"/>
          <w:szCs w:val="24"/>
          <w:shd w:val="clear" w:color="auto" w:fill="FFFFFF"/>
          <w:lang w:val="en-US"/>
        </w:rPr>
        <w:t xml:space="preserve">, </w:t>
      </w:r>
      <w:r w:rsidRPr="00CA6B63">
        <w:rPr>
          <w:rFonts w:ascii="Sylfaen" w:hAnsi="Sylfaen"/>
          <w:sz w:val="24"/>
          <w:szCs w:val="24"/>
          <w:lang w:val="en-US"/>
        </w:rPr>
        <w:t xml:space="preserve">ასევე </w:t>
      </w:r>
      <w:r w:rsidR="0066613B" w:rsidRPr="00CA6B63">
        <w:rPr>
          <w:rFonts w:ascii="Sylfaen" w:hAnsi="Sylfaen"/>
          <w:sz w:val="24"/>
          <w:szCs w:val="24"/>
        </w:rPr>
        <w:t>სადავოდაა გამხდარი</w:t>
      </w:r>
      <w:r w:rsidRPr="00CA6B63">
        <w:rPr>
          <w:rFonts w:ascii="Sylfaen" w:hAnsi="Sylfaen"/>
          <w:sz w:val="24"/>
          <w:szCs w:val="24"/>
          <w:lang w:val="en-US"/>
        </w:rPr>
        <w:t xml:space="preserve"> </w:t>
      </w:r>
      <w:r w:rsidRPr="00CA6B63">
        <w:rPr>
          <w:rFonts w:ascii="Sylfaen" w:hAnsi="Sylfaen" w:cs="Sylfaen"/>
          <w:bCs/>
          <w:sz w:val="24"/>
          <w:szCs w:val="24"/>
          <w:lang w:val="en-US"/>
        </w:rPr>
        <w:t>საქართველოს</w:t>
      </w:r>
      <w:r w:rsidRPr="00CA6B63">
        <w:rPr>
          <w:rFonts w:ascii="Sylfaen" w:hAnsi="Sylfaen"/>
          <w:bCs/>
          <w:sz w:val="24"/>
          <w:szCs w:val="24"/>
          <w:lang w:val="en-US"/>
        </w:rPr>
        <w:t xml:space="preserve"> სამოქალაქო კოდექსის 286-ე მუხლის მე-5 ნაწილი</w:t>
      </w:r>
      <w:r w:rsidR="0066613B" w:rsidRPr="00CA6B63">
        <w:rPr>
          <w:rFonts w:ascii="Sylfaen" w:hAnsi="Sylfaen"/>
          <w:bCs/>
          <w:sz w:val="24"/>
          <w:szCs w:val="24"/>
        </w:rPr>
        <w:t>ს კონსტიტუციურობა</w:t>
      </w:r>
      <w:r w:rsidRPr="00CA6B63">
        <w:rPr>
          <w:rFonts w:ascii="Sylfaen" w:hAnsi="Sylfaen"/>
          <w:bCs/>
          <w:sz w:val="24"/>
          <w:szCs w:val="24"/>
          <w:lang w:val="en-US"/>
        </w:rPr>
        <w:t xml:space="preserve"> საქართველოს კონსტიტუციის მე-11 მუხლის პირველი პუნქტის პირველ წინადადებასთან მიმართებით</w:t>
      </w:r>
      <w:r w:rsidRPr="00CA6B63">
        <w:rPr>
          <w:rFonts w:ascii="Sylfaen" w:hAnsi="Sylfaen"/>
          <w:bCs/>
          <w:sz w:val="24"/>
          <w:szCs w:val="24"/>
        </w:rPr>
        <w:t>.</w:t>
      </w:r>
    </w:p>
    <w:p w14:paraId="58F0AB0F" w14:textId="79782170" w:rsidR="00942A8A" w:rsidRPr="00187789" w:rsidRDefault="00942A8A">
      <w:pPr>
        <w:pStyle w:val="ListParagraph"/>
        <w:numPr>
          <w:ilvl w:val="0"/>
          <w:numId w:val="2"/>
        </w:numPr>
        <w:spacing w:after="0" w:line="276" w:lineRule="auto"/>
        <w:ind w:left="0" w:firstLine="284"/>
        <w:jc w:val="both"/>
        <w:rPr>
          <w:rFonts w:ascii="Sylfaen" w:hAnsi="Sylfaen"/>
          <w:b/>
          <w:bCs/>
          <w:color w:val="000000" w:themeColor="text1"/>
          <w:sz w:val="24"/>
          <w:szCs w:val="24"/>
          <w:lang w:val="en-US"/>
        </w:rPr>
      </w:pPr>
      <w:r w:rsidRPr="00187789">
        <w:rPr>
          <w:rFonts w:ascii="Sylfaen" w:hAnsi="Sylfaen" w:cs="Sylfaen"/>
          <w:sz w:val="24"/>
          <w:szCs w:val="24"/>
          <w:lang w:val="en-US"/>
        </w:rPr>
        <w:t>საქართველოს</w:t>
      </w:r>
      <w:r w:rsidRPr="00187789">
        <w:rPr>
          <w:rFonts w:ascii="Sylfaen" w:hAnsi="Sylfaen"/>
          <w:sz w:val="24"/>
          <w:szCs w:val="24"/>
          <w:lang w:val="en-US"/>
        </w:rPr>
        <w:t xml:space="preserve"> კონსტიტუციის მე-11 მუხლის პირველი პუნქტის პირველი წინადადების მიხედვით, „ყველა ადამიანი სამართლის წინაშე თანასწორია“. საქართველოს საკონსტიტუციო სასამართლოს განმარტებით, სამართლის წინაშე თანასწორობის ფუნდამენტური უფლების დამდგენი აღნიშნული დებულება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 </w:t>
      </w:r>
      <w:r w:rsidR="00E23C0C" w:rsidRPr="00187789">
        <w:rPr>
          <w:rFonts w:ascii="Sylfaen" w:hAnsi="Sylfaen"/>
          <w:color w:val="000000" w:themeColor="text1"/>
          <w:sz w:val="24"/>
          <w:szCs w:val="24"/>
        </w:rPr>
        <w:t xml:space="preserve">სადავო ნორმის საქართველოს კონსტიტუციის მე-11 მუხლის პირველ პუნქტთან მიმართების წარმოსაჩენად, </w:t>
      </w:r>
      <w:r w:rsidR="006F2F36" w:rsidRPr="00187789">
        <w:rPr>
          <w:rFonts w:ascii="Sylfaen" w:hAnsi="Sylfaen"/>
          <w:color w:val="000000" w:themeColor="text1"/>
          <w:sz w:val="24"/>
          <w:szCs w:val="24"/>
        </w:rPr>
        <w:t xml:space="preserve">მოსარჩელე ვალდებულია, დაასაბუთოს, რომ </w:t>
      </w:r>
      <w:r w:rsidR="00666EE4" w:rsidRPr="00187789">
        <w:rPr>
          <w:rFonts w:ascii="Sylfaen" w:hAnsi="Sylfaen"/>
          <w:color w:val="000000" w:themeColor="text1"/>
          <w:sz w:val="24"/>
          <w:szCs w:val="24"/>
        </w:rPr>
        <w:t>სადავო ნორმა მას, სხვა არსებითად თანასწორ პირებთან შედარებით, დიფერენცირებულ მდგომარეობაში აქცევს.</w:t>
      </w:r>
    </w:p>
    <w:p w14:paraId="35069D18" w14:textId="06779F52" w:rsidR="00563B30" w:rsidRPr="00563B30" w:rsidRDefault="00CA6B63" w:rsidP="00563B30">
      <w:pPr>
        <w:pStyle w:val="ListParagraph"/>
        <w:numPr>
          <w:ilvl w:val="0"/>
          <w:numId w:val="2"/>
        </w:numPr>
        <w:spacing w:after="0" w:line="276" w:lineRule="auto"/>
        <w:ind w:left="0" w:firstLine="284"/>
        <w:jc w:val="both"/>
        <w:rPr>
          <w:rFonts w:ascii="Sylfaen" w:hAnsi="Sylfaen"/>
          <w:bCs/>
          <w:color w:val="000000" w:themeColor="text1"/>
          <w:sz w:val="24"/>
          <w:szCs w:val="24"/>
          <w:lang w:val="en-US"/>
        </w:rPr>
      </w:pPr>
      <w:r>
        <w:rPr>
          <w:rFonts w:ascii="Sylfaen" w:hAnsi="Sylfaen" w:cs="Sylfaen"/>
          <w:bCs/>
          <w:sz w:val="24"/>
          <w:szCs w:val="24"/>
        </w:rPr>
        <w:lastRenderedPageBreak/>
        <w:t xml:space="preserve">როგორც აღინიშნა, </w:t>
      </w:r>
      <w:r w:rsidR="00410102" w:rsidRPr="002066E3">
        <w:rPr>
          <w:rFonts w:ascii="Sylfaen" w:hAnsi="Sylfaen" w:cs="Sylfaen"/>
          <w:bCs/>
          <w:sz w:val="24"/>
          <w:szCs w:val="24"/>
        </w:rPr>
        <w:t>სადავო</w:t>
      </w:r>
      <w:r w:rsidR="00410102" w:rsidRPr="002066E3">
        <w:rPr>
          <w:rFonts w:ascii="Sylfaen" w:hAnsi="Sylfaen"/>
          <w:bCs/>
          <w:sz w:val="24"/>
          <w:szCs w:val="24"/>
        </w:rPr>
        <w:t xml:space="preserve"> ნორმის თანახმად</w:t>
      </w:r>
      <w:r w:rsidR="00410102" w:rsidRPr="002066E3">
        <w:rPr>
          <w:rFonts w:ascii="Sylfaen" w:hAnsi="Sylfaen"/>
          <w:bCs/>
          <w:sz w:val="24"/>
          <w:szCs w:val="24"/>
          <w:lang w:val="en-US"/>
        </w:rPr>
        <w:t xml:space="preserve">, </w:t>
      </w:r>
      <w:r w:rsidR="00410102" w:rsidRPr="002066E3">
        <w:rPr>
          <w:rFonts w:ascii="Sylfaen" w:hAnsi="Sylfaen" w:cs="Sylfaen"/>
          <w:bCs/>
          <w:sz w:val="24"/>
          <w:szCs w:val="24"/>
          <w:lang w:val="en-US"/>
        </w:rPr>
        <w:t>საქართველოს</w:t>
      </w:r>
      <w:r w:rsidR="00410102" w:rsidRPr="002066E3">
        <w:rPr>
          <w:rFonts w:ascii="Sylfaen" w:hAnsi="Sylfaen"/>
          <w:bCs/>
          <w:sz w:val="24"/>
          <w:szCs w:val="24"/>
          <w:lang w:val="en-US"/>
        </w:rPr>
        <w:t xml:space="preserve"> სამოქალაქო კოდექსის </w:t>
      </w:r>
      <w:r w:rsidR="00410102" w:rsidRPr="002066E3">
        <w:rPr>
          <w:rFonts w:ascii="Sylfaen" w:hAnsi="Sylfaen"/>
          <w:bCs/>
          <w:sz w:val="24"/>
          <w:szCs w:val="24"/>
        </w:rPr>
        <w:t xml:space="preserve">286-ე მუხლის მე-4 </w:t>
      </w:r>
      <w:r w:rsidR="008924CE">
        <w:rPr>
          <w:rFonts w:ascii="Sylfaen" w:hAnsi="Sylfaen"/>
          <w:bCs/>
          <w:sz w:val="24"/>
          <w:szCs w:val="24"/>
        </w:rPr>
        <w:t>ნაწილით</w:t>
      </w:r>
      <w:r w:rsidR="00410102" w:rsidRPr="002066E3">
        <w:rPr>
          <w:rFonts w:ascii="Sylfaen" w:hAnsi="Sylfaen"/>
          <w:bCs/>
          <w:sz w:val="24"/>
          <w:szCs w:val="24"/>
        </w:rPr>
        <w:t xml:space="preserve"> გათვალისწინებული საგამონაკლისო წესი არ ვრცელდება სპეციალურ, </w:t>
      </w:r>
      <w:r w:rsidR="00410102" w:rsidRPr="002066E3">
        <w:rPr>
          <w:rFonts w:ascii="Sylfaen" w:hAnsi="Sylfaen"/>
          <w:bCs/>
          <w:sz w:val="24"/>
          <w:szCs w:val="24"/>
          <w:lang w:val="en-US"/>
        </w:rPr>
        <w:t>საქართველოს ეროვნული ბანკის ზედამხედველობისადმი დაქვემდებარებულ</w:t>
      </w:r>
      <w:r w:rsidR="00410102" w:rsidRPr="002066E3">
        <w:rPr>
          <w:rFonts w:ascii="Sylfaen" w:hAnsi="Sylfaen"/>
          <w:bCs/>
          <w:sz w:val="24"/>
          <w:szCs w:val="24"/>
        </w:rPr>
        <w:t xml:space="preserve"> სუბიექტებზე. </w:t>
      </w:r>
      <w:r w:rsidR="00E23C0C" w:rsidRPr="00187789">
        <w:rPr>
          <w:rFonts w:ascii="Sylfaen" w:hAnsi="Sylfaen"/>
          <w:sz w:val="24"/>
          <w:szCs w:val="24"/>
          <w:lang w:val="en-US"/>
        </w:rPr>
        <w:t>№</w:t>
      </w:r>
      <w:r w:rsidR="00E23C0C" w:rsidRPr="00187789">
        <w:rPr>
          <w:rFonts w:ascii="Sylfaen" w:hAnsi="Sylfaen"/>
          <w:sz w:val="24"/>
          <w:szCs w:val="24"/>
        </w:rPr>
        <w:t xml:space="preserve">1894 კონსტიტუციური სარჩელის თანახმად, </w:t>
      </w:r>
      <w:r w:rsidR="00F101A3" w:rsidRPr="00187789">
        <w:rPr>
          <w:rFonts w:ascii="Sylfaen" w:hAnsi="Sylfaen"/>
          <w:bCs/>
          <w:color w:val="000000" w:themeColor="text1"/>
          <w:sz w:val="24"/>
          <w:szCs w:val="24"/>
        </w:rPr>
        <w:t>შესადარებელ ჯგუფებს წარმოადგენენ</w:t>
      </w:r>
      <w:r w:rsidR="000253A5" w:rsidRPr="00187789">
        <w:rPr>
          <w:rFonts w:ascii="Sylfaen" w:hAnsi="Sylfaen"/>
          <w:bCs/>
          <w:color w:val="000000" w:themeColor="text1"/>
          <w:sz w:val="24"/>
          <w:szCs w:val="24"/>
        </w:rPr>
        <w:t>,</w:t>
      </w:r>
      <w:r w:rsidR="004A6572" w:rsidRPr="00187789">
        <w:rPr>
          <w:rFonts w:ascii="Sylfaen" w:hAnsi="Sylfaen"/>
          <w:bCs/>
          <w:color w:val="000000" w:themeColor="text1"/>
          <w:sz w:val="24"/>
          <w:szCs w:val="24"/>
        </w:rPr>
        <w:t xml:space="preserve"> ერთი მხრივ, ფიზიკური პირები, რომლებსაც არ შეუძლიათ</w:t>
      </w:r>
      <w:r w:rsidR="00FD5483">
        <w:rPr>
          <w:rFonts w:ascii="Sylfaen" w:hAnsi="Sylfaen"/>
          <w:bCs/>
          <w:color w:val="000000" w:themeColor="text1"/>
          <w:sz w:val="24"/>
          <w:szCs w:val="24"/>
        </w:rPr>
        <w:t>,</w:t>
      </w:r>
      <w:r w:rsidR="004A6572" w:rsidRPr="00187789">
        <w:rPr>
          <w:rFonts w:ascii="Sylfaen" w:hAnsi="Sylfaen"/>
          <w:bCs/>
          <w:color w:val="000000" w:themeColor="text1"/>
          <w:sz w:val="24"/>
          <w:szCs w:val="24"/>
        </w:rPr>
        <w:t xml:space="preserve"> უზრუნველყოფის მიზნით გამოიყენონ </w:t>
      </w:r>
      <w:r>
        <w:rPr>
          <w:rFonts w:ascii="Sylfaen" w:hAnsi="Sylfaen"/>
          <w:bCs/>
          <w:color w:val="000000" w:themeColor="text1"/>
          <w:sz w:val="24"/>
          <w:szCs w:val="24"/>
        </w:rPr>
        <w:t>ფიზიკური პირის</w:t>
      </w:r>
      <w:r w:rsidR="004A6572" w:rsidRPr="00187789">
        <w:rPr>
          <w:rFonts w:ascii="Sylfaen" w:hAnsi="Sylfaen"/>
          <w:bCs/>
          <w:color w:val="000000" w:themeColor="text1"/>
          <w:sz w:val="24"/>
          <w:szCs w:val="24"/>
        </w:rPr>
        <w:t xml:space="preserve"> საკუთრებაში არსებული უძრავი ქონება</w:t>
      </w:r>
      <w:r w:rsidR="00FD5483">
        <w:rPr>
          <w:rFonts w:ascii="Sylfaen" w:hAnsi="Sylfaen"/>
          <w:bCs/>
          <w:color w:val="000000" w:themeColor="text1"/>
          <w:sz w:val="24"/>
          <w:szCs w:val="24"/>
        </w:rPr>
        <w:t>.</w:t>
      </w:r>
      <w:r>
        <w:rPr>
          <w:rFonts w:ascii="Sylfaen" w:hAnsi="Sylfaen"/>
          <w:bCs/>
          <w:color w:val="000000" w:themeColor="text1"/>
          <w:sz w:val="24"/>
          <w:szCs w:val="24"/>
        </w:rPr>
        <w:t xml:space="preserve"> ხოლო,</w:t>
      </w:r>
      <w:r w:rsidR="004A6572" w:rsidRPr="00187789">
        <w:rPr>
          <w:rFonts w:ascii="Sylfaen" w:hAnsi="Sylfaen"/>
          <w:bCs/>
          <w:color w:val="000000" w:themeColor="text1"/>
          <w:sz w:val="24"/>
          <w:szCs w:val="24"/>
        </w:rPr>
        <w:t xml:space="preserve"> მეორე მხრივ, იურიდიული პირები</w:t>
      </w:r>
      <w:r>
        <w:rPr>
          <w:rFonts w:ascii="Sylfaen" w:hAnsi="Sylfaen"/>
          <w:bCs/>
          <w:color w:val="000000" w:themeColor="text1"/>
          <w:sz w:val="24"/>
          <w:szCs w:val="24"/>
        </w:rPr>
        <w:t xml:space="preserve"> (კანონით განსაზღვრული სპეციალური სუბიექტები)</w:t>
      </w:r>
      <w:r w:rsidR="004A6572" w:rsidRPr="00187789">
        <w:rPr>
          <w:rFonts w:ascii="Sylfaen" w:hAnsi="Sylfaen"/>
          <w:bCs/>
          <w:color w:val="000000" w:themeColor="text1"/>
          <w:sz w:val="24"/>
          <w:szCs w:val="24"/>
        </w:rPr>
        <w:t xml:space="preserve">, რომლებსაც </w:t>
      </w:r>
      <w:r>
        <w:rPr>
          <w:rFonts w:ascii="Sylfaen" w:hAnsi="Sylfaen"/>
          <w:bCs/>
          <w:color w:val="000000" w:themeColor="text1"/>
          <w:sz w:val="24"/>
          <w:szCs w:val="24"/>
        </w:rPr>
        <w:t>არ ეკრძალებათ იგივე</w:t>
      </w:r>
      <w:r w:rsidR="004A6572" w:rsidRPr="00187789">
        <w:rPr>
          <w:rFonts w:ascii="Sylfaen" w:hAnsi="Sylfaen"/>
          <w:bCs/>
          <w:color w:val="000000" w:themeColor="text1"/>
          <w:sz w:val="24"/>
          <w:szCs w:val="24"/>
        </w:rPr>
        <w:t xml:space="preserve"> ქმედების განხორციელების შესაძლებლობა.</w:t>
      </w:r>
      <w:r w:rsidR="000B0501" w:rsidRPr="00187789">
        <w:rPr>
          <w:rFonts w:ascii="Sylfaen" w:hAnsi="Sylfaen"/>
          <w:bCs/>
          <w:color w:val="000000" w:themeColor="text1"/>
          <w:sz w:val="24"/>
          <w:szCs w:val="24"/>
        </w:rPr>
        <w:t xml:space="preserve"> </w:t>
      </w:r>
      <w:r w:rsidR="00B4291D" w:rsidRPr="00187789">
        <w:rPr>
          <w:rFonts w:ascii="Sylfaen" w:hAnsi="Sylfaen"/>
          <w:bCs/>
          <w:color w:val="000000" w:themeColor="text1"/>
          <w:sz w:val="24"/>
          <w:szCs w:val="24"/>
        </w:rPr>
        <w:t>კონსტიტუციურ სარჩელზე თანდართული მასალებით დგინდება, რომ</w:t>
      </w:r>
      <w:r w:rsidR="00501576" w:rsidRPr="00187789">
        <w:rPr>
          <w:rFonts w:ascii="Sylfaen" w:hAnsi="Sylfaen"/>
          <w:bCs/>
          <w:color w:val="000000" w:themeColor="text1"/>
          <w:sz w:val="24"/>
          <w:szCs w:val="24"/>
        </w:rPr>
        <w:t xml:space="preserve"> მოსარჩელე არის</w:t>
      </w:r>
      <w:r w:rsidR="00E83769">
        <w:rPr>
          <w:rFonts w:ascii="Sylfaen" w:hAnsi="Sylfaen"/>
          <w:bCs/>
          <w:color w:val="000000" w:themeColor="text1"/>
          <w:sz w:val="24"/>
          <w:szCs w:val="24"/>
        </w:rPr>
        <w:t xml:space="preserve"> ფიზიკური</w:t>
      </w:r>
      <w:r w:rsidR="00501576" w:rsidRPr="00187789">
        <w:rPr>
          <w:rFonts w:ascii="Sylfaen" w:hAnsi="Sylfaen"/>
          <w:bCs/>
          <w:color w:val="000000" w:themeColor="text1"/>
          <w:sz w:val="24"/>
          <w:szCs w:val="24"/>
        </w:rPr>
        <w:t xml:space="preserve"> პირი, რომლის საკუთრებაში არსებული ქონებაც დატვირთულია იპოთეკის უფლებით მესამე პირის (იურიდიული პირის) სასესხო ვალდებულების უზრუნველსაყოფად. </w:t>
      </w:r>
      <w:r w:rsidR="00A909EC" w:rsidRPr="00187789">
        <w:rPr>
          <w:rFonts w:ascii="Sylfaen" w:hAnsi="Sylfaen"/>
          <w:bCs/>
          <w:color w:val="000000" w:themeColor="text1"/>
          <w:sz w:val="24"/>
          <w:szCs w:val="24"/>
        </w:rPr>
        <w:t>როგორც აღინიშნა,</w:t>
      </w:r>
      <w:r w:rsidR="00A909EC" w:rsidRPr="00187789">
        <w:rPr>
          <w:rFonts w:ascii="Sylfaen" w:hAnsi="Sylfaen"/>
          <w:bCs/>
          <w:color w:val="000000" w:themeColor="text1"/>
          <w:sz w:val="24"/>
          <w:szCs w:val="24"/>
          <w:lang w:val="en-US"/>
        </w:rPr>
        <w:t xml:space="preserve"> სადავოდ გამხდარი ნორმები ეხება სესხის გამცემ სუბიექტებს, კერძოდ, კონკრეტულ პირებს აღჭურავს უფლებამოსილებით,</w:t>
      </w:r>
      <w:r w:rsidR="006A59B7" w:rsidRPr="00187789">
        <w:rPr>
          <w:rFonts w:ascii="Sylfaen" w:hAnsi="Sylfaen"/>
          <w:bCs/>
          <w:color w:val="000000" w:themeColor="text1"/>
          <w:sz w:val="24"/>
          <w:szCs w:val="24"/>
        </w:rPr>
        <w:t xml:space="preserve"> </w:t>
      </w:r>
      <w:r w:rsidR="00A909EC" w:rsidRPr="00187789">
        <w:rPr>
          <w:rFonts w:ascii="Sylfaen" w:hAnsi="Sylfaen"/>
          <w:bCs/>
          <w:color w:val="000000" w:themeColor="text1"/>
          <w:sz w:val="24"/>
          <w:szCs w:val="24"/>
        </w:rPr>
        <w:t xml:space="preserve">ფიზიკური პირებისგან განსხვავებით, </w:t>
      </w:r>
      <w:r w:rsidR="00A909EC" w:rsidRPr="00187789">
        <w:rPr>
          <w:rFonts w:ascii="Sylfaen" w:hAnsi="Sylfaen"/>
          <w:bCs/>
          <w:color w:val="000000" w:themeColor="text1"/>
          <w:sz w:val="24"/>
          <w:szCs w:val="24"/>
          <w:lang w:val="en-US"/>
        </w:rPr>
        <w:t>მოთხოვნის უზრუნველყოფისთვის გამოიყენონ იპოთეკა ფიზიკური პირის საკუთრებაში არსებულ უძრავ ქონება</w:t>
      </w:r>
      <w:r w:rsidR="00A909EC" w:rsidRPr="00187789">
        <w:rPr>
          <w:rFonts w:ascii="Sylfaen" w:hAnsi="Sylfaen"/>
          <w:bCs/>
          <w:color w:val="000000" w:themeColor="text1"/>
          <w:sz w:val="24"/>
          <w:szCs w:val="24"/>
        </w:rPr>
        <w:t xml:space="preserve">ზე. </w:t>
      </w:r>
      <w:r w:rsidR="00A909EC" w:rsidRPr="00187789">
        <w:rPr>
          <w:rFonts w:ascii="Sylfaen" w:hAnsi="Sylfaen"/>
          <w:bCs/>
          <w:color w:val="000000" w:themeColor="text1"/>
          <w:sz w:val="24"/>
          <w:szCs w:val="24"/>
          <w:lang w:val="en-US"/>
        </w:rPr>
        <w:t>კონსტიტუციური სარჩელიდან კი ირკვევა, რომ მოსარჩელეს სურ</w:t>
      </w:r>
      <w:r w:rsidR="00A909EC" w:rsidRPr="00187789">
        <w:rPr>
          <w:rFonts w:ascii="Sylfaen" w:hAnsi="Sylfaen"/>
          <w:bCs/>
          <w:color w:val="000000" w:themeColor="text1"/>
          <w:sz w:val="24"/>
          <w:szCs w:val="24"/>
        </w:rPr>
        <w:t>ს</w:t>
      </w:r>
      <w:r w:rsidR="000F6FBD">
        <w:rPr>
          <w:rFonts w:ascii="Sylfaen" w:hAnsi="Sylfaen"/>
          <w:bCs/>
          <w:color w:val="000000" w:themeColor="text1"/>
          <w:sz w:val="24"/>
          <w:szCs w:val="24"/>
        </w:rPr>
        <w:t>,</w:t>
      </w:r>
      <w:r w:rsidR="00A909EC" w:rsidRPr="00187789">
        <w:rPr>
          <w:rFonts w:ascii="Sylfaen" w:hAnsi="Sylfaen"/>
          <w:bCs/>
          <w:color w:val="000000" w:themeColor="text1"/>
          <w:sz w:val="24"/>
          <w:szCs w:val="24"/>
          <w:lang w:val="en-US"/>
        </w:rPr>
        <w:t xml:space="preserve"> </w:t>
      </w:r>
      <w:r w:rsidR="00A909EC" w:rsidRPr="00187789">
        <w:rPr>
          <w:rFonts w:ascii="Sylfaen" w:hAnsi="Sylfaen"/>
          <w:bCs/>
          <w:color w:val="000000" w:themeColor="text1"/>
          <w:sz w:val="24"/>
          <w:szCs w:val="24"/>
        </w:rPr>
        <w:t>აღნიშნული შესაძლებლობა, ფიზიკური პირის მ</w:t>
      </w:r>
      <w:r w:rsidR="006F6148">
        <w:rPr>
          <w:rFonts w:ascii="Sylfaen" w:hAnsi="Sylfaen"/>
          <w:bCs/>
          <w:color w:val="000000" w:themeColor="text1"/>
          <w:sz w:val="24"/>
          <w:szCs w:val="24"/>
        </w:rPr>
        <w:t>ს</w:t>
      </w:r>
      <w:r w:rsidR="00A909EC" w:rsidRPr="00187789">
        <w:rPr>
          <w:rFonts w:ascii="Sylfaen" w:hAnsi="Sylfaen"/>
          <w:bCs/>
          <w:color w:val="000000" w:themeColor="text1"/>
          <w:sz w:val="24"/>
          <w:szCs w:val="24"/>
        </w:rPr>
        <w:t xml:space="preserve">გავსად, არ გააჩნდეს არც სხვა სუბიექტს. </w:t>
      </w:r>
      <w:r w:rsidR="00E60BB6">
        <w:rPr>
          <w:rFonts w:ascii="Sylfaen" w:hAnsi="Sylfaen"/>
          <w:bCs/>
          <w:color w:val="000000" w:themeColor="text1"/>
          <w:sz w:val="24"/>
          <w:szCs w:val="24"/>
        </w:rPr>
        <w:t>მოსარჩელე</w:t>
      </w:r>
      <w:r w:rsidR="00A909EC" w:rsidRPr="004844E1">
        <w:rPr>
          <w:rFonts w:ascii="Sylfaen" w:hAnsi="Sylfaen"/>
          <w:bCs/>
          <w:color w:val="000000" w:themeColor="text1"/>
          <w:sz w:val="24"/>
          <w:szCs w:val="24"/>
        </w:rPr>
        <w:t xml:space="preserve"> </w:t>
      </w:r>
      <w:r w:rsidR="00A909EC" w:rsidRPr="004844E1">
        <w:rPr>
          <w:rFonts w:ascii="Sylfaen" w:hAnsi="Sylfaen"/>
          <w:bCs/>
          <w:color w:val="000000" w:themeColor="text1"/>
          <w:sz w:val="24"/>
          <w:szCs w:val="24"/>
          <w:lang w:val="en-US"/>
        </w:rPr>
        <w:t>ნორმ</w:t>
      </w:r>
      <w:r w:rsidR="00A909EC" w:rsidRPr="004844E1">
        <w:rPr>
          <w:rFonts w:ascii="Sylfaen" w:hAnsi="Sylfaen"/>
          <w:bCs/>
          <w:color w:val="000000" w:themeColor="text1"/>
          <w:sz w:val="24"/>
          <w:szCs w:val="24"/>
        </w:rPr>
        <w:t>ის</w:t>
      </w:r>
      <w:r w:rsidR="00A909EC" w:rsidRPr="004844E1">
        <w:rPr>
          <w:rFonts w:ascii="Sylfaen" w:hAnsi="Sylfaen"/>
          <w:bCs/>
          <w:color w:val="000000" w:themeColor="text1"/>
          <w:sz w:val="24"/>
          <w:szCs w:val="24"/>
          <w:lang w:val="en-US"/>
        </w:rPr>
        <w:t xml:space="preserve"> არაკონსტიტუციურობის თაობაზე არ და</w:t>
      </w:r>
      <w:r w:rsidR="00B12E05">
        <w:rPr>
          <w:rFonts w:ascii="Sylfaen" w:hAnsi="Sylfaen"/>
          <w:bCs/>
          <w:color w:val="000000" w:themeColor="text1"/>
          <w:sz w:val="24"/>
          <w:szCs w:val="24"/>
        </w:rPr>
        <w:t>ვ</w:t>
      </w:r>
      <w:r w:rsidR="00A909EC" w:rsidRPr="004844E1">
        <w:rPr>
          <w:rFonts w:ascii="Sylfaen" w:hAnsi="Sylfaen"/>
          <w:bCs/>
          <w:color w:val="000000" w:themeColor="text1"/>
          <w:sz w:val="24"/>
          <w:szCs w:val="24"/>
        </w:rPr>
        <w:t>ობს</w:t>
      </w:r>
      <w:r w:rsidR="00A909EC" w:rsidRPr="004844E1">
        <w:rPr>
          <w:rFonts w:ascii="Sylfaen" w:hAnsi="Sylfaen"/>
          <w:bCs/>
          <w:color w:val="000000" w:themeColor="text1"/>
          <w:sz w:val="24"/>
          <w:szCs w:val="24"/>
          <w:lang w:val="en-US"/>
        </w:rPr>
        <w:t xml:space="preserve"> იმ მოტივით,</w:t>
      </w:r>
      <w:r w:rsidR="00A909EC" w:rsidRPr="004844E1">
        <w:rPr>
          <w:rFonts w:ascii="Sylfaen" w:hAnsi="Sylfaen"/>
          <w:bCs/>
          <w:color w:val="000000" w:themeColor="text1"/>
          <w:sz w:val="24"/>
          <w:szCs w:val="24"/>
        </w:rPr>
        <w:t xml:space="preserve"> რომ მას სურს</w:t>
      </w:r>
      <w:r w:rsidR="00A909EC" w:rsidRPr="004844E1">
        <w:rPr>
          <w:rFonts w:ascii="Sylfaen" w:hAnsi="Sylfaen"/>
          <w:bCs/>
          <w:color w:val="000000" w:themeColor="text1"/>
          <w:sz w:val="24"/>
          <w:szCs w:val="24"/>
          <w:lang w:val="en-US"/>
        </w:rPr>
        <w:t xml:space="preserve"> სესხის გაცემა</w:t>
      </w:r>
      <w:r w:rsidR="00F54282" w:rsidRPr="004844E1">
        <w:rPr>
          <w:rFonts w:ascii="Sylfaen" w:hAnsi="Sylfaen"/>
          <w:bCs/>
          <w:color w:val="000000" w:themeColor="text1"/>
          <w:sz w:val="24"/>
          <w:szCs w:val="24"/>
        </w:rPr>
        <w:t>.</w:t>
      </w:r>
      <w:r w:rsidR="00A909EC" w:rsidRPr="004844E1">
        <w:rPr>
          <w:rFonts w:ascii="Sylfaen" w:hAnsi="Sylfaen"/>
          <w:bCs/>
          <w:color w:val="000000" w:themeColor="text1"/>
          <w:sz w:val="24"/>
          <w:szCs w:val="24"/>
        </w:rPr>
        <w:t xml:space="preserve"> </w:t>
      </w:r>
      <w:r w:rsidR="00563B30" w:rsidRPr="004844E1">
        <w:rPr>
          <w:rFonts w:ascii="Sylfaen" w:hAnsi="Sylfaen"/>
          <w:bCs/>
          <w:color w:val="000000" w:themeColor="text1"/>
          <w:sz w:val="24"/>
          <w:szCs w:val="24"/>
          <w:lang w:val="en-US"/>
        </w:rPr>
        <w:t>შე</w:t>
      </w:r>
      <w:r w:rsidR="00563B30" w:rsidRPr="00563B30">
        <w:rPr>
          <w:rFonts w:ascii="Sylfaen" w:hAnsi="Sylfaen"/>
          <w:bCs/>
          <w:color w:val="000000" w:themeColor="text1"/>
          <w:sz w:val="24"/>
          <w:szCs w:val="24"/>
          <w:lang w:val="en-US"/>
        </w:rPr>
        <w:t>საბამისად, მოსარჩელე მხარე დავობს არა თავისი უფლების, არამედ სხვა, სესხის გა</w:t>
      </w:r>
      <w:r w:rsidR="008924CE">
        <w:rPr>
          <w:rFonts w:ascii="Sylfaen" w:hAnsi="Sylfaen"/>
          <w:bCs/>
          <w:color w:val="000000" w:themeColor="text1"/>
          <w:sz w:val="24"/>
          <w:szCs w:val="24"/>
        </w:rPr>
        <w:t>მ</w:t>
      </w:r>
      <w:r w:rsidR="00563B30" w:rsidRPr="00563B30">
        <w:rPr>
          <w:rFonts w:ascii="Sylfaen" w:hAnsi="Sylfaen"/>
          <w:bCs/>
          <w:color w:val="000000" w:themeColor="text1"/>
          <w:sz w:val="24"/>
          <w:szCs w:val="24"/>
          <w:lang w:val="en-US"/>
        </w:rPr>
        <w:t xml:space="preserve">ცემი პირების </w:t>
      </w:r>
      <w:r w:rsidR="00563B30">
        <w:rPr>
          <w:rFonts w:ascii="Sylfaen" w:hAnsi="Sylfaen"/>
          <w:bCs/>
          <w:color w:val="000000" w:themeColor="text1"/>
          <w:sz w:val="24"/>
          <w:szCs w:val="24"/>
        </w:rPr>
        <w:t xml:space="preserve">თანასწორობის </w:t>
      </w:r>
      <w:r w:rsidR="00563B30" w:rsidRPr="00563B30">
        <w:rPr>
          <w:rFonts w:ascii="Sylfaen" w:hAnsi="Sylfaen"/>
          <w:bCs/>
          <w:color w:val="000000" w:themeColor="text1"/>
          <w:sz w:val="24"/>
          <w:szCs w:val="24"/>
          <w:lang w:val="en-US"/>
        </w:rPr>
        <w:t>უფლების დარღვევაზე</w:t>
      </w:r>
      <w:r w:rsidR="00426D3E">
        <w:rPr>
          <w:rFonts w:ascii="Sylfaen" w:hAnsi="Sylfaen"/>
          <w:bCs/>
          <w:color w:val="000000" w:themeColor="text1"/>
          <w:sz w:val="24"/>
          <w:szCs w:val="24"/>
        </w:rPr>
        <w:t xml:space="preserve"> და, ამდენად</w:t>
      </w:r>
      <w:r w:rsidR="0015654B">
        <w:rPr>
          <w:rFonts w:ascii="Sylfaen" w:hAnsi="Sylfaen"/>
          <w:bCs/>
          <w:color w:val="000000" w:themeColor="text1"/>
          <w:sz w:val="24"/>
          <w:szCs w:val="24"/>
        </w:rPr>
        <w:t>,</w:t>
      </w:r>
      <w:r w:rsidR="00426D3E">
        <w:rPr>
          <w:rFonts w:ascii="Sylfaen" w:hAnsi="Sylfaen"/>
          <w:bCs/>
          <w:color w:val="000000" w:themeColor="text1"/>
          <w:sz w:val="24"/>
          <w:szCs w:val="24"/>
        </w:rPr>
        <w:t xml:space="preserve"> </w:t>
      </w:r>
      <w:r w:rsidR="00DB625D">
        <w:rPr>
          <w:rFonts w:ascii="Sylfaen" w:hAnsi="Sylfaen"/>
          <w:bCs/>
          <w:color w:val="000000" w:themeColor="text1"/>
          <w:sz w:val="24"/>
          <w:szCs w:val="24"/>
        </w:rPr>
        <w:t>ს</w:t>
      </w:r>
      <w:r w:rsidR="00426D3E" w:rsidRPr="00426D3E">
        <w:rPr>
          <w:rFonts w:ascii="Sylfaen" w:hAnsi="Sylfaen"/>
          <w:bCs/>
          <w:color w:val="000000" w:themeColor="text1"/>
          <w:sz w:val="24"/>
          <w:szCs w:val="24"/>
        </w:rPr>
        <w:t xml:space="preserve">ასარჩელო მოთხოვნის </w:t>
      </w:r>
      <w:r w:rsidR="00426D3E">
        <w:rPr>
          <w:rFonts w:ascii="Sylfaen" w:hAnsi="Sylfaen"/>
          <w:bCs/>
          <w:color w:val="000000" w:themeColor="text1"/>
          <w:sz w:val="24"/>
          <w:szCs w:val="24"/>
        </w:rPr>
        <w:t>აღნიშნულ</w:t>
      </w:r>
      <w:r w:rsidR="00426D3E" w:rsidRPr="00426D3E">
        <w:rPr>
          <w:rFonts w:ascii="Sylfaen" w:hAnsi="Sylfaen"/>
          <w:bCs/>
          <w:color w:val="000000" w:themeColor="text1"/>
          <w:sz w:val="24"/>
          <w:szCs w:val="24"/>
        </w:rPr>
        <w:t xml:space="preserve"> ნაწილში </w:t>
      </w:r>
      <w:r w:rsidR="00426D3E">
        <w:rPr>
          <w:rFonts w:ascii="Sylfaen" w:hAnsi="Sylfaen"/>
          <w:bCs/>
          <w:color w:val="000000" w:themeColor="text1"/>
          <w:sz w:val="24"/>
          <w:szCs w:val="24"/>
        </w:rPr>
        <w:t>იგი</w:t>
      </w:r>
      <w:r w:rsidR="00426D3E" w:rsidRPr="00426D3E">
        <w:rPr>
          <w:rFonts w:ascii="Sylfaen" w:hAnsi="Sylfaen"/>
          <w:bCs/>
          <w:color w:val="000000" w:themeColor="text1"/>
          <w:sz w:val="24"/>
          <w:szCs w:val="24"/>
        </w:rPr>
        <w:t xml:space="preserve"> ვერ იქნე</w:t>
      </w:r>
      <w:r w:rsidR="005502F6">
        <w:rPr>
          <w:rFonts w:ascii="Sylfaen" w:hAnsi="Sylfaen"/>
          <w:bCs/>
          <w:color w:val="000000" w:themeColor="text1"/>
          <w:sz w:val="24"/>
          <w:szCs w:val="24"/>
        </w:rPr>
        <w:t>ბა</w:t>
      </w:r>
      <w:r w:rsidR="00426D3E" w:rsidRPr="00426D3E">
        <w:rPr>
          <w:rFonts w:ascii="Sylfaen" w:hAnsi="Sylfaen"/>
          <w:bCs/>
          <w:color w:val="000000" w:themeColor="text1"/>
          <w:sz w:val="24"/>
          <w:szCs w:val="24"/>
        </w:rPr>
        <w:t xml:space="preserve"> მიჩნეული უფლებამოსილ სუბიექტებად.</w:t>
      </w:r>
    </w:p>
    <w:p w14:paraId="6B5A5F06" w14:textId="0F8AAEA7" w:rsidR="004105DD" w:rsidRPr="00187789" w:rsidRDefault="00501576" w:rsidP="00D87CDC">
      <w:pPr>
        <w:pStyle w:val="ListParagraph"/>
        <w:numPr>
          <w:ilvl w:val="0"/>
          <w:numId w:val="2"/>
        </w:numPr>
        <w:spacing w:after="0" w:line="276" w:lineRule="auto"/>
        <w:ind w:left="0" w:firstLine="284"/>
        <w:jc w:val="both"/>
        <w:rPr>
          <w:rFonts w:ascii="Sylfaen" w:hAnsi="Sylfaen"/>
          <w:bCs/>
          <w:color w:val="000000" w:themeColor="text1"/>
          <w:sz w:val="24"/>
          <w:szCs w:val="24"/>
          <w:lang w:val="en-US"/>
        </w:rPr>
      </w:pPr>
      <w:r w:rsidRPr="00187789">
        <w:rPr>
          <w:rFonts w:ascii="Sylfaen" w:hAnsi="Sylfaen"/>
          <w:bCs/>
          <w:color w:val="000000" w:themeColor="text1"/>
          <w:sz w:val="24"/>
          <w:szCs w:val="24"/>
        </w:rPr>
        <w:t xml:space="preserve">გარდა ამისა, </w:t>
      </w:r>
      <w:r w:rsidR="00B4291D" w:rsidRPr="00187789">
        <w:rPr>
          <w:rFonts w:ascii="Sylfaen" w:hAnsi="Sylfaen"/>
          <w:color w:val="000000" w:themeColor="text1"/>
          <w:sz w:val="24"/>
          <w:szCs w:val="24"/>
        </w:rPr>
        <w:t>№1894 კონსტიტუციური სარჩელი</w:t>
      </w:r>
      <w:r w:rsidR="00CD7268" w:rsidRPr="00187789">
        <w:rPr>
          <w:rFonts w:ascii="Sylfaen" w:hAnsi="Sylfaen"/>
          <w:color w:val="000000" w:themeColor="text1"/>
          <w:sz w:val="24"/>
          <w:szCs w:val="24"/>
        </w:rPr>
        <w:t xml:space="preserve">თ, საერთოდ </w:t>
      </w:r>
      <w:r w:rsidR="00B4291D" w:rsidRPr="00187789">
        <w:rPr>
          <w:rFonts w:ascii="Sylfaen" w:hAnsi="Sylfaen"/>
          <w:color w:val="000000" w:themeColor="text1"/>
          <w:sz w:val="24"/>
          <w:szCs w:val="24"/>
        </w:rPr>
        <w:t xml:space="preserve">არ არის წარმოდგენილი არგუმენტაცია იმის თაობაზე, რომ სადავო ნორმით დადგენილი განსხვავებული მოპყრობა </w:t>
      </w:r>
      <w:r w:rsidR="00084324" w:rsidRPr="00187789">
        <w:rPr>
          <w:rFonts w:ascii="Sylfaen" w:hAnsi="Sylfaen"/>
          <w:color w:val="000000" w:themeColor="text1"/>
          <w:sz w:val="24"/>
          <w:szCs w:val="24"/>
        </w:rPr>
        <w:t xml:space="preserve">შესაძლოა </w:t>
      </w:r>
      <w:r w:rsidR="00B4291D" w:rsidRPr="00187789">
        <w:rPr>
          <w:rFonts w:ascii="Sylfaen" w:hAnsi="Sylfaen"/>
          <w:color w:val="000000" w:themeColor="text1"/>
          <w:sz w:val="24"/>
          <w:szCs w:val="24"/>
        </w:rPr>
        <w:t xml:space="preserve">პირდაპირ, თუ ირიბად იწვევდეს თავად მოსარჩელის კონსტიტუციურად გარანტირებული თანასწორობის უფლების </w:t>
      </w:r>
      <w:r w:rsidR="00CD7268" w:rsidRPr="00187789">
        <w:rPr>
          <w:rFonts w:ascii="Sylfaen" w:hAnsi="Sylfaen"/>
          <w:color w:val="000000" w:themeColor="text1"/>
          <w:sz w:val="24"/>
          <w:szCs w:val="24"/>
        </w:rPr>
        <w:t xml:space="preserve">რაიმე ფორმით შეზღუდვას. </w:t>
      </w:r>
    </w:p>
    <w:p w14:paraId="5E6E937E" w14:textId="3627AF2F" w:rsidR="00F10C9F" w:rsidRPr="00187789" w:rsidRDefault="00942A8A" w:rsidP="005A1F7F">
      <w:pPr>
        <w:pStyle w:val="ListParagraph"/>
        <w:numPr>
          <w:ilvl w:val="0"/>
          <w:numId w:val="2"/>
        </w:numPr>
        <w:spacing w:after="0" w:line="276" w:lineRule="auto"/>
        <w:ind w:left="0" w:firstLine="284"/>
        <w:jc w:val="both"/>
        <w:rPr>
          <w:rFonts w:ascii="Sylfaen" w:hAnsi="Sylfaen"/>
          <w:bCs/>
          <w:color w:val="000000" w:themeColor="text1"/>
          <w:sz w:val="24"/>
          <w:szCs w:val="24"/>
          <w:lang w:val="en-US"/>
        </w:rPr>
      </w:pPr>
      <w:r w:rsidRPr="00187789">
        <w:rPr>
          <w:rFonts w:ascii="Sylfaen" w:hAnsi="Sylfaen" w:cs="Sylfaen"/>
          <w:sz w:val="24"/>
          <w:szCs w:val="24"/>
        </w:rPr>
        <w:t>ყოველივე</w:t>
      </w:r>
      <w:r w:rsidRPr="00187789">
        <w:rPr>
          <w:rFonts w:ascii="Sylfaen" w:hAnsi="Sylfaen"/>
          <w:sz w:val="24"/>
          <w:szCs w:val="24"/>
        </w:rPr>
        <w:t xml:space="preserve"> აღნიშნულის გათვალისწინებით, №1894 კონსტიტუციური სარჩელი </w:t>
      </w:r>
      <w:r w:rsidRPr="00187789">
        <w:rPr>
          <w:rFonts w:ascii="Sylfaen" w:hAnsi="Sylfaen"/>
          <w:color w:val="000000" w:themeColor="text1"/>
          <w:sz w:val="24"/>
          <w:szCs w:val="24"/>
        </w:rPr>
        <w:t>სასარჩელო მოთხოვნის იმ ნაწილში, რომელიც შეეხება საქართველოს სამოქალაქო კოდექსის 286-ე მუხლის მე-5 ნაწილის არაკონსტიტუციურად ცნობას საქართველოს კონსტიტუციის მე-11 მუხლის პირველ</w:t>
      </w:r>
      <w:r w:rsidR="00252A86">
        <w:rPr>
          <w:rFonts w:ascii="Sylfaen" w:hAnsi="Sylfaen"/>
          <w:color w:val="000000" w:themeColor="text1"/>
          <w:sz w:val="24"/>
          <w:szCs w:val="24"/>
        </w:rPr>
        <w:t>ი</w:t>
      </w:r>
      <w:r w:rsidRPr="00187789">
        <w:rPr>
          <w:rFonts w:ascii="Sylfaen" w:hAnsi="Sylfaen"/>
          <w:color w:val="000000" w:themeColor="text1"/>
          <w:sz w:val="24"/>
          <w:szCs w:val="24"/>
        </w:rPr>
        <w:t xml:space="preserve"> პუნქტის პირველ წინადადებასთან მიმართებით,</w:t>
      </w:r>
      <w:r w:rsidR="006C6FB8" w:rsidRPr="006C6FB8">
        <w:rPr>
          <w:rFonts w:ascii="Sylfaen" w:hAnsi="Sylfaen"/>
          <w:color w:val="000000" w:themeColor="text1"/>
          <w:sz w:val="24"/>
          <w:szCs w:val="24"/>
        </w:rPr>
        <w:t xml:space="preserve"> არ არის შემოტანილი უფლებამოსილი სუბიექტის მიერ </w:t>
      </w:r>
      <w:r w:rsidRPr="00187789">
        <w:rPr>
          <w:rFonts w:ascii="Sylfaen" w:hAnsi="Sylfaen"/>
          <w:color w:val="000000" w:themeColor="text1"/>
          <w:sz w:val="24"/>
          <w:szCs w:val="24"/>
        </w:rPr>
        <w:t xml:space="preserve">და არსებობს მისი არსებითად განსახილველად მიღებაზე უარის თქმის „საქართველოს </w:t>
      </w:r>
      <w:r w:rsidRPr="00187789">
        <w:rPr>
          <w:rFonts w:ascii="Sylfaen" w:hAnsi="Sylfaen"/>
          <w:color w:val="000000" w:themeColor="text1"/>
          <w:sz w:val="24"/>
          <w:szCs w:val="24"/>
        </w:rPr>
        <w:lastRenderedPageBreak/>
        <w:t xml:space="preserve">საკონსტიტუციო სასამართლოს შესახებ“ </w:t>
      </w:r>
      <w:r w:rsidR="000D616F" w:rsidRPr="00187789">
        <w:rPr>
          <w:rFonts w:ascii="Sylfaen" w:hAnsi="Sylfaen"/>
          <w:color w:val="000000" w:themeColor="text1"/>
          <w:sz w:val="24"/>
          <w:szCs w:val="24"/>
        </w:rPr>
        <w:t>31</w:t>
      </w:r>
      <w:r w:rsidR="000D616F" w:rsidRPr="00187789">
        <w:rPr>
          <w:rFonts w:ascii="Sylfaen" w:hAnsi="Sylfaen"/>
          <w:color w:val="000000" w:themeColor="text1"/>
          <w:sz w:val="24"/>
          <w:szCs w:val="24"/>
          <w:vertAlign w:val="superscript"/>
        </w:rPr>
        <w:t>3</w:t>
      </w:r>
      <w:r w:rsidR="000D616F" w:rsidRPr="00187789">
        <w:rPr>
          <w:rFonts w:ascii="Sylfaen" w:hAnsi="Sylfaen"/>
          <w:color w:val="000000" w:themeColor="text1"/>
          <w:sz w:val="24"/>
          <w:szCs w:val="24"/>
        </w:rPr>
        <w:t xml:space="preserve"> მუხლის პირველი პუნქტის „ბ“ ქვეპუნქტით გათვალისწინებული საფუძველი.</w:t>
      </w:r>
    </w:p>
    <w:p w14:paraId="3AE5B3D6" w14:textId="77777777" w:rsidR="00942A8A" w:rsidRPr="00187789" w:rsidRDefault="00942A8A" w:rsidP="00D87CDC">
      <w:pPr>
        <w:spacing w:line="276" w:lineRule="auto"/>
        <w:rPr>
          <w:rFonts w:ascii="Sylfaen" w:hAnsi="Sylfaen"/>
          <w:b/>
          <w:sz w:val="24"/>
          <w:szCs w:val="24"/>
          <w:lang w:val="en-US"/>
        </w:rPr>
      </w:pPr>
    </w:p>
    <w:p w14:paraId="531D302D" w14:textId="77777777" w:rsidR="00F10C9F" w:rsidRPr="00187789" w:rsidRDefault="00F10C9F" w:rsidP="00D87CDC">
      <w:pPr>
        <w:spacing w:after="0" w:line="276" w:lineRule="auto"/>
        <w:jc w:val="center"/>
        <w:rPr>
          <w:rFonts w:ascii="Sylfaen" w:hAnsi="Sylfaen"/>
          <w:b/>
          <w:bCs/>
          <w:sz w:val="24"/>
          <w:szCs w:val="24"/>
          <w:lang w:val="en-US"/>
        </w:rPr>
      </w:pPr>
    </w:p>
    <w:p w14:paraId="7839A9D0" w14:textId="1AD3D357" w:rsidR="00F10C9F" w:rsidRPr="00187789" w:rsidRDefault="00F10C9F" w:rsidP="007A3BD6">
      <w:pPr>
        <w:pStyle w:val="Heading1"/>
        <w:spacing w:before="0" w:after="100" w:afterAutospacing="1" w:line="276" w:lineRule="auto"/>
        <w:jc w:val="center"/>
        <w:rPr>
          <w:rFonts w:ascii="Sylfaen" w:hAnsi="Sylfaen"/>
          <w:b/>
          <w:bCs/>
          <w:noProof/>
          <w:color w:val="auto"/>
          <w:sz w:val="24"/>
          <w:szCs w:val="24"/>
        </w:rPr>
      </w:pPr>
      <w:r w:rsidRPr="00187789">
        <w:rPr>
          <w:rFonts w:ascii="Sylfaen" w:hAnsi="Sylfaen"/>
          <w:b/>
          <w:bCs/>
          <w:noProof/>
          <w:color w:val="auto"/>
          <w:sz w:val="24"/>
          <w:szCs w:val="24"/>
        </w:rPr>
        <w:t>III</w:t>
      </w:r>
      <w:r w:rsidRPr="00187789">
        <w:rPr>
          <w:rFonts w:ascii="Sylfaen" w:hAnsi="Sylfaen"/>
          <w:b/>
          <w:bCs/>
          <w:noProof/>
          <w:color w:val="auto"/>
          <w:sz w:val="24"/>
          <w:szCs w:val="24"/>
        </w:rPr>
        <w:br/>
        <w:t>სარეზოლუციო ნაწილი</w:t>
      </w:r>
    </w:p>
    <w:p w14:paraId="7B25A10A" w14:textId="09C5043E" w:rsidR="00BA0952" w:rsidRPr="00187789" w:rsidRDefault="00F10C9F" w:rsidP="00C778BF">
      <w:pPr>
        <w:spacing w:after="0" w:line="276" w:lineRule="auto"/>
        <w:ind w:firstLine="284"/>
        <w:jc w:val="both"/>
        <w:rPr>
          <w:rFonts w:ascii="Sylfaen" w:hAnsi="Sylfaen"/>
          <w:bCs/>
          <w:sz w:val="24"/>
          <w:szCs w:val="24"/>
          <w:lang w:val="en-US"/>
        </w:rPr>
      </w:pPr>
      <w:r w:rsidRPr="00187789">
        <w:rPr>
          <w:rFonts w:ascii="Sylfaen" w:hAnsi="Sylfaen"/>
          <w:bCs/>
          <w:sz w:val="24"/>
          <w:szCs w:val="24"/>
          <w:lang w:val="en-US"/>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187789">
        <w:rPr>
          <w:rFonts w:ascii="Sylfaen" w:hAnsi="Sylfaen"/>
          <w:bCs/>
          <w:sz w:val="24"/>
          <w:szCs w:val="24"/>
          <w:vertAlign w:val="superscript"/>
          <w:lang w:val="en-US"/>
        </w:rPr>
        <w:t xml:space="preserve">1 </w:t>
      </w:r>
      <w:r w:rsidRPr="00187789">
        <w:rPr>
          <w:rFonts w:ascii="Sylfaen" w:hAnsi="Sylfaen"/>
          <w:bCs/>
          <w:sz w:val="24"/>
          <w:szCs w:val="24"/>
          <w:lang w:val="en-US"/>
        </w:rPr>
        <w:t>მუხლის მე-2 პუნქტის, 31-ე მუხლის, 31</w:t>
      </w:r>
      <w:r w:rsidRPr="00187789">
        <w:rPr>
          <w:rFonts w:ascii="Sylfaen" w:hAnsi="Sylfaen"/>
          <w:bCs/>
          <w:sz w:val="24"/>
          <w:szCs w:val="24"/>
          <w:vertAlign w:val="superscript"/>
          <w:lang w:val="en-US"/>
        </w:rPr>
        <w:t xml:space="preserve">1 </w:t>
      </w:r>
      <w:r w:rsidRPr="00187789">
        <w:rPr>
          <w:rFonts w:ascii="Sylfaen" w:hAnsi="Sylfaen"/>
          <w:bCs/>
          <w:sz w:val="24"/>
          <w:szCs w:val="24"/>
          <w:lang w:val="en-US"/>
        </w:rPr>
        <w:t>მუხლის პირველი და მე-2 პუნქტების, 31</w:t>
      </w:r>
      <w:r w:rsidRPr="00187789">
        <w:rPr>
          <w:rFonts w:ascii="Sylfaen" w:hAnsi="Sylfaen"/>
          <w:bCs/>
          <w:sz w:val="24"/>
          <w:szCs w:val="24"/>
          <w:vertAlign w:val="superscript"/>
          <w:lang w:val="en-US"/>
        </w:rPr>
        <w:t>2</w:t>
      </w:r>
      <w:r w:rsidRPr="00187789">
        <w:rPr>
          <w:rFonts w:ascii="Sylfaen" w:hAnsi="Sylfaen"/>
          <w:bCs/>
          <w:sz w:val="24"/>
          <w:szCs w:val="24"/>
          <w:lang w:val="en-US"/>
        </w:rPr>
        <w:t xml:space="preserve"> მუხლის მე-8 პუნქტის, 31</w:t>
      </w:r>
      <w:r w:rsidRPr="00187789">
        <w:rPr>
          <w:rFonts w:ascii="Sylfaen" w:hAnsi="Sylfaen"/>
          <w:bCs/>
          <w:sz w:val="24"/>
          <w:szCs w:val="24"/>
          <w:vertAlign w:val="superscript"/>
          <w:lang w:val="en-US"/>
        </w:rPr>
        <w:t>3</w:t>
      </w:r>
      <w:r w:rsidRPr="00187789">
        <w:rPr>
          <w:rFonts w:ascii="Sylfaen" w:hAnsi="Sylfaen"/>
          <w:bCs/>
          <w:sz w:val="24"/>
          <w:szCs w:val="24"/>
          <w:lang w:val="en-US"/>
        </w:rPr>
        <w:t xml:space="preserve"> მუხლის პირველი პუნქტის „ა“</w:t>
      </w:r>
      <w:r w:rsidR="000E4999">
        <w:rPr>
          <w:rFonts w:ascii="Sylfaen" w:hAnsi="Sylfaen"/>
          <w:bCs/>
          <w:sz w:val="24"/>
          <w:szCs w:val="24"/>
        </w:rPr>
        <w:t xml:space="preserve"> </w:t>
      </w:r>
      <w:r w:rsidR="00423FCF">
        <w:rPr>
          <w:rFonts w:ascii="Sylfaen" w:hAnsi="Sylfaen"/>
          <w:bCs/>
          <w:sz w:val="24"/>
          <w:szCs w:val="24"/>
        </w:rPr>
        <w:t xml:space="preserve">და „ბ“ </w:t>
      </w:r>
      <w:r w:rsidR="000E4999">
        <w:rPr>
          <w:rFonts w:ascii="Sylfaen" w:hAnsi="Sylfaen"/>
          <w:bCs/>
          <w:sz w:val="24"/>
          <w:szCs w:val="24"/>
        </w:rPr>
        <w:t>ქვეპ</w:t>
      </w:r>
      <w:r w:rsidR="00E2621A">
        <w:rPr>
          <w:rFonts w:ascii="Sylfaen" w:hAnsi="Sylfaen"/>
          <w:bCs/>
          <w:sz w:val="24"/>
          <w:szCs w:val="24"/>
        </w:rPr>
        <w:t>უ</w:t>
      </w:r>
      <w:r w:rsidR="000E4999">
        <w:rPr>
          <w:rFonts w:ascii="Sylfaen" w:hAnsi="Sylfaen"/>
          <w:bCs/>
          <w:sz w:val="24"/>
          <w:szCs w:val="24"/>
        </w:rPr>
        <w:t>ნქტ</w:t>
      </w:r>
      <w:r w:rsidR="00423FCF">
        <w:rPr>
          <w:rFonts w:ascii="Sylfaen" w:hAnsi="Sylfaen"/>
          <w:bCs/>
          <w:sz w:val="24"/>
          <w:szCs w:val="24"/>
        </w:rPr>
        <w:t>ების</w:t>
      </w:r>
      <w:r w:rsidRPr="00187789">
        <w:rPr>
          <w:rFonts w:ascii="Sylfaen" w:hAnsi="Sylfaen"/>
          <w:bCs/>
          <w:sz w:val="24"/>
          <w:szCs w:val="24"/>
          <w:lang w:val="en-US"/>
        </w:rPr>
        <w:t>, 31</w:t>
      </w:r>
      <w:r w:rsidRPr="00187789">
        <w:rPr>
          <w:rFonts w:ascii="Sylfaen" w:hAnsi="Sylfaen"/>
          <w:bCs/>
          <w:sz w:val="24"/>
          <w:szCs w:val="24"/>
          <w:vertAlign w:val="superscript"/>
          <w:lang w:val="en-US"/>
        </w:rPr>
        <w:t xml:space="preserve">5 </w:t>
      </w:r>
      <w:r w:rsidRPr="00187789">
        <w:rPr>
          <w:rFonts w:ascii="Sylfaen" w:hAnsi="Sylfaen"/>
          <w:bCs/>
          <w:sz w:val="24"/>
          <w:szCs w:val="24"/>
          <w:lang w:val="en-US"/>
        </w:rPr>
        <w:t>მუხლის პირველი, მე-3, მე-4 და მე-7 პუნქტების, 31</w:t>
      </w:r>
      <w:r w:rsidRPr="00187789">
        <w:rPr>
          <w:rFonts w:ascii="Sylfaen" w:hAnsi="Sylfaen"/>
          <w:bCs/>
          <w:sz w:val="24"/>
          <w:szCs w:val="24"/>
          <w:vertAlign w:val="superscript"/>
          <w:lang w:val="en-US"/>
        </w:rPr>
        <w:t>6</w:t>
      </w:r>
      <w:r w:rsidRPr="00187789">
        <w:rPr>
          <w:rFonts w:ascii="Sylfaen" w:hAnsi="Sylfaen"/>
          <w:bCs/>
          <w:sz w:val="24"/>
          <w:szCs w:val="24"/>
          <w:lang w:val="en-US"/>
        </w:rPr>
        <w:t xml:space="preserve"> მუხლის მე-2 პუნქტის, 39-ე მუხლის პირველი პუნქტის „ა“ ქვეპუნქტის, 43-ე მუხლის საფუძველზე,</w:t>
      </w:r>
    </w:p>
    <w:p w14:paraId="7F1F9771" w14:textId="77777777" w:rsidR="00F10C9F" w:rsidRPr="00187789" w:rsidRDefault="00F10C9F" w:rsidP="00D87CDC">
      <w:pPr>
        <w:spacing w:after="0" w:line="276" w:lineRule="auto"/>
        <w:jc w:val="center"/>
        <w:rPr>
          <w:rFonts w:ascii="Sylfaen" w:hAnsi="Sylfaen"/>
          <w:b/>
          <w:sz w:val="24"/>
          <w:szCs w:val="24"/>
          <w:lang w:val="en-US"/>
        </w:rPr>
      </w:pPr>
    </w:p>
    <w:p w14:paraId="7A01D065" w14:textId="77777777" w:rsidR="00F10C9F" w:rsidRPr="00187789" w:rsidRDefault="00F10C9F" w:rsidP="00D87CDC">
      <w:pPr>
        <w:spacing w:after="0" w:line="276" w:lineRule="auto"/>
        <w:jc w:val="center"/>
        <w:rPr>
          <w:rFonts w:ascii="Sylfaen" w:hAnsi="Sylfaen"/>
          <w:b/>
          <w:sz w:val="24"/>
          <w:szCs w:val="24"/>
          <w:lang w:val="en-US"/>
        </w:rPr>
      </w:pPr>
    </w:p>
    <w:p w14:paraId="32A4A6C2" w14:textId="77777777" w:rsidR="00F10C9F" w:rsidRPr="00187789" w:rsidRDefault="00F10C9F" w:rsidP="00D87CDC">
      <w:pPr>
        <w:spacing w:after="0" w:line="276" w:lineRule="auto"/>
        <w:jc w:val="center"/>
        <w:rPr>
          <w:rFonts w:ascii="Sylfaen" w:hAnsi="Sylfaen"/>
          <w:b/>
          <w:sz w:val="24"/>
          <w:szCs w:val="24"/>
          <w:lang w:val="en-US"/>
        </w:rPr>
      </w:pPr>
      <w:r w:rsidRPr="00187789">
        <w:rPr>
          <w:rFonts w:ascii="Sylfaen" w:hAnsi="Sylfaen"/>
          <w:b/>
          <w:sz w:val="24"/>
          <w:szCs w:val="24"/>
          <w:lang w:val="en-US"/>
        </w:rPr>
        <w:t>საქართველოს საკონსტიტუციო სასამართლო</w:t>
      </w:r>
    </w:p>
    <w:p w14:paraId="719E21E3" w14:textId="77777777" w:rsidR="00F10C9F" w:rsidRPr="00187789" w:rsidRDefault="00F10C9F" w:rsidP="00D87CDC">
      <w:pPr>
        <w:spacing w:after="0" w:line="276" w:lineRule="auto"/>
        <w:jc w:val="center"/>
        <w:rPr>
          <w:rFonts w:ascii="Sylfaen" w:hAnsi="Sylfaen"/>
          <w:sz w:val="24"/>
          <w:szCs w:val="24"/>
          <w:lang w:val="en-US"/>
        </w:rPr>
      </w:pPr>
      <w:r w:rsidRPr="00187789">
        <w:rPr>
          <w:rFonts w:ascii="Sylfaen" w:hAnsi="Sylfaen"/>
          <w:b/>
          <w:sz w:val="24"/>
          <w:szCs w:val="24"/>
          <w:lang w:val="en-US"/>
        </w:rPr>
        <w:t>ა დ გ ე ნ ს:</w:t>
      </w:r>
    </w:p>
    <w:p w14:paraId="5A86F142" w14:textId="77777777" w:rsidR="00F10C9F" w:rsidRPr="00187789" w:rsidRDefault="00F10C9F" w:rsidP="00D87CDC">
      <w:pPr>
        <w:spacing w:after="0" w:line="276" w:lineRule="auto"/>
        <w:ind w:firstLine="284"/>
        <w:jc w:val="both"/>
        <w:rPr>
          <w:rFonts w:ascii="Sylfaen" w:hAnsi="Sylfaen"/>
          <w:sz w:val="24"/>
          <w:szCs w:val="24"/>
          <w:lang w:val="en-US"/>
        </w:rPr>
      </w:pPr>
    </w:p>
    <w:p w14:paraId="05E24B1F" w14:textId="77777777" w:rsidR="00F10C9F" w:rsidRPr="00187789" w:rsidRDefault="00F10C9F" w:rsidP="00D87CDC">
      <w:pPr>
        <w:pStyle w:val="ListParagraph"/>
        <w:numPr>
          <w:ilvl w:val="0"/>
          <w:numId w:val="3"/>
        </w:numPr>
        <w:spacing w:after="0" w:line="276" w:lineRule="auto"/>
        <w:ind w:left="0" w:firstLine="284"/>
        <w:jc w:val="both"/>
        <w:rPr>
          <w:rFonts w:ascii="Sylfaen" w:hAnsi="Sylfaen"/>
          <w:sz w:val="24"/>
          <w:szCs w:val="24"/>
          <w:lang w:val="en-US"/>
        </w:rPr>
      </w:pPr>
      <w:r w:rsidRPr="00187789">
        <w:rPr>
          <w:rFonts w:ascii="Sylfaen" w:hAnsi="Sylfaen"/>
          <w:sz w:val="24"/>
          <w:szCs w:val="24"/>
          <w:lang w:val="en-US"/>
        </w:rPr>
        <w:t>არ იქნეს მიღებული არსებითად განსახილველად №1894 კონსტიტუციური სარჩელი („</w:t>
      </w:r>
      <w:r w:rsidRPr="00187789">
        <w:rPr>
          <w:rFonts w:ascii="Sylfaen" w:hAnsi="Sylfaen"/>
          <w:bCs/>
          <w:sz w:val="24"/>
          <w:szCs w:val="24"/>
          <w:lang w:val="en-US"/>
        </w:rPr>
        <w:t>შორენა წიკლაური საქართველოს პარლამენტის წინააღმდეგ”).</w:t>
      </w:r>
      <w:r w:rsidRPr="00187789">
        <w:rPr>
          <w:rFonts w:ascii="Sylfaen" w:hAnsi="Sylfaen"/>
          <w:sz w:val="24"/>
          <w:szCs w:val="24"/>
          <w:lang w:val="en-US"/>
        </w:rPr>
        <w:t xml:space="preserve"> </w:t>
      </w:r>
    </w:p>
    <w:p w14:paraId="55688514" w14:textId="77777777" w:rsidR="00F10C9F" w:rsidRPr="00187789" w:rsidRDefault="00F10C9F" w:rsidP="00D87CDC">
      <w:pPr>
        <w:pStyle w:val="ListParagraph"/>
        <w:numPr>
          <w:ilvl w:val="0"/>
          <w:numId w:val="3"/>
        </w:numPr>
        <w:spacing w:after="0" w:line="276" w:lineRule="auto"/>
        <w:ind w:left="0" w:firstLine="284"/>
        <w:jc w:val="both"/>
        <w:rPr>
          <w:rFonts w:ascii="Sylfaen" w:hAnsi="Sylfaen"/>
          <w:sz w:val="24"/>
          <w:szCs w:val="24"/>
          <w:lang w:val="en-US"/>
        </w:rPr>
      </w:pPr>
      <w:r w:rsidRPr="00187789">
        <w:rPr>
          <w:rFonts w:ascii="Sylfaen" w:hAnsi="Sylfaen"/>
          <w:sz w:val="24"/>
          <w:szCs w:val="24"/>
          <w:lang w:val="en-US"/>
        </w:rPr>
        <w:t>განჩინება საბოლოოა და გასაჩივრებას ან გადასინჯვას არ ექვემდებარება.</w:t>
      </w:r>
    </w:p>
    <w:p w14:paraId="25C63F89" w14:textId="77777777" w:rsidR="00F10C9F" w:rsidRPr="00187789" w:rsidRDefault="00F10C9F" w:rsidP="00D87CDC">
      <w:pPr>
        <w:pStyle w:val="ListParagraph"/>
        <w:numPr>
          <w:ilvl w:val="0"/>
          <w:numId w:val="3"/>
        </w:numPr>
        <w:spacing w:after="0" w:line="276" w:lineRule="auto"/>
        <w:ind w:left="0" w:firstLine="284"/>
        <w:jc w:val="both"/>
        <w:rPr>
          <w:rFonts w:ascii="Sylfaen" w:hAnsi="Sylfaen"/>
          <w:sz w:val="24"/>
          <w:szCs w:val="24"/>
          <w:lang w:val="en-US"/>
        </w:rPr>
      </w:pPr>
      <w:r w:rsidRPr="00187789">
        <w:rPr>
          <w:rFonts w:ascii="Sylfaen" w:hAnsi="Sylfaen"/>
          <w:sz w:val="24"/>
          <w:szCs w:val="24"/>
          <w:lang w:val="en-US"/>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41803A7E" w14:textId="77777777" w:rsidR="00F10C9F" w:rsidRPr="00187789" w:rsidRDefault="00F10C9F" w:rsidP="00D87CDC">
      <w:pPr>
        <w:spacing w:after="0" w:line="276" w:lineRule="auto"/>
        <w:jc w:val="both"/>
        <w:rPr>
          <w:rFonts w:ascii="Sylfaen" w:hAnsi="Sylfaen"/>
          <w:b/>
          <w:sz w:val="24"/>
          <w:szCs w:val="24"/>
          <w:lang w:val="en-US"/>
        </w:rPr>
      </w:pPr>
    </w:p>
    <w:p w14:paraId="6F50D7CD" w14:textId="77777777" w:rsidR="00F10C9F" w:rsidRPr="00187789" w:rsidRDefault="00F10C9F" w:rsidP="00D87CDC">
      <w:pPr>
        <w:spacing w:after="0" w:line="276" w:lineRule="auto"/>
        <w:jc w:val="both"/>
        <w:rPr>
          <w:rFonts w:ascii="Sylfaen" w:hAnsi="Sylfaen"/>
          <w:b/>
          <w:sz w:val="24"/>
          <w:szCs w:val="24"/>
          <w:lang w:val="en-US"/>
        </w:rPr>
      </w:pPr>
      <w:r w:rsidRPr="00187789">
        <w:rPr>
          <w:rFonts w:ascii="Sylfaen" w:hAnsi="Sylfaen"/>
          <w:b/>
          <w:sz w:val="24"/>
          <w:szCs w:val="24"/>
          <w:lang w:val="en-US"/>
        </w:rPr>
        <w:t>კოლეგიის შემადგენლობა:</w:t>
      </w:r>
    </w:p>
    <w:p w14:paraId="0B73C01F" w14:textId="77777777" w:rsidR="00F10C9F" w:rsidRPr="00187789" w:rsidRDefault="00F10C9F" w:rsidP="00D87CDC">
      <w:pPr>
        <w:spacing w:after="0" w:line="276" w:lineRule="auto"/>
        <w:jc w:val="both"/>
        <w:rPr>
          <w:rFonts w:ascii="Sylfaen" w:hAnsi="Sylfaen"/>
          <w:sz w:val="24"/>
          <w:szCs w:val="24"/>
          <w:lang w:val="en-US"/>
        </w:rPr>
      </w:pPr>
    </w:p>
    <w:p w14:paraId="385B42FC" w14:textId="3B090FFF" w:rsidR="00F10C9F" w:rsidRPr="00187789" w:rsidRDefault="00F10C9F" w:rsidP="00265AC6">
      <w:pPr>
        <w:spacing w:after="240" w:line="600" w:lineRule="auto"/>
        <w:jc w:val="both"/>
        <w:rPr>
          <w:rFonts w:ascii="Sylfaen" w:hAnsi="Sylfaen"/>
          <w:sz w:val="24"/>
          <w:szCs w:val="24"/>
          <w:lang w:val="en-US"/>
        </w:rPr>
      </w:pPr>
      <w:r w:rsidRPr="00187789">
        <w:rPr>
          <w:rFonts w:ascii="Sylfaen" w:hAnsi="Sylfaen"/>
          <w:sz w:val="24"/>
          <w:szCs w:val="24"/>
          <w:lang w:val="en-US"/>
        </w:rPr>
        <w:t>ვასილ როინიშვილი</w:t>
      </w:r>
    </w:p>
    <w:p w14:paraId="10C8AE59" w14:textId="77777777" w:rsidR="00BA0952" w:rsidRPr="00187789" w:rsidRDefault="00F10C9F" w:rsidP="00265AC6">
      <w:pPr>
        <w:spacing w:after="240" w:line="600" w:lineRule="auto"/>
        <w:jc w:val="both"/>
        <w:rPr>
          <w:rFonts w:ascii="Sylfaen" w:hAnsi="Sylfaen"/>
          <w:sz w:val="24"/>
          <w:szCs w:val="24"/>
          <w:lang w:val="en-US"/>
        </w:rPr>
      </w:pPr>
      <w:r w:rsidRPr="00187789">
        <w:rPr>
          <w:rFonts w:ascii="Sylfaen" w:hAnsi="Sylfaen"/>
          <w:sz w:val="24"/>
          <w:szCs w:val="24"/>
          <w:lang w:val="en-US"/>
        </w:rPr>
        <w:t>ევა გოცირიძე</w:t>
      </w:r>
    </w:p>
    <w:p w14:paraId="563D820B" w14:textId="43E70572" w:rsidR="00F10C9F" w:rsidRPr="00187789" w:rsidRDefault="00F10C9F" w:rsidP="00265AC6">
      <w:pPr>
        <w:spacing w:after="240" w:line="600" w:lineRule="auto"/>
        <w:jc w:val="both"/>
        <w:rPr>
          <w:rFonts w:ascii="Sylfaen" w:hAnsi="Sylfaen"/>
          <w:sz w:val="24"/>
          <w:szCs w:val="24"/>
          <w:lang w:val="en-US"/>
        </w:rPr>
      </w:pPr>
      <w:r w:rsidRPr="00187789">
        <w:rPr>
          <w:rFonts w:ascii="Sylfaen" w:hAnsi="Sylfaen"/>
          <w:sz w:val="24"/>
          <w:szCs w:val="24"/>
          <w:lang w:val="en-US"/>
        </w:rPr>
        <w:t>გიორგი თევდორაშვილი</w:t>
      </w:r>
    </w:p>
    <w:p w14:paraId="02563BFA" w14:textId="5D6F1DB7" w:rsidR="00F10C9F" w:rsidRPr="00187789" w:rsidRDefault="00F10C9F" w:rsidP="00265AC6">
      <w:pPr>
        <w:spacing w:after="240" w:line="600" w:lineRule="auto"/>
        <w:rPr>
          <w:rFonts w:ascii="Sylfaen" w:hAnsi="Sylfaen"/>
          <w:b/>
          <w:sz w:val="24"/>
          <w:szCs w:val="24"/>
          <w:lang w:val="en-US"/>
        </w:rPr>
      </w:pPr>
      <w:r w:rsidRPr="00187789">
        <w:rPr>
          <w:rFonts w:ascii="Sylfaen" w:hAnsi="Sylfaen"/>
          <w:sz w:val="24"/>
          <w:szCs w:val="24"/>
          <w:lang w:val="en-US"/>
        </w:rPr>
        <w:lastRenderedPageBreak/>
        <w:t>გიორგი კვერენჩხილაძე</w:t>
      </w:r>
      <w:r w:rsidRPr="00187789">
        <w:rPr>
          <w:rFonts w:ascii="Sylfaen" w:hAnsi="Sylfaen" w:cs="Times New Roman"/>
          <w:sz w:val="24"/>
          <w:szCs w:val="24"/>
          <w:lang w:val="en-US"/>
        </w:rPr>
        <w:t xml:space="preserve"> </w:t>
      </w:r>
    </w:p>
    <w:p w14:paraId="414787FD" w14:textId="189BFF51" w:rsidR="00F10C9F" w:rsidRDefault="00F10C9F" w:rsidP="00D87CDC">
      <w:pPr>
        <w:spacing w:line="276" w:lineRule="auto"/>
        <w:rPr>
          <w:rFonts w:ascii="Sylfaen" w:hAnsi="Sylfaen"/>
          <w:sz w:val="24"/>
          <w:szCs w:val="24"/>
          <w:lang w:val="en-US"/>
        </w:rPr>
      </w:pPr>
    </w:p>
    <w:p w14:paraId="311D17B4" w14:textId="442315A7" w:rsidR="00563B30" w:rsidRDefault="00563B30" w:rsidP="00D87CDC">
      <w:pPr>
        <w:spacing w:line="276" w:lineRule="auto"/>
        <w:rPr>
          <w:rFonts w:ascii="Sylfaen" w:hAnsi="Sylfaen"/>
          <w:sz w:val="24"/>
          <w:szCs w:val="24"/>
          <w:lang w:val="en-US"/>
        </w:rPr>
      </w:pPr>
    </w:p>
    <w:p w14:paraId="11028987" w14:textId="2962BC10" w:rsidR="00563B30" w:rsidRDefault="00563B30" w:rsidP="00D87CDC">
      <w:pPr>
        <w:spacing w:line="276" w:lineRule="auto"/>
        <w:rPr>
          <w:rFonts w:ascii="Sylfaen" w:hAnsi="Sylfaen"/>
          <w:sz w:val="24"/>
          <w:szCs w:val="24"/>
          <w:lang w:val="en-US"/>
        </w:rPr>
      </w:pPr>
    </w:p>
    <w:p w14:paraId="4BD5783F" w14:textId="77777777" w:rsidR="00563B30" w:rsidRPr="00187789" w:rsidRDefault="00563B30" w:rsidP="00D87CDC">
      <w:pPr>
        <w:spacing w:line="276" w:lineRule="auto"/>
        <w:rPr>
          <w:rFonts w:ascii="Sylfaen" w:hAnsi="Sylfaen"/>
          <w:sz w:val="24"/>
          <w:szCs w:val="24"/>
          <w:lang w:val="en-US"/>
        </w:rPr>
      </w:pPr>
    </w:p>
    <w:sectPr w:rsidR="00563B30" w:rsidRPr="00187789" w:rsidSect="007A3BD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36B95" w14:textId="77777777" w:rsidR="00D529BF" w:rsidRDefault="00D529BF" w:rsidP="00313BFE">
      <w:pPr>
        <w:spacing w:after="0" w:line="240" w:lineRule="auto"/>
      </w:pPr>
      <w:r>
        <w:separator/>
      </w:r>
    </w:p>
  </w:endnote>
  <w:endnote w:type="continuationSeparator" w:id="0">
    <w:p w14:paraId="7A2B9A09" w14:textId="77777777" w:rsidR="00D529BF" w:rsidRDefault="00D529BF" w:rsidP="0031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70558637"/>
      <w:docPartObj>
        <w:docPartGallery w:val="Page Numbers (Bottom of Page)"/>
        <w:docPartUnique/>
      </w:docPartObj>
    </w:sdtPr>
    <w:sdtEndPr>
      <w:rPr>
        <w:rStyle w:val="PageNumber"/>
      </w:rPr>
    </w:sdtEndPr>
    <w:sdtContent>
      <w:p w14:paraId="1289BF7E" w14:textId="67503B7D" w:rsidR="00A876EB" w:rsidRDefault="00A876EB" w:rsidP="00A876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DC305D" w14:textId="77777777" w:rsidR="00A876EB" w:rsidRDefault="00A876EB" w:rsidP="00313B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54003801"/>
      <w:docPartObj>
        <w:docPartGallery w:val="Page Numbers (Bottom of Page)"/>
        <w:docPartUnique/>
      </w:docPartObj>
    </w:sdtPr>
    <w:sdtEndPr>
      <w:rPr>
        <w:rStyle w:val="PageNumber"/>
      </w:rPr>
    </w:sdtEndPr>
    <w:sdtContent>
      <w:p w14:paraId="11A17BFB" w14:textId="20F5552D" w:rsidR="00A876EB" w:rsidRDefault="00A876EB" w:rsidP="00A876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F6FBD">
          <w:rPr>
            <w:rStyle w:val="PageNumber"/>
          </w:rPr>
          <w:t>11</w:t>
        </w:r>
        <w:r>
          <w:rPr>
            <w:rStyle w:val="PageNumber"/>
          </w:rPr>
          <w:fldChar w:fldCharType="end"/>
        </w:r>
      </w:p>
    </w:sdtContent>
  </w:sdt>
  <w:p w14:paraId="5FF87367" w14:textId="77777777" w:rsidR="00A876EB" w:rsidRDefault="00A876EB" w:rsidP="00313B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58492" w14:textId="77777777" w:rsidR="00D529BF" w:rsidRDefault="00D529BF" w:rsidP="00313BFE">
      <w:pPr>
        <w:spacing w:after="0" w:line="240" w:lineRule="auto"/>
      </w:pPr>
      <w:r>
        <w:separator/>
      </w:r>
    </w:p>
  </w:footnote>
  <w:footnote w:type="continuationSeparator" w:id="0">
    <w:p w14:paraId="32E156BF" w14:textId="77777777" w:rsidR="00D529BF" w:rsidRDefault="00D529BF" w:rsidP="00313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342C9"/>
    <w:multiLevelType w:val="hybridMultilevel"/>
    <w:tmpl w:val="9EAA4C1C"/>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51CE7"/>
    <w:multiLevelType w:val="hybridMultilevel"/>
    <w:tmpl w:val="BB32E634"/>
    <w:lvl w:ilvl="0" w:tplc="0D9A0B3A">
      <w:start w:val="1"/>
      <w:numFmt w:val="decimal"/>
      <w:lvlText w:val="%1."/>
      <w:lvlJc w:val="left"/>
      <w:pPr>
        <w:ind w:left="540" w:hanging="360"/>
      </w:pPr>
      <w:rPr>
        <w:rFonts w:ascii="Sylfaen" w:hAnsi="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A04F8A"/>
    <w:multiLevelType w:val="hybridMultilevel"/>
    <w:tmpl w:val="12C6B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9F"/>
    <w:rsid w:val="0000081F"/>
    <w:rsid w:val="0001097C"/>
    <w:rsid w:val="000253A5"/>
    <w:rsid w:val="00030082"/>
    <w:rsid w:val="00031ED1"/>
    <w:rsid w:val="00040ACF"/>
    <w:rsid w:val="00047A83"/>
    <w:rsid w:val="00071B82"/>
    <w:rsid w:val="00073D3A"/>
    <w:rsid w:val="000835AA"/>
    <w:rsid w:val="00084324"/>
    <w:rsid w:val="00084481"/>
    <w:rsid w:val="00085EF0"/>
    <w:rsid w:val="00094037"/>
    <w:rsid w:val="000B0501"/>
    <w:rsid w:val="000D616F"/>
    <w:rsid w:val="000D7DBB"/>
    <w:rsid w:val="000E4999"/>
    <w:rsid w:val="000F0AA9"/>
    <w:rsid w:val="000F6E4C"/>
    <w:rsid w:val="000F6FBD"/>
    <w:rsid w:val="0010223E"/>
    <w:rsid w:val="00112CA2"/>
    <w:rsid w:val="00134459"/>
    <w:rsid w:val="0014272A"/>
    <w:rsid w:val="0015654B"/>
    <w:rsid w:val="001633DE"/>
    <w:rsid w:val="00165AAD"/>
    <w:rsid w:val="001663C5"/>
    <w:rsid w:val="00187789"/>
    <w:rsid w:val="001949D1"/>
    <w:rsid w:val="001A1F28"/>
    <w:rsid w:val="00200D26"/>
    <w:rsid w:val="002066E3"/>
    <w:rsid w:val="00210E9C"/>
    <w:rsid w:val="0021141C"/>
    <w:rsid w:val="00237AC7"/>
    <w:rsid w:val="00252A86"/>
    <w:rsid w:val="00262112"/>
    <w:rsid w:val="00265AC6"/>
    <w:rsid w:val="00272CF6"/>
    <w:rsid w:val="00313BFE"/>
    <w:rsid w:val="0031471C"/>
    <w:rsid w:val="003660B4"/>
    <w:rsid w:val="00396656"/>
    <w:rsid w:val="003C00F5"/>
    <w:rsid w:val="003E04DC"/>
    <w:rsid w:val="0040278E"/>
    <w:rsid w:val="004074C0"/>
    <w:rsid w:val="00410102"/>
    <w:rsid w:val="004105DD"/>
    <w:rsid w:val="00415654"/>
    <w:rsid w:val="004223E5"/>
    <w:rsid w:val="00423FCF"/>
    <w:rsid w:val="00425210"/>
    <w:rsid w:val="00426D3E"/>
    <w:rsid w:val="00426E65"/>
    <w:rsid w:val="004508EB"/>
    <w:rsid w:val="004532AA"/>
    <w:rsid w:val="004601FD"/>
    <w:rsid w:val="00466857"/>
    <w:rsid w:val="0047153C"/>
    <w:rsid w:val="00477D5B"/>
    <w:rsid w:val="004844E1"/>
    <w:rsid w:val="00495F2E"/>
    <w:rsid w:val="004A6572"/>
    <w:rsid w:val="004B3D25"/>
    <w:rsid w:val="004C697A"/>
    <w:rsid w:val="004D037B"/>
    <w:rsid w:val="004D27DD"/>
    <w:rsid w:val="004F73D1"/>
    <w:rsid w:val="004F78E4"/>
    <w:rsid w:val="00501576"/>
    <w:rsid w:val="005102F9"/>
    <w:rsid w:val="00510358"/>
    <w:rsid w:val="00514E6C"/>
    <w:rsid w:val="00525AF0"/>
    <w:rsid w:val="005434FA"/>
    <w:rsid w:val="005502F6"/>
    <w:rsid w:val="00563B30"/>
    <w:rsid w:val="00564908"/>
    <w:rsid w:val="00575F32"/>
    <w:rsid w:val="00583C7A"/>
    <w:rsid w:val="005A6F60"/>
    <w:rsid w:val="005B0612"/>
    <w:rsid w:val="005D38A4"/>
    <w:rsid w:val="005D629E"/>
    <w:rsid w:val="005D6DDC"/>
    <w:rsid w:val="00601ABF"/>
    <w:rsid w:val="00602B63"/>
    <w:rsid w:val="00603A1F"/>
    <w:rsid w:val="00605681"/>
    <w:rsid w:val="00607DF6"/>
    <w:rsid w:val="00613CDF"/>
    <w:rsid w:val="00663543"/>
    <w:rsid w:val="0066613B"/>
    <w:rsid w:val="00666EE4"/>
    <w:rsid w:val="006763CA"/>
    <w:rsid w:val="006879B4"/>
    <w:rsid w:val="00693F3C"/>
    <w:rsid w:val="006A59B7"/>
    <w:rsid w:val="006B447A"/>
    <w:rsid w:val="006C1E2F"/>
    <w:rsid w:val="006C6FB8"/>
    <w:rsid w:val="006E3CED"/>
    <w:rsid w:val="006F0F30"/>
    <w:rsid w:val="006F2F36"/>
    <w:rsid w:val="006F6148"/>
    <w:rsid w:val="006F7189"/>
    <w:rsid w:val="007168B1"/>
    <w:rsid w:val="007235CB"/>
    <w:rsid w:val="00727194"/>
    <w:rsid w:val="007802D0"/>
    <w:rsid w:val="007A3BD6"/>
    <w:rsid w:val="007A5393"/>
    <w:rsid w:val="007B2EA0"/>
    <w:rsid w:val="007D568F"/>
    <w:rsid w:val="007E2875"/>
    <w:rsid w:val="007E7DBD"/>
    <w:rsid w:val="00802B58"/>
    <w:rsid w:val="00811268"/>
    <w:rsid w:val="00816686"/>
    <w:rsid w:val="00825D95"/>
    <w:rsid w:val="008543D1"/>
    <w:rsid w:val="00854BB5"/>
    <w:rsid w:val="00863210"/>
    <w:rsid w:val="00890683"/>
    <w:rsid w:val="008924CE"/>
    <w:rsid w:val="00892F1B"/>
    <w:rsid w:val="008A34FE"/>
    <w:rsid w:val="008B3C36"/>
    <w:rsid w:val="008C406D"/>
    <w:rsid w:val="008F7F4B"/>
    <w:rsid w:val="00901A60"/>
    <w:rsid w:val="00925697"/>
    <w:rsid w:val="00942A8A"/>
    <w:rsid w:val="00950D99"/>
    <w:rsid w:val="00953F3E"/>
    <w:rsid w:val="009801A5"/>
    <w:rsid w:val="00993B23"/>
    <w:rsid w:val="009A64A4"/>
    <w:rsid w:val="009C4BCA"/>
    <w:rsid w:val="00A10CEB"/>
    <w:rsid w:val="00A17F2C"/>
    <w:rsid w:val="00A34FD3"/>
    <w:rsid w:val="00A463EB"/>
    <w:rsid w:val="00A6239A"/>
    <w:rsid w:val="00A876EB"/>
    <w:rsid w:val="00A909EC"/>
    <w:rsid w:val="00A91ADE"/>
    <w:rsid w:val="00AA2875"/>
    <w:rsid w:val="00AA7875"/>
    <w:rsid w:val="00AB3949"/>
    <w:rsid w:val="00AC3D3A"/>
    <w:rsid w:val="00AC41E1"/>
    <w:rsid w:val="00AC5A05"/>
    <w:rsid w:val="00AD4B7C"/>
    <w:rsid w:val="00AD5E4C"/>
    <w:rsid w:val="00AE240D"/>
    <w:rsid w:val="00B12E05"/>
    <w:rsid w:val="00B1661E"/>
    <w:rsid w:val="00B23A47"/>
    <w:rsid w:val="00B25690"/>
    <w:rsid w:val="00B4291D"/>
    <w:rsid w:val="00B54514"/>
    <w:rsid w:val="00B55043"/>
    <w:rsid w:val="00B72F53"/>
    <w:rsid w:val="00B86524"/>
    <w:rsid w:val="00B93111"/>
    <w:rsid w:val="00B95470"/>
    <w:rsid w:val="00BA0952"/>
    <w:rsid w:val="00BB1CB8"/>
    <w:rsid w:val="00BD3E72"/>
    <w:rsid w:val="00BE0194"/>
    <w:rsid w:val="00BE1516"/>
    <w:rsid w:val="00BF5849"/>
    <w:rsid w:val="00C0672D"/>
    <w:rsid w:val="00C138E3"/>
    <w:rsid w:val="00C34A32"/>
    <w:rsid w:val="00C36D29"/>
    <w:rsid w:val="00C42D67"/>
    <w:rsid w:val="00C44BEB"/>
    <w:rsid w:val="00C50505"/>
    <w:rsid w:val="00C61E1D"/>
    <w:rsid w:val="00C70BB0"/>
    <w:rsid w:val="00C778BF"/>
    <w:rsid w:val="00CA6B63"/>
    <w:rsid w:val="00CB4C5E"/>
    <w:rsid w:val="00CD319B"/>
    <w:rsid w:val="00CD5211"/>
    <w:rsid w:val="00CD5EA4"/>
    <w:rsid w:val="00CD7268"/>
    <w:rsid w:val="00CE0C57"/>
    <w:rsid w:val="00D05DBC"/>
    <w:rsid w:val="00D11FE5"/>
    <w:rsid w:val="00D44AAB"/>
    <w:rsid w:val="00D529BF"/>
    <w:rsid w:val="00D87CDC"/>
    <w:rsid w:val="00D967FE"/>
    <w:rsid w:val="00DA2376"/>
    <w:rsid w:val="00DB625D"/>
    <w:rsid w:val="00DC59E4"/>
    <w:rsid w:val="00DD70AB"/>
    <w:rsid w:val="00DE63E3"/>
    <w:rsid w:val="00E00F82"/>
    <w:rsid w:val="00E04DB8"/>
    <w:rsid w:val="00E23C0C"/>
    <w:rsid w:val="00E2621A"/>
    <w:rsid w:val="00E4233A"/>
    <w:rsid w:val="00E45882"/>
    <w:rsid w:val="00E571ED"/>
    <w:rsid w:val="00E6073F"/>
    <w:rsid w:val="00E60BB6"/>
    <w:rsid w:val="00E659A8"/>
    <w:rsid w:val="00E73BDA"/>
    <w:rsid w:val="00E73DF1"/>
    <w:rsid w:val="00E83769"/>
    <w:rsid w:val="00EA7776"/>
    <w:rsid w:val="00F05E13"/>
    <w:rsid w:val="00F101A3"/>
    <w:rsid w:val="00F10663"/>
    <w:rsid w:val="00F10C9F"/>
    <w:rsid w:val="00F11CC4"/>
    <w:rsid w:val="00F2040E"/>
    <w:rsid w:val="00F20DE1"/>
    <w:rsid w:val="00F22920"/>
    <w:rsid w:val="00F54282"/>
    <w:rsid w:val="00F56EEC"/>
    <w:rsid w:val="00F652F0"/>
    <w:rsid w:val="00F71751"/>
    <w:rsid w:val="00F73ADE"/>
    <w:rsid w:val="00F74EDA"/>
    <w:rsid w:val="00FA2162"/>
    <w:rsid w:val="00FA3A2F"/>
    <w:rsid w:val="00FB3620"/>
    <w:rsid w:val="00FB75A6"/>
    <w:rsid w:val="00FC62B9"/>
    <w:rsid w:val="00FD5483"/>
    <w:rsid w:val="00FD6E60"/>
    <w:rsid w:val="00FE5476"/>
    <w:rsid w:val="00FE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8E73"/>
  <w15:chartTrackingRefBased/>
  <w15:docId w15:val="{B560555C-AD29-43DD-A5C0-B6D6C4AF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C9F"/>
    <w:rPr>
      <w:noProof/>
      <w:lang w:val="ka-GE"/>
    </w:rPr>
  </w:style>
  <w:style w:type="paragraph" w:styleId="Heading1">
    <w:name w:val="heading 1"/>
    <w:basedOn w:val="Normal"/>
    <w:next w:val="Normal"/>
    <w:link w:val="Heading1Char"/>
    <w:uiPriority w:val="9"/>
    <w:qFormat/>
    <w:rsid w:val="00F10C9F"/>
    <w:pPr>
      <w:keepNext/>
      <w:keepLines/>
      <w:spacing w:before="240" w:after="0"/>
      <w:outlineLvl w:val="0"/>
    </w:pPr>
    <w:rPr>
      <w:rFonts w:asciiTheme="majorHAnsi" w:eastAsiaTheme="majorEastAsia" w:hAnsiTheme="majorHAnsi" w:cstheme="majorBidi"/>
      <w:noProof w:val="0"/>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C9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10C9F"/>
    <w:pPr>
      <w:ind w:left="720"/>
      <w:contextualSpacing/>
    </w:pPr>
  </w:style>
  <w:style w:type="character" w:styleId="CommentReference">
    <w:name w:val="annotation reference"/>
    <w:basedOn w:val="DefaultParagraphFont"/>
    <w:uiPriority w:val="99"/>
    <w:semiHidden/>
    <w:unhideWhenUsed/>
    <w:rsid w:val="009C4BCA"/>
    <w:rPr>
      <w:sz w:val="16"/>
      <w:szCs w:val="16"/>
    </w:rPr>
  </w:style>
  <w:style w:type="paragraph" w:styleId="CommentText">
    <w:name w:val="annotation text"/>
    <w:basedOn w:val="Normal"/>
    <w:link w:val="CommentTextChar"/>
    <w:uiPriority w:val="99"/>
    <w:unhideWhenUsed/>
    <w:rsid w:val="009C4BCA"/>
    <w:pPr>
      <w:spacing w:line="240" w:lineRule="auto"/>
    </w:pPr>
    <w:rPr>
      <w:sz w:val="20"/>
      <w:szCs w:val="20"/>
    </w:rPr>
  </w:style>
  <w:style w:type="character" w:customStyle="1" w:styleId="CommentTextChar">
    <w:name w:val="Comment Text Char"/>
    <w:basedOn w:val="DefaultParagraphFont"/>
    <w:link w:val="CommentText"/>
    <w:uiPriority w:val="99"/>
    <w:rsid w:val="009C4BCA"/>
    <w:rPr>
      <w:noProof/>
      <w:sz w:val="20"/>
      <w:szCs w:val="20"/>
      <w:lang w:val="ka-GE"/>
    </w:rPr>
  </w:style>
  <w:style w:type="paragraph" w:styleId="CommentSubject">
    <w:name w:val="annotation subject"/>
    <w:basedOn w:val="CommentText"/>
    <w:next w:val="CommentText"/>
    <w:link w:val="CommentSubjectChar"/>
    <w:uiPriority w:val="99"/>
    <w:semiHidden/>
    <w:unhideWhenUsed/>
    <w:rsid w:val="009C4BCA"/>
    <w:rPr>
      <w:b/>
      <w:bCs/>
    </w:rPr>
  </w:style>
  <w:style w:type="character" w:customStyle="1" w:styleId="CommentSubjectChar">
    <w:name w:val="Comment Subject Char"/>
    <w:basedOn w:val="CommentTextChar"/>
    <w:link w:val="CommentSubject"/>
    <w:uiPriority w:val="99"/>
    <w:semiHidden/>
    <w:rsid w:val="009C4BCA"/>
    <w:rPr>
      <w:b/>
      <w:bCs/>
      <w:noProof/>
      <w:sz w:val="20"/>
      <w:szCs w:val="20"/>
      <w:lang w:val="ka-GE"/>
    </w:rPr>
  </w:style>
  <w:style w:type="paragraph" w:styleId="BalloonText">
    <w:name w:val="Balloon Text"/>
    <w:basedOn w:val="Normal"/>
    <w:link w:val="BalloonTextChar"/>
    <w:uiPriority w:val="99"/>
    <w:semiHidden/>
    <w:unhideWhenUsed/>
    <w:rsid w:val="009C4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CA"/>
    <w:rPr>
      <w:rFonts w:ascii="Segoe UI" w:hAnsi="Segoe UI" w:cs="Segoe UI"/>
      <w:noProof/>
      <w:sz w:val="18"/>
      <w:szCs w:val="18"/>
      <w:lang w:val="ka-GE"/>
    </w:rPr>
  </w:style>
  <w:style w:type="character" w:customStyle="1" w:styleId="apple-converted-space">
    <w:name w:val="apple-converted-space"/>
    <w:basedOn w:val="DefaultParagraphFont"/>
    <w:rsid w:val="00607DF6"/>
  </w:style>
  <w:style w:type="paragraph" w:styleId="Header">
    <w:name w:val="header"/>
    <w:basedOn w:val="Normal"/>
    <w:link w:val="HeaderChar"/>
    <w:uiPriority w:val="99"/>
    <w:unhideWhenUsed/>
    <w:rsid w:val="00313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BFE"/>
    <w:rPr>
      <w:noProof/>
      <w:lang w:val="ka-GE"/>
    </w:rPr>
  </w:style>
  <w:style w:type="paragraph" w:styleId="Footer">
    <w:name w:val="footer"/>
    <w:basedOn w:val="Normal"/>
    <w:link w:val="FooterChar"/>
    <w:uiPriority w:val="99"/>
    <w:unhideWhenUsed/>
    <w:rsid w:val="00313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BFE"/>
    <w:rPr>
      <w:noProof/>
      <w:lang w:val="ka-GE"/>
    </w:rPr>
  </w:style>
  <w:style w:type="character" w:styleId="PageNumber">
    <w:name w:val="page number"/>
    <w:basedOn w:val="DefaultParagraphFont"/>
    <w:uiPriority w:val="99"/>
    <w:semiHidden/>
    <w:unhideWhenUsed/>
    <w:rsid w:val="00313BFE"/>
  </w:style>
  <w:style w:type="paragraph" w:styleId="Revision">
    <w:name w:val="Revision"/>
    <w:hidden/>
    <w:uiPriority w:val="99"/>
    <w:semiHidden/>
    <w:rsid w:val="00495F2E"/>
    <w:pPr>
      <w:spacing w:after="0" w:line="240" w:lineRule="auto"/>
    </w:pPr>
    <w:rPr>
      <w:noProof/>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54223">
      <w:bodyDiv w:val="1"/>
      <w:marLeft w:val="0"/>
      <w:marRight w:val="0"/>
      <w:marTop w:val="0"/>
      <w:marBottom w:val="0"/>
      <w:divBdr>
        <w:top w:val="none" w:sz="0" w:space="0" w:color="auto"/>
        <w:left w:val="none" w:sz="0" w:space="0" w:color="auto"/>
        <w:bottom w:val="none" w:sz="0" w:space="0" w:color="auto"/>
        <w:right w:val="none" w:sz="0" w:space="0" w:color="auto"/>
      </w:divBdr>
    </w:div>
    <w:div w:id="282158875">
      <w:bodyDiv w:val="1"/>
      <w:marLeft w:val="0"/>
      <w:marRight w:val="0"/>
      <w:marTop w:val="0"/>
      <w:marBottom w:val="0"/>
      <w:divBdr>
        <w:top w:val="none" w:sz="0" w:space="0" w:color="auto"/>
        <w:left w:val="none" w:sz="0" w:space="0" w:color="auto"/>
        <w:bottom w:val="none" w:sz="0" w:space="0" w:color="auto"/>
        <w:right w:val="none" w:sz="0" w:space="0" w:color="auto"/>
      </w:divBdr>
      <w:divsChild>
        <w:div w:id="210102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260477">
      <w:bodyDiv w:val="1"/>
      <w:marLeft w:val="0"/>
      <w:marRight w:val="0"/>
      <w:marTop w:val="0"/>
      <w:marBottom w:val="0"/>
      <w:divBdr>
        <w:top w:val="none" w:sz="0" w:space="0" w:color="auto"/>
        <w:left w:val="none" w:sz="0" w:space="0" w:color="auto"/>
        <w:bottom w:val="none" w:sz="0" w:space="0" w:color="auto"/>
        <w:right w:val="none" w:sz="0" w:space="0" w:color="auto"/>
      </w:divBdr>
    </w:div>
    <w:div w:id="357320021">
      <w:bodyDiv w:val="1"/>
      <w:marLeft w:val="0"/>
      <w:marRight w:val="0"/>
      <w:marTop w:val="0"/>
      <w:marBottom w:val="0"/>
      <w:divBdr>
        <w:top w:val="none" w:sz="0" w:space="0" w:color="auto"/>
        <w:left w:val="none" w:sz="0" w:space="0" w:color="auto"/>
        <w:bottom w:val="none" w:sz="0" w:space="0" w:color="auto"/>
        <w:right w:val="none" w:sz="0" w:space="0" w:color="auto"/>
      </w:divBdr>
    </w:div>
    <w:div w:id="391777519">
      <w:bodyDiv w:val="1"/>
      <w:marLeft w:val="0"/>
      <w:marRight w:val="0"/>
      <w:marTop w:val="0"/>
      <w:marBottom w:val="0"/>
      <w:divBdr>
        <w:top w:val="none" w:sz="0" w:space="0" w:color="auto"/>
        <w:left w:val="none" w:sz="0" w:space="0" w:color="auto"/>
        <w:bottom w:val="none" w:sz="0" w:space="0" w:color="auto"/>
        <w:right w:val="none" w:sz="0" w:space="0" w:color="auto"/>
      </w:divBdr>
    </w:div>
    <w:div w:id="448355718">
      <w:bodyDiv w:val="1"/>
      <w:marLeft w:val="0"/>
      <w:marRight w:val="0"/>
      <w:marTop w:val="0"/>
      <w:marBottom w:val="0"/>
      <w:divBdr>
        <w:top w:val="none" w:sz="0" w:space="0" w:color="auto"/>
        <w:left w:val="none" w:sz="0" w:space="0" w:color="auto"/>
        <w:bottom w:val="none" w:sz="0" w:space="0" w:color="auto"/>
        <w:right w:val="none" w:sz="0" w:space="0" w:color="auto"/>
      </w:divBdr>
    </w:div>
    <w:div w:id="612178122">
      <w:bodyDiv w:val="1"/>
      <w:marLeft w:val="0"/>
      <w:marRight w:val="0"/>
      <w:marTop w:val="0"/>
      <w:marBottom w:val="0"/>
      <w:divBdr>
        <w:top w:val="none" w:sz="0" w:space="0" w:color="auto"/>
        <w:left w:val="none" w:sz="0" w:space="0" w:color="auto"/>
        <w:bottom w:val="none" w:sz="0" w:space="0" w:color="auto"/>
        <w:right w:val="none" w:sz="0" w:space="0" w:color="auto"/>
      </w:divBdr>
    </w:div>
    <w:div w:id="665867484">
      <w:bodyDiv w:val="1"/>
      <w:marLeft w:val="0"/>
      <w:marRight w:val="0"/>
      <w:marTop w:val="0"/>
      <w:marBottom w:val="0"/>
      <w:divBdr>
        <w:top w:val="none" w:sz="0" w:space="0" w:color="auto"/>
        <w:left w:val="none" w:sz="0" w:space="0" w:color="auto"/>
        <w:bottom w:val="none" w:sz="0" w:space="0" w:color="auto"/>
        <w:right w:val="none" w:sz="0" w:space="0" w:color="auto"/>
      </w:divBdr>
    </w:div>
    <w:div w:id="677538136">
      <w:bodyDiv w:val="1"/>
      <w:marLeft w:val="0"/>
      <w:marRight w:val="0"/>
      <w:marTop w:val="0"/>
      <w:marBottom w:val="0"/>
      <w:divBdr>
        <w:top w:val="none" w:sz="0" w:space="0" w:color="auto"/>
        <w:left w:val="none" w:sz="0" w:space="0" w:color="auto"/>
        <w:bottom w:val="none" w:sz="0" w:space="0" w:color="auto"/>
        <w:right w:val="none" w:sz="0" w:space="0" w:color="auto"/>
      </w:divBdr>
    </w:div>
    <w:div w:id="684600974">
      <w:bodyDiv w:val="1"/>
      <w:marLeft w:val="0"/>
      <w:marRight w:val="0"/>
      <w:marTop w:val="0"/>
      <w:marBottom w:val="0"/>
      <w:divBdr>
        <w:top w:val="none" w:sz="0" w:space="0" w:color="auto"/>
        <w:left w:val="none" w:sz="0" w:space="0" w:color="auto"/>
        <w:bottom w:val="none" w:sz="0" w:space="0" w:color="auto"/>
        <w:right w:val="none" w:sz="0" w:space="0" w:color="auto"/>
      </w:divBdr>
    </w:div>
    <w:div w:id="715011006">
      <w:bodyDiv w:val="1"/>
      <w:marLeft w:val="0"/>
      <w:marRight w:val="0"/>
      <w:marTop w:val="0"/>
      <w:marBottom w:val="0"/>
      <w:divBdr>
        <w:top w:val="none" w:sz="0" w:space="0" w:color="auto"/>
        <w:left w:val="none" w:sz="0" w:space="0" w:color="auto"/>
        <w:bottom w:val="none" w:sz="0" w:space="0" w:color="auto"/>
        <w:right w:val="none" w:sz="0" w:space="0" w:color="auto"/>
      </w:divBdr>
    </w:div>
    <w:div w:id="735978587">
      <w:bodyDiv w:val="1"/>
      <w:marLeft w:val="0"/>
      <w:marRight w:val="0"/>
      <w:marTop w:val="0"/>
      <w:marBottom w:val="0"/>
      <w:divBdr>
        <w:top w:val="none" w:sz="0" w:space="0" w:color="auto"/>
        <w:left w:val="none" w:sz="0" w:space="0" w:color="auto"/>
        <w:bottom w:val="none" w:sz="0" w:space="0" w:color="auto"/>
        <w:right w:val="none" w:sz="0" w:space="0" w:color="auto"/>
      </w:divBdr>
    </w:div>
    <w:div w:id="816729588">
      <w:bodyDiv w:val="1"/>
      <w:marLeft w:val="0"/>
      <w:marRight w:val="0"/>
      <w:marTop w:val="0"/>
      <w:marBottom w:val="0"/>
      <w:divBdr>
        <w:top w:val="none" w:sz="0" w:space="0" w:color="auto"/>
        <w:left w:val="none" w:sz="0" w:space="0" w:color="auto"/>
        <w:bottom w:val="none" w:sz="0" w:space="0" w:color="auto"/>
        <w:right w:val="none" w:sz="0" w:space="0" w:color="auto"/>
      </w:divBdr>
    </w:div>
    <w:div w:id="897784677">
      <w:bodyDiv w:val="1"/>
      <w:marLeft w:val="0"/>
      <w:marRight w:val="0"/>
      <w:marTop w:val="0"/>
      <w:marBottom w:val="0"/>
      <w:divBdr>
        <w:top w:val="none" w:sz="0" w:space="0" w:color="auto"/>
        <w:left w:val="none" w:sz="0" w:space="0" w:color="auto"/>
        <w:bottom w:val="none" w:sz="0" w:space="0" w:color="auto"/>
        <w:right w:val="none" w:sz="0" w:space="0" w:color="auto"/>
      </w:divBdr>
    </w:div>
    <w:div w:id="1219321153">
      <w:bodyDiv w:val="1"/>
      <w:marLeft w:val="0"/>
      <w:marRight w:val="0"/>
      <w:marTop w:val="0"/>
      <w:marBottom w:val="0"/>
      <w:divBdr>
        <w:top w:val="none" w:sz="0" w:space="0" w:color="auto"/>
        <w:left w:val="none" w:sz="0" w:space="0" w:color="auto"/>
        <w:bottom w:val="none" w:sz="0" w:space="0" w:color="auto"/>
        <w:right w:val="none" w:sz="0" w:space="0" w:color="auto"/>
      </w:divBdr>
    </w:div>
    <w:div w:id="1221402892">
      <w:bodyDiv w:val="1"/>
      <w:marLeft w:val="0"/>
      <w:marRight w:val="0"/>
      <w:marTop w:val="0"/>
      <w:marBottom w:val="0"/>
      <w:divBdr>
        <w:top w:val="none" w:sz="0" w:space="0" w:color="auto"/>
        <w:left w:val="none" w:sz="0" w:space="0" w:color="auto"/>
        <w:bottom w:val="none" w:sz="0" w:space="0" w:color="auto"/>
        <w:right w:val="none" w:sz="0" w:space="0" w:color="auto"/>
      </w:divBdr>
    </w:div>
    <w:div w:id="1456675991">
      <w:bodyDiv w:val="1"/>
      <w:marLeft w:val="0"/>
      <w:marRight w:val="0"/>
      <w:marTop w:val="0"/>
      <w:marBottom w:val="0"/>
      <w:divBdr>
        <w:top w:val="none" w:sz="0" w:space="0" w:color="auto"/>
        <w:left w:val="none" w:sz="0" w:space="0" w:color="auto"/>
        <w:bottom w:val="none" w:sz="0" w:space="0" w:color="auto"/>
        <w:right w:val="none" w:sz="0" w:space="0" w:color="auto"/>
      </w:divBdr>
    </w:div>
    <w:div w:id="1496802754">
      <w:bodyDiv w:val="1"/>
      <w:marLeft w:val="0"/>
      <w:marRight w:val="0"/>
      <w:marTop w:val="0"/>
      <w:marBottom w:val="0"/>
      <w:divBdr>
        <w:top w:val="none" w:sz="0" w:space="0" w:color="auto"/>
        <w:left w:val="none" w:sz="0" w:space="0" w:color="auto"/>
        <w:bottom w:val="none" w:sz="0" w:space="0" w:color="auto"/>
        <w:right w:val="none" w:sz="0" w:space="0" w:color="auto"/>
      </w:divBdr>
    </w:div>
    <w:div w:id="1515463585">
      <w:bodyDiv w:val="1"/>
      <w:marLeft w:val="0"/>
      <w:marRight w:val="0"/>
      <w:marTop w:val="0"/>
      <w:marBottom w:val="0"/>
      <w:divBdr>
        <w:top w:val="none" w:sz="0" w:space="0" w:color="auto"/>
        <w:left w:val="none" w:sz="0" w:space="0" w:color="auto"/>
        <w:bottom w:val="none" w:sz="0" w:space="0" w:color="auto"/>
        <w:right w:val="none" w:sz="0" w:space="0" w:color="auto"/>
      </w:divBdr>
    </w:div>
    <w:div w:id="1630278240">
      <w:bodyDiv w:val="1"/>
      <w:marLeft w:val="0"/>
      <w:marRight w:val="0"/>
      <w:marTop w:val="0"/>
      <w:marBottom w:val="0"/>
      <w:divBdr>
        <w:top w:val="none" w:sz="0" w:space="0" w:color="auto"/>
        <w:left w:val="none" w:sz="0" w:space="0" w:color="auto"/>
        <w:bottom w:val="none" w:sz="0" w:space="0" w:color="auto"/>
        <w:right w:val="none" w:sz="0" w:space="0" w:color="auto"/>
      </w:divBdr>
    </w:div>
    <w:div w:id="1658799282">
      <w:bodyDiv w:val="1"/>
      <w:marLeft w:val="0"/>
      <w:marRight w:val="0"/>
      <w:marTop w:val="0"/>
      <w:marBottom w:val="0"/>
      <w:divBdr>
        <w:top w:val="none" w:sz="0" w:space="0" w:color="auto"/>
        <w:left w:val="none" w:sz="0" w:space="0" w:color="auto"/>
        <w:bottom w:val="none" w:sz="0" w:space="0" w:color="auto"/>
        <w:right w:val="none" w:sz="0" w:space="0" w:color="auto"/>
      </w:divBdr>
    </w:div>
    <w:div w:id="2033265401">
      <w:bodyDiv w:val="1"/>
      <w:marLeft w:val="0"/>
      <w:marRight w:val="0"/>
      <w:marTop w:val="0"/>
      <w:marBottom w:val="0"/>
      <w:divBdr>
        <w:top w:val="none" w:sz="0" w:space="0" w:color="auto"/>
        <w:left w:val="none" w:sz="0" w:space="0" w:color="auto"/>
        <w:bottom w:val="none" w:sz="0" w:space="0" w:color="auto"/>
        <w:right w:val="none" w:sz="0" w:space="0" w:color="auto"/>
      </w:divBdr>
    </w:div>
    <w:div w:id="2065906843">
      <w:bodyDiv w:val="1"/>
      <w:marLeft w:val="0"/>
      <w:marRight w:val="0"/>
      <w:marTop w:val="0"/>
      <w:marBottom w:val="0"/>
      <w:divBdr>
        <w:top w:val="none" w:sz="0" w:space="0" w:color="auto"/>
        <w:left w:val="none" w:sz="0" w:space="0" w:color="auto"/>
        <w:bottom w:val="none" w:sz="0" w:space="0" w:color="auto"/>
        <w:right w:val="none" w:sz="0" w:space="0" w:color="auto"/>
      </w:divBdr>
    </w:div>
    <w:div w:id="2082680782">
      <w:bodyDiv w:val="1"/>
      <w:marLeft w:val="0"/>
      <w:marRight w:val="0"/>
      <w:marTop w:val="0"/>
      <w:marBottom w:val="0"/>
      <w:divBdr>
        <w:top w:val="none" w:sz="0" w:space="0" w:color="auto"/>
        <w:left w:val="none" w:sz="0" w:space="0" w:color="auto"/>
        <w:bottom w:val="none" w:sz="0" w:space="0" w:color="auto"/>
        <w:right w:val="none" w:sz="0" w:space="0" w:color="auto"/>
      </w:divBdr>
    </w:div>
    <w:div w:id="2128428622">
      <w:bodyDiv w:val="1"/>
      <w:marLeft w:val="0"/>
      <w:marRight w:val="0"/>
      <w:marTop w:val="0"/>
      <w:marBottom w:val="0"/>
      <w:divBdr>
        <w:top w:val="none" w:sz="0" w:space="0" w:color="auto"/>
        <w:left w:val="none" w:sz="0" w:space="0" w:color="auto"/>
        <w:bottom w:val="none" w:sz="0" w:space="0" w:color="auto"/>
        <w:right w:val="none" w:sz="0" w:space="0" w:color="auto"/>
      </w:divBdr>
    </w:div>
    <w:div w:id="21395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8104-36ED-4254-A278-F717A2B9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11</Pages>
  <Words>2907</Words>
  <Characters>16572</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2025-10-28T09:28:00Z</dcterms:created>
  <dcterms:modified xsi:type="dcterms:W3CDTF">2025-11-18T08:22:00Z</dcterms:modified>
</cp:coreProperties>
</file>