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215" w:rsidRPr="009C0D18" w:rsidRDefault="000A68FB">
      <w:pPr>
        <w:ind w:left="-720" w:right="-72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დამტკიცებულია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პლენუმის</w:t>
      </w:r>
      <w:r w:rsidRPr="009C0D18">
        <w:rPr>
          <w:rFonts w:ascii="Times New Roman" w:eastAsia="Times New Roman" w:hAnsi="Times New Roman" w:cs="Times New Roman"/>
          <w:color w:val="000000" w:themeColor="text1"/>
        </w:rPr>
        <w:t xml:space="preserve"> 2019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17 </w:t>
      </w:r>
      <w:r w:rsidRPr="009C0D18">
        <w:rPr>
          <w:rFonts w:ascii="Arial Unicode MS" w:eastAsia="Arial Unicode MS" w:hAnsi="Arial Unicode MS" w:cs="Arial Unicode MS"/>
          <w:color w:val="000000" w:themeColor="text1"/>
        </w:rPr>
        <w:t>დეკემბრის</w:t>
      </w:r>
      <w:r w:rsidRPr="009C0D18">
        <w:rPr>
          <w:rFonts w:ascii="Times New Roman" w:eastAsia="Times New Roman" w:hAnsi="Times New Roman" w:cs="Times New Roman"/>
          <w:color w:val="000000" w:themeColor="text1"/>
        </w:rPr>
        <w:t xml:space="preserve"> №119/1 </w:t>
      </w:r>
      <w:r w:rsidRPr="009C0D18">
        <w:rPr>
          <w:rFonts w:ascii="Arial Unicode MS" w:eastAsia="Arial Unicode MS" w:hAnsi="Arial Unicode MS" w:cs="Arial Unicode MS"/>
          <w:color w:val="000000" w:themeColor="text1"/>
        </w:rPr>
        <w:t>დადგენილებით</w:t>
      </w:r>
      <w:r w:rsidRPr="009C0D18">
        <w:rPr>
          <w:rFonts w:ascii="Times New Roman" w:eastAsia="Times New Roman" w:hAnsi="Times New Roman" w:cs="Times New Roman"/>
          <w:color w:val="000000" w:themeColor="text1"/>
        </w:rPr>
        <w:br/>
        <w:t xml:space="preserve"> </w:t>
      </w:r>
    </w:p>
    <w:p w:rsidR="002D3215" w:rsidRPr="009C0D18" w:rsidRDefault="002D3215">
      <w:pPr>
        <w:ind w:left="-720" w:right="-720"/>
        <w:jc w:val="center"/>
        <w:rPr>
          <w:rFonts w:ascii="Times New Roman" w:eastAsia="Times New Roman" w:hAnsi="Times New Roman" w:cs="Times New Roman"/>
          <w:color w:val="000000" w:themeColor="text1"/>
        </w:rPr>
      </w:pPr>
    </w:p>
    <w:p w:rsidR="002D3215" w:rsidRPr="009C0D18" w:rsidRDefault="000A68FB">
      <w:pPr>
        <w:tabs>
          <w:tab w:val="left" w:pos="10080"/>
        </w:tabs>
        <w:spacing w:after="0" w:line="240" w:lineRule="auto"/>
        <w:ind w:left="-720" w:right="-81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რეგისტრაციის</w:t>
      </w:r>
      <w:r w:rsidRPr="009C0D18">
        <w:rPr>
          <w:rFonts w:ascii="Times New Roman" w:eastAsia="Times New Roman" w:hAnsi="Times New Roman" w:cs="Times New Roman"/>
          <w:color w:val="000000" w:themeColor="text1"/>
        </w:rPr>
        <w:t xml:space="preserve"> №________________    </w:t>
      </w:r>
      <w:r w:rsidRPr="009C0D18">
        <w:rPr>
          <w:rFonts w:ascii="Arial Unicode MS" w:eastAsia="Arial Unicode MS" w:hAnsi="Arial Unicode MS" w:cs="Arial Unicode MS"/>
          <w:color w:val="000000" w:themeColor="text1"/>
        </w:rPr>
        <w:t>მიღების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თარიღი</w:t>
      </w:r>
      <w:r w:rsidRPr="009C0D18">
        <w:rPr>
          <w:rFonts w:ascii="Times New Roman" w:eastAsia="Times New Roman" w:hAnsi="Times New Roman" w:cs="Times New Roman"/>
          <w:color w:val="000000" w:themeColor="text1"/>
        </w:rPr>
        <w:t>: _________/__________/____________</w:t>
      </w:r>
    </w:p>
    <w:p w:rsidR="002D3215" w:rsidRPr="009C0D18" w:rsidRDefault="002D3215">
      <w:pPr>
        <w:jc w:val="center"/>
        <w:rPr>
          <w:rFonts w:ascii="Times New Roman" w:eastAsia="Times New Roman" w:hAnsi="Times New Roman" w:cs="Times New Roman"/>
          <w:color w:val="000000" w:themeColor="text1"/>
        </w:rPr>
      </w:pPr>
    </w:p>
    <w:p w:rsidR="002D3215" w:rsidRPr="009C0D18" w:rsidRDefault="002D3215">
      <w:pPr>
        <w:jc w:val="center"/>
        <w:rPr>
          <w:rFonts w:ascii="Times New Roman" w:eastAsia="Times New Roman" w:hAnsi="Times New Roman" w:cs="Times New Roman"/>
          <w:color w:val="000000" w:themeColor="text1"/>
        </w:rPr>
      </w:pPr>
    </w:p>
    <w:p w:rsidR="002D3215" w:rsidRPr="009C0D18" w:rsidRDefault="002D3215">
      <w:pPr>
        <w:rPr>
          <w:rFonts w:ascii="Times New Roman" w:eastAsia="Times New Roman" w:hAnsi="Times New Roman" w:cs="Times New Roman"/>
          <w:color w:val="000000" w:themeColor="text1"/>
        </w:rPr>
      </w:pPr>
    </w:p>
    <w:p w:rsidR="002D3215" w:rsidRPr="009C0D18" w:rsidRDefault="002D3215">
      <w:pPr>
        <w:jc w:val="center"/>
        <w:rPr>
          <w:rFonts w:ascii="Times New Roman" w:eastAsia="Times New Roman" w:hAnsi="Times New Roman" w:cs="Times New Roman"/>
          <w:color w:val="000000" w:themeColor="text1"/>
        </w:rPr>
      </w:pPr>
    </w:p>
    <w:p w:rsidR="002D3215" w:rsidRPr="009C0D18" w:rsidRDefault="000A68FB">
      <w:pPr>
        <w:jc w:val="center"/>
        <w:rPr>
          <w:rFonts w:ascii="Times New Roman" w:eastAsia="Times New Roman" w:hAnsi="Times New Roman" w:cs="Times New Roman"/>
          <w:color w:val="000000" w:themeColor="text1"/>
        </w:rPr>
      </w:pPr>
      <w:r w:rsidRPr="009C0D18">
        <w:rPr>
          <w:rFonts w:ascii="Times New Roman" w:eastAsia="Times New Roman" w:hAnsi="Times New Roman" w:cs="Times New Roman"/>
          <w:noProof/>
          <w:color w:val="000000" w:themeColor="text1"/>
          <w:lang w:val="ru-RU" w:eastAsia="ru-RU"/>
        </w:rPr>
        <w:drawing>
          <wp:inline distT="0" distB="0" distL="0" distR="0">
            <wp:extent cx="2203343" cy="1366073"/>
            <wp:effectExtent l="0" t="0" r="0" b="0"/>
            <wp:docPr id="1" name="image1.jpg" descr="CCiG logo"/>
            <wp:cNvGraphicFramePr/>
            <a:graphic xmlns:a="http://schemas.openxmlformats.org/drawingml/2006/main">
              <a:graphicData uri="http://schemas.openxmlformats.org/drawingml/2006/picture">
                <pic:pic xmlns:pic="http://schemas.openxmlformats.org/drawingml/2006/picture">
                  <pic:nvPicPr>
                    <pic:cNvPr id="0" name="image1.jpg" descr="CCiG logo"/>
                    <pic:cNvPicPr preferRelativeResize="0"/>
                  </pic:nvPicPr>
                  <pic:blipFill>
                    <a:blip r:embed="rId7"/>
                    <a:srcRect/>
                    <a:stretch>
                      <a:fillRect/>
                    </a:stretch>
                  </pic:blipFill>
                  <pic:spPr>
                    <a:xfrm>
                      <a:off x="0" y="0"/>
                      <a:ext cx="2203343" cy="1366073"/>
                    </a:xfrm>
                    <a:prstGeom prst="rect">
                      <a:avLst/>
                    </a:prstGeom>
                    <a:ln/>
                  </pic:spPr>
                </pic:pic>
              </a:graphicData>
            </a:graphic>
          </wp:inline>
        </w:drawing>
      </w:r>
    </w:p>
    <w:p w:rsidR="002D3215" w:rsidRPr="009C0D18" w:rsidRDefault="002D3215">
      <w:pPr>
        <w:jc w:val="center"/>
        <w:rPr>
          <w:rFonts w:ascii="Times New Roman" w:eastAsia="Times New Roman" w:hAnsi="Times New Roman" w:cs="Times New Roman"/>
          <w:color w:val="000000" w:themeColor="text1"/>
        </w:rPr>
      </w:pPr>
    </w:p>
    <w:p w:rsidR="002D3215" w:rsidRPr="009C0D18" w:rsidRDefault="002D3215">
      <w:pPr>
        <w:jc w:val="center"/>
        <w:rPr>
          <w:rFonts w:ascii="Times New Roman" w:eastAsia="Times New Roman" w:hAnsi="Times New Roman" w:cs="Times New Roman"/>
          <w:color w:val="000000" w:themeColor="text1"/>
        </w:rPr>
      </w:pPr>
    </w:p>
    <w:p w:rsidR="002D3215" w:rsidRPr="009C0D18" w:rsidRDefault="000A68FB">
      <w:pPr>
        <w:shd w:val="clear" w:color="auto" w:fill="9CC3E5"/>
        <w:ind w:left="-720" w:right="-720"/>
        <w:jc w:val="center"/>
        <w:rPr>
          <w:rFonts w:ascii="Times New Roman" w:eastAsia="Times New Roman" w:hAnsi="Times New Roman" w:cs="Times New Roman"/>
          <w:color w:val="000000" w:themeColor="text1"/>
        </w:rPr>
      </w:pPr>
      <w:bookmarkStart w:id="0" w:name="_gc4gdo85jyxo" w:colFirst="0" w:colLast="0"/>
      <w:bookmarkEnd w:id="0"/>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სასარჩელო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სააპლიკაციო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ფორმა</w:t>
      </w:r>
    </w:p>
    <w:p w:rsidR="002D3215" w:rsidRPr="009C0D18" w:rsidRDefault="000A68FB">
      <w:pPr>
        <w:ind w:left="-720" w:right="-72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მეორე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თავისუფლებებთან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ნორმატიული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-60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w:t>
      </w:r>
      <w:r w:rsidRPr="009C0D18">
        <w:rPr>
          <w:rFonts w:ascii="Times New Roman" w:eastAsia="Times New Roman" w:hAnsi="Times New Roman" w:cs="Times New Roman"/>
          <w:color w:val="000000" w:themeColor="text1"/>
        </w:rPr>
        <w:t>).</w:t>
      </w:r>
    </w:p>
    <w:p w:rsidR="002D3215" w:rsidRPr="009C0D18" w:rsidRDefault="000A68FB">
      <w:pPr>
        <w:ind w:left="-720" w:right="-72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ფორმის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შევსების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დეტალური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ინსტრუქცია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რჩევები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შეგიძლიათ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იხილოთ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ვებგვერდზე</w:t>
      </w:r>
      <w:r w:rsidRPr="009C0D18">
        <w:rPr>
          <w:rFonts w:ascii="Times New Roman" w:eastAsia="Times New Roman" w:hAnsi="Times New Roman" w:cs="Times New Roman"/>
          <w:color w:val="000000" w:themeColor="text1"/>
        </w:rPr>
        <w:t xml:space="preserve"> </w:t>
      </w:r>
      <w:hyperlink r:id="rId8">
        <w:r w:rsidRPr="009C0D18">
          <w:rPr>
            <w:rFonts w:ascii="Times New Roman" w:eastAsia="Times New Roman" w:hAnsi="Times New Roman" w:cs="Times New Roman"/>
            <w:color w:val="000000" w:themeColor="text1"/>
            <w:u w:val="single"/>
          </w:rPr>
          <w:t>www.constcourt.ge</w:t>
        </w:r>
      </w:hyperlink>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კითხვების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რეკომენდაციების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გთხოვთ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დაგვიკავშირდეთ</w:t>
      </w:r>
      <w:r w:rsidRPr="009C0D18">
        <w:rPr>
          <w:rFonts w:ascii="Times New Roman" w:eastAsia="Times New Roman" w:hAnsi="Times New Roman" w:cs="Times New Roman"/>
          <w:color w:val="000000" w:themeColor="text1"/>
        </w:rPr>
        <w:t xml:space="preserve"> </w:t>
      </w:r>
      <w:hyperlink r:id="rId9">
        <w:r w:rsidRPr="009C0D18">
          <w:rPr>
            <w:rFonts w:ascii="Times New Roman" w:eastAsia="Times New Roman" w:hAnsi="Times New Roman" w:cs="Times New Roman"/>
            <w:color w:val="000000" w:themeColor="text1"/>
            <w:u w:val="single"/>
          </w:rPr>
          <w:t>https://www.constcourt.ge/ka/contact</w:t>
        </w:r>
      </w:hyperlink>
      <w:r w:rsidRPr="009C0D18">
        <w:rPr>
          <w:rFonts w:ascii="Times New Roman" w:eastAsia="Times New Roman" w:hAnsi="Times New Roman" w:cs="Times New Roman"/>
          <w:color w:val="000000" w:themeColor="text1"/>
        </w:rPr>
        <w:t xml:space="preserve">. </w:t>
      </w:r>
    </w:p>
    <w:p w:rsidR="002D3215" w:rsidRPr="009C0D18" w:rsidRDefault="000A68FB">
      <w:pPr>
        <w:rPr>
          <w:rFonts w:ascii="Times New Roman" w:eastAsia="Times New Roman" w:hAnsi="Times New Roman" w:cs="Times New Roman"/>
          <w:color w:val="000000" w:themeColor="text1"/>
        </w:rPr>
      </w:pPr>
      <w:r w:rsidRPr="009C0D18">
        <w:rPr>
          <w:color w:val="000000" w:themeColor="text1"/>
        </w:rPr>
        <w:br w:type="page"/>
      </w:r>
    </w:p>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0A68FB">
      <w:pPr>
        <w:shd w:val="clear" w:color="auto" w:fill="9CC3E5"/>
        <w:ind w:left="-720" w:right="-720"/>
        <w:jc w:val="center"/>
        <w:rPr>
          <w:rFonts w:ascii="Times New Roman" w:eastAsia="Times New Roman" w:hAnsi="Times New Roman" w:cs="Times New Roman"/>
          <w:b/>
          <w:bCs/>
          <w:color w:val="000000" w:themeColor="text1"/>
        </w:rPr>
      </w:pPr>
      <w:r w:rsidRPr="009C0D18">
        <w:rPr>
          <w:rFonts w:ascii="Times New Roman" w:eastAsia="Times New Roman" w:hAnsi="Times New Roman" w:cs="Times New Roman"/>
          <w:b/>
          <w:bCs/>
          <w:color w:val="000000" w:themeColor="text1"/>
        </w:rPr>
        <w:t xml:space="preserve">I </w:t>
      </w:r>
      <w:r w:rsidRPr="009C0D18">
        <w:rPr>
          <w:rFonts w:ascii="Times New Roman" w:eastAsia="Times New Roman" w:hAnsi="Times New Roman" w:cs="Times New Roman"/>
          <w:b/>
          <w:bCs/>
          <w:color w:val="000000" w:themeColor="text1"/>
        </w:rPr>
        <w:br/>
      </w:r>
      <w:r w:rsidRPr="009C0D18">
        <w:rPr>
          <w:rFonts w:ascii="Arial Unicode MS" w:eastAsia="Arial Unicode MS" w:hAnsi="Arial Unicode MS" w:cs="Arial Unicode MS"/>
          <w:b/>
          <w:bCs/>
          <w:color w:val="000000" w:themeColor="text1"/>
        </w:rPr>
        <w:t>ფორმალური</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ნაწილი</w:t>
      </w: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მოსარჩელე</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მოსარჩელეები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rPr>
        <w:t xml:space="preserve"> </w:t>
      </w:r>
      <w:r w:rsidRPr="009C0D18">
        <w:rPr>
          <w:rFonts w:ascii="Times New Roman" w:eastAsia="Times New Roman" w:hAnsi="Times New Roman" w:cs="Times New Roman"/>
          <w:i/>
          <w:iCs/>
          <w:color w:val="000000" w:themeColor="text1"/>
          <w:vertAlign w:val="superscript"/>
        </w:rPr>
        <w:footnoteReference w:id="1"/>
      </w:r>
    </w:p>
    <w:tbl>
      <w:tblPr>
        <w:tblStyle w:val="a5"/>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1620"/>
        <w:gridCol w:w="2025"/>
        <w:gridCol w:w="675"/>
        <w:gridCol w:w="2970"/>
      </w:tblGrid>
      <w:tr w:rsidR="002D3215" w:rsidRPr="009C0D18">
        <w:trPr>
          <w:trHeight w:val="720"/>
        </w:trPr>
        <w:tc>
          <w:tcPr>
            <w:tcW w:w="5215" w:type="dxa"/>
            <w:gridSpan w:val="2"/>
            <w:tcBorders>
              <w:top w:val="single" w:sz="4" w:space="0" w:color="FFFFFF"/>
              <w:left w:val="single" w:sz="4" w:space="0" w:color="000000"/>
              <w:bottom w:val="single" w:sz="4" w:space="0" w:color="FFFFFF"/>
              <w:right w:val="single" w:sz="4" w:space="0" w:color="FFFFFF"/>
            </w:tcBorders>
            <w:shd w:val="clear" w:color="auto" w:fill="F2F2F2"/>
            <w:vAlign w:val="center"/>
          </w:tcPr>
          <w:p w:rsidR="002D3215" w:rsidRPr="009C0D18" w:rsidRDefault="000A68FB">
            <w:pPr>
              <w:numPr>
                <w:ilvl w:val="0"/>
                <w:numId w:val="1"/>
              </w:numPr>
              <w:pBdr>
                <w:top w:val="nil"/>
                <w:left w:val="nil"/>
                <w:bottom w:val="nil"/>
                <w:right w:val="nil"/>
                <w:between w:val="nil"/>
              </w:pBdr>
              <w:spacing w:line="259" w:lineRule="auto"/>
              <w:ind w:left="337" w:right="-18"/>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კახა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წიქარიშვილი</w:t>
            </w:r>
          </w:p>
          <w:p w:rsidR="002D3215" w:rsidRPr="009C0D18" w:rsidRDefault="002D3215">
            <w:pPr>
              <w:pBdr>
                <w:top w:val="nil"/>
                <w:left w:val="nil"/>
                <w:bottom w:val="nil"/>
                <w:right w:val="nil"/>
                <w:between w:val="nil"/>
              </w:pBdr>
              <w:spacing w:after="160" w:line="259" w:lineRule="auto"/>
              <w:ind w:left="-23" w:right="-18"/>
              <w:rPr>
                <w:rFonts w:ascii="Times New Roman" w:eastAsia="Times New Roman" w:hAnsi="Times New Roman" w:cs="Times New Roman"/>
                <w:color w:val="000000" w:themeColor="text1"/>
              </w:rPr>
            </w:pPr>
          </w:p>
        </w:tc>
        <w:tc>
          <w:tcPr>
            <w:tcW w:w="2700" w:type="dxa"/>
            <w:gridSpan w:val="2"/>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2D3215" w:rsidP="0025741B">
            <w:pPr>
              <w:numPr>
                <w:ilvl w:val="0"/>
                <w:numId w:val="12"/>
              </w:numPr>
              <w:pBdr>
                <w:top w:val="nil"/>
                <w:left w:val="nil"/>
                <w:bottom w:val="nil"/>
                <w:right w:val="nil"/>
                <w:between w:val="nil"/>
              </w:pBdr>
              <w:ind w:left="342" w:right="-18"/>
              <w:rPr>
                <w:rFonts w:ascii="Times New Roman" w:eastAsia="Times New Roman" w:hAnsi="Times New Roman" w:cs="Times New Roman"/>
                <w:color w:val="000000" w:themeColor="text1"/>
              </w:rPr>
            </w:pPr>
          </w:p>
        </w:tc>
        <w:tc>
          <w:tcPr>
            <w:tcW w:w="297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2D3215" w:rsidP="0025741B">
            <w:pPr>
              <w:numPr>
                <w:ilvl w:val="0"/>
                <w:numId w:val="13"/>
              </w:numPr>
              <w:pBdr>
                <w:top w:val="nil"/>
                <w:left w:val="nil"/>
                <w:bottom w:val="nil"/>
                <w:right w:val="nil"/>
                <w:between w:val="nil"/>
              </w:pBdr>
              <w:ind w:right="-18"/>
              <w:rPr>
                <w:rFonts w:ascii="Times New Roman" w:eastAsia="Times New Roman" w:hAnsi="Times New Roman" w:cs="Times New Roman"/>
                <w:color w:val="000000" w:themeColor="text1"/>
              </w:rPr>
            </w:pPr>
          </w:p>
        </w:tc>
      </w:tr>
      <w:tr w:rsidR="002D3215" w:rsidRPr="009C0D18">
        <w:trPr>
          <w:trHeight w:val="350"/>
        </w:trPr>
        <w:tc>
          <w:tcPr>
            <w:tcW w:w="5215" w:type="dxa"/>
            <w:gridSpan w:val="2"/>
            <w:tcBorders>
              <w:top w:val="single" w:sz="4" w:space="0" w:color="FFFFFF"/>
              <w:left w:val="single" w:sz="4" w:space="0" w:color="000000"/>
              <w:bottom w:val="single" w:sz="4" w:space="0" w:color="FFFFFF"/>
              <w:right w:val="single" w:sz="4" w:space="0" w:color="FFFFFF"/>
            </w:tcBorders>
          </w:tcPr>
          <w:p w:rsidR="002D3215" w:rsidRPr="009C0D18" w:rsidRDefault="000A68FB">
            <w:pPr>
              <w:ind w:left="-108"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სახელი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გვარი</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დასახელება</w:t>
            </w:r>
          </w:p>
        </w:tc>
        <w:tc>
          <w:tcPr>
            <w:tcW w:w="2700" w:type="dxa"/>
            <w:gridSpan w:val="2"/>
            <w:tcBorders>
              <w:top w:val="single" w:sz="4" w:space="0" w:color="FFFFFF"/>
              <w:left w:val="single" w:sz="4" w:space="0" w:color="FFFFFF"/>
              <w:bottom w:val="single" w:sz="4" w:space="0" w:color="FFFFFF"/>
              <w:right w:val="single" w:sz="4" w:space="0" w:color="FFFFFF"/>
            </w:tcBorders>
          </w:tcPr>
          <w:p w:rsidR="002D3215" w:rsidRPr="009C0D18" w:rsidRDefault="000A68FB">
            <w:pPr>
              <w:ind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პირადი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საიდენტიფიკაციო</w:t>
            </w:r>
            <w:r w:rsidRPr="009C0D18">
              <w:rPr>
                <w:rFonts w:ascii="Times New Roman" w:eastAsia="Times New Roman" w:hAnsi="Times New Roman" w:cs="Times New Roman"/>
                <w:color w:val="000000" w:themeColor="text1"/>
              </w:rPr>
              <w:t xml:space="preserve"> № </w:t>
            </w:r>
          </w:p>
        </w:tc>
        <w:tc>
          <w:tcPr>
            <w:tcW w:w="2970" w:type="dxa"/>
            <w:tcBorders>
              <w:top w:val="single" w:sz="4" w:space="0" w:color="FFFFFF"/>
              <w:left w:val="single" w:sz="4" w:space="0" w:color="FFFFFF"/>
              <w:bottom w:val="single" w:sz="4" w:space="0" w:color="FFFFFF"/>
              <w:right w:val="single" w:sz="4" w:space="0" w:color="FFFFFF"/>
            </w:tcBorders>
          </w:tcPr>
          <w:p w:rsidR="002D3215" w:rsidRPr="009C0D18" w:rsidRDefault="000A68FB">
            <w:pPr>
              <w:ind w:right="-10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ტელეფონის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ნომერი</w:t>
            </w:r>
          </w:p>
        </w:tc>
      </w:tr>
      <w:tr w:rsidR="002D3215" w:rsidRPr="009C0D18">
        <w:trPr>
          <w:trHeight w:val="720"/>
        </w:trPr>
        <w:tc>
          <w:tcPr>
            <w:tcW w:w="3595" w:type="dxa"/>
            <w:tcBorders>
              <w:top w:val="single" w:sz="4" w:space="0" w:color="FFFFFF"/>
              <w:left w:val="single" w:sz="4" w:space="0" w:color="000000"/>
              <w:bottom w:val="single" w:sz="4" w:space="0" w:color="FFFFFF"/>
              <w:right w:val="single" w:sz="4" w:space="0" w:color="FFFFFF"/>
            </w:tcBorders>
            <w:shd w:val="clear" w:color="auto" w:fill="F2F2F2"/>
            <w:vAlign w:val="center"/>
          </w:tcPr>
          <w:p w:rsidR="002D3215" w:rsidRPr="009C0D18" w:rsidRDefault="002D3215" w:rsidP="0025741B">
            <w:pPr>
              <w:numPr>
                <w:ilvl w:val="0"/>
                <w:numId w:val="15"/>
              </w:numPr>
              <w:pBdr>
                <w:top w:val="nil"/>
                <w:left w:val="nil"/>
                <w:bottom w:val="nil"/>
                <w:right w:val="nil"/>
                <w:between w:val="nil"/>
              </w:pBdr>
              <w:ind w:left="337" w:right="-18"/>
              <w:rPr>
                <w:rFonts w:ascii="Times New Roman" w:eastAsia="Times New Roman" w:hAnsi="Times New Roman" w:cs="Times New Roman"/>
                <w:color w:val="000000" w:themeColor="text1"/>
              </w:rPr>
            </w:pPr>
          </w:p>
        </w:tc>
        <w:tc>
          <w:tcPr>
            <w:tcW w:w="3645" w:type="dxa"/>
            <w:gridSpan w:val="2"/>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0A68FB">
            <w:pPr>
              <w:numPr>
                <w:ilvl w:val="0"/>
                <w:numId w:val="16"/>
              </w:numPr>
              <w:pBdr>
                <w:top w:val="nil"/>
                <w:left w:val="nil"/>
                <w:bottom w:val="nil"/>
                <w:right w:val="nil"/>
                <w:between w:val="nil"/>
              </w:pBdr>
              <w:spacing w:after="160" w:line="259" w:lineRule="auto"/>
              <w:ind w:left="342" w:right="-18"/>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p>
          <w:p w:rsidR="002D3215" w:rsidRPr="009C0D18" w:rsidRDefault="002D3215">
            <w:pPr>
              <w:pBdr>
                <w:top w:val="nil"/>
                <w:left w:val="nil"/>
                <w:bottom w:val="nil"/>
                <w:right w:val="nil"/>
                <w:between w:val="nil"/>
              </w:pBdr>
              <w:ind w:left="-18" w:right="-18"/>
              <w:rPr>
                <w:rFonts w:ascii="Times New Roman" w:eastAsia="Times New Roman" w:hAnsi="Times New Roman" w:cs="Times New Roman"/>
                <w:color w:val="000000" w:themeColor="text1"/>
              </w:rPr>
            </w:pPr>
          </w:p>
        </w:tc>
        <w:tc>
          <w:tcPr>
            <w:tcW w:w="3645" w:type="dxa"/>
            <w:gridSpan w:val="2"/>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2D3215" w:rsidP="0025741B">
            <w:pPr>
              <w:numPr>
                <w:ilvl w:val="0"/>
                <w:numId w:val="17"/>
              </w:numPr>
              <w:pBdr>
                <w:top w:val="nil"/>
                <w:left w:val="nil"/>
                <w:bottom w:val="nil"/>
                <w:right w:val="nil"/>
                <w:between w:val="nil"/>
              </w:pBdr>
              <w:ind w:left="297" w:right="-18" w:hanging="270"/>
              <w:rPr>
                <w:rFonts w:ascii="Times New Roman" w:eastAsia="Times New Roman" w:hAnsi="Times New Roman" w:cs="Times New Roman"/>
                <w:color w:val="000000" w:themeColor="text1"/>
              </w:rPr>
            </w:pPr>
          </w:p>
        </w:tc>
      </w:tr>
      <w:tr w:rsidR="002D3215" w:rsidRPr="009C0D18">
        <w:trPr>
          <w:trHeight w:val="237"/>
        </w:trPr>
        <w:tc>
          <w:tcPr>
            <w:tcW w:w="3595"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3215" w:rsidRPr="009C0D18" w:rsidRDefault="000A68FB">
            <w:pPr>
              <w:ind w:left="-8"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ელექტრონული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ფოსტა</w:t>
            </w:r>
          </w:p>
        </w:tc>
        <w:tc>
          <w:tcPr>
            <w:tcW w:w="3645" w:type="dxa"/>
            <w:gridSpan w:val="2"/>
            <w:tcBorders>
              <w:top w:val="single" w:sz="4" w:space="0" w:color="FFFFFF"/>
              <w:left w:val="single" w:sz="4" w:space="0" w:color="FFFFFF"/>
              <w:bottom w:val="nil"/>
              <w:right w:val="single" w:sz="4" w:space="0" w:color="FFFFFF"/>
            </w:tcBorders>
            <w:shd w:val="clear" w:color="auto" w:fill="auto"/>
            <w:vAlign w:val="center"/>
          </w:tcPr>
          <w:p w:rsidR="002D3215" w:rsidRPr="009C0D18" w:rsidRDefault="000A68FB">
            <w:pPr>
              <w:ind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მოქალაქეობა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რეგისტრაციის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ადგილი</w:t>
            </w:r>
          </w:p>
        </w:tc>
        <w:tc>
          <w:tcPr>
            <w:tcW w:w="3645" w:type="dxa"/>
            <w:gridSpan w:val="2"/>
            <w:tcBorders>
              <w:top w:val="single" w:sz="4" w:space="0" w:color="FFFFFF"/>
              <w:left w:val="single" w:sz="4" w:space="0" w:color="FFFFFF"/>
              <w:bottom w:val="nil"/>
              <w:right w:val="single" w:sz="4" w:space="0" w:color="FFFFFF"/>
            </w:tcBorders>
            <w:shd w:val="clear" w:color="auto" w:fill="auto"/>
            <w:vAlign w:val="center"/>
          </w:tcPr>
          <w:p w:rsidR="002D3215" w:rsidRPr="009C0D18" w:rsidRDefault="000A68FB">
            <w:pPr>
              <w:ind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მისამართი</w:t>
            </w:r>
          </w:p>
        </w:tc>
      </w:tr>
    </w:tbl>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მოსარჩელის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წარმომადგენელი</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წარმომადგენლები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rPr>
        <w:t xml:space="preserve"> </w:t>
      </w:r>
      <w:r w:rsidRPr="009C0D18">
        <w:rPr>
          <w:rFonts w:ascii="Times New Roman" w:eastAsia="Times New Roman" w:hAnsi="Times New Roman" w:cs="Times New Roman"/>
          <w:i/>
          <w:iCs/>
          <w:color w:val="000000" w:themeColor="text1"/>
          <w:vertAlign w:val="superscript"/>
        </w:rPr>
        <w:footnoteReference w:id="2"/>
      </w:r>
    </w:p>
    <w:tbl>
      <w:tblPr>
        <w:tblStyle w:val="a6"/>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1620"/>
        <w:gridCol w:w="2700"/>
        <w:gridCol w:w="2970"/>
      </w:tblGrid>
      <w:tr w:rsidR="002D3215" w:rsidRPr="009C0D18">
        <w:trPr>
          <w:trHeight w:val="720"/>
        </w:trPr>
        <w:tc>
          <w:tcPr>
            <w:tcW w:w="5215" w:type="dxa"/>
            <w:gridSpan w:val="2"/>
            <w:tcBorders>
              <w:top w:val="single" w:sz="4" w:space="0" w:color="FFFFFF"/>
              <w:left w:val="single" w:sz="4" w:space="0" w:color="000000"/>
              <w:bottom w:val="single" w:sz="4" w:space="0" w:color="FFFFFF"/>
              <w:right w:val="single" w:sz="4" w:space="0" w:color="FFFFFF"/>
            </w:tcBorders>
            <w:shd w:val="clear" w:color="auto" w:fill="F2F2F2"/>
            <w:vAlign w:val="center"/>
          </w:tcPr>
          <w:p w:rsidR="002D3215" w:rsidRPr="009C0D18" w:rsidRDefault="002D3215">
            <w:pPr>
              <w:numPr>
                <w:ilvl w:val="0"/>
                <w:numId w:val="18"/>
              </w:numPr>
              <w:pBdr>
                <w:top w:val="nil"/>
                <w:left w:val="nil"/>
                <w:bottom w:val="nil"/>
                <w:right w:val="nil"/>
                <w:between w:val="nil"/>
              </w:pBdr>
              <w:spacing w:after="160" w:line="259" w:lineRule="auto"/>
              <w:ind w:left="337" w:right="-18"/>
              <w:rPr>
                <w:rFonts w:ascii="Times New Roman" w:eastAsia="Times New Roman" w:hAnsi="Times New Roman" w:cs="Times New Roman"/>
                <w:color w:val="000000" w:themeColor="text1"/>
              </w:rPr>
            </w:pPr>
          </w:p>
        </w:tc>
        <w:tc>
          <w:tcPr>
            <w:tcW w:w="270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2D3215">
            <w:pPr>
              <w:numPr>
                <w:ilvl w:val="0"/>
                <w:numId w:val="19"/>
              </w:numPr>
              <w:pBdr>
                <w:top w:val="nil"/>
                <w:left w:val="nil"/>
                <w:bottom w:val="nil"/>
                <w:right w:val="nil"/>
                <w:between w:val="nil"/>
              </w:pBdr>
              <w:spacing w:after="160" w:line="259" w:lineRule="auto"/>
              <w:ind w:left="342" w:right="-18"/>
              <w:rPr>
                <w:rFonts w:ascii="Times New Roman" w:eastAsia="Times New Roman" w:hAnsi="Times New Roman" w:cs="Times New Roman"/>
                <w:color w:val="000000" w:themeColor="text1"/>
              </w:rPr>
            </w:pPr>
          </w:p>
        </w:tc>
        <w:tc>
          <w:tcPr>
            <w:tcW w:w="297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2D3215">
            <w:pPr>
              <w:numPr>
                <w:ilvl w:val="0"/>
                <w:numId w:val="20"/>
              </w:numPr>
              <w:pBdr>
                <w:top w:val="nil"/>
                <w:left w:val="nil"/>
                <w:bottom w:val="nil"/>
                <w:right w:val="nil"/>
                <w:between w:val="nil"/>
              </w:pBdr>
              <w:spacing w:after="160" w:line="259" w:lineRule="auto"/>
              <w:ind w:left="342" w:right="-18"/>
              <w:rPr>
                <w:rFonts w:ascii="Times New Roman" w:eastAsia="Times New Roman" w:hAnsi="Times New Roman" w:cs="Times New Roman"/>
                <w:color w:val="000000" w:themeColor="text1"/>
              </w:rPr>
            </w:pPr>
          </w:p>
        </w:tc>
      </w:tr>
      <w:tr w:rsidR="002D3215" w:rsidRPr="009C0D18">
        <w:trPr>
          <w:trHeight w:val="350"/>
        </w:trPr>
        <w:tc>
          <w:tcPr>
            <w:tcW w:w="5215" w:type="dxa"/>
            <w:gridSpan w:val="2"/>
            <w:tcBorders>
              <w:top w:val="single" w:sz="4" w:space="0" w:color="FFFFFF"/>
              <w:left w:val="single" w:sz="4" w:space="0" w:color="000000"/>
              <w:bottom w:val="single" w:sz="4" w:space="0" w:color="FFFFFF"/>
              <w:right w:val="single" w:sz="4" w:space="0" w:color="FFFFFF"/>
            </w:tcBorders>
          </w:tcPr>
          <w:p w:rsidR="002D3215" w:rsidRPr="009C0D18" w:rsidRDefault="000A68FB">
            <w:pPr>
              <w:ind w:left="-108"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სახელი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გვარი</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დასახელება</w:t>
            </w:r>
          </w:p>
        </w:tc>
        <w:tc>
          <w:tcPr>
            <w:tcW w:w="2700" w:type="dxa"/>
            <w:tcBorders>
              <w:top w:val="single" w:sz="4" w:space="0" w:color="FFFFFF"/>
              <w:left w:val="single" w:sz="4" w:space="0" w:color="FFFFFF"/>
              <w:bottom w:val="single" w:sz="4" w:space="0" w:color="FFFFFF"/>
              <w:right w:val="single" w:sz="4" w:space="0" w:color="FFFFFF"/>
            </w:tcBorders>
          </w:tcPr>
          <w:p w:rsidR="002D3215" w:rsidRPr="009C0D18" w:rsidRDefault="000A68FB">
            <w:pPr>
              <w:ind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პირადი</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საიდენტიფიკაციო</w:t>
            </w:r>
            <w:r w:rsidRPr="009C0D18">
              <w:rPr>
                <w:rFonts w:ascii="Times New Roman" w:eastAsia="Times New Roman" w:hAnsi="Times New Roman" w:cs="Times New Roman"/>
                <w:color w:val="000000" w:themeColor="text1"/>
              </w:rPr>
              <w:t xml:space="preserve"> №</w:t>
            </w:r>
          </w:p>
        </w:tc>
        <w:tc>
          <w:tcPr>
            <w:tcW w:w="2970" w:type="dxa"/>
            <w:tcBorders>
              <w:top w:val="single" w:sz="4" w:space="0" w:color="FFFFFF"/>
              <w:left w:val="single" w:sz="4" w:space="0" w:color="FFFFFF"/>
              <w:bottom w:val="single" w:sz="4" w:space="0" w:color="FFFFFF"/>
              <w:right w:val="single" w:sz="4" w:space="0" w:color="FFFFFF"/>
            </w:tcBorders>
          </w:tcPr>
          <w:p w:rsidR="002D3215" w:rsidRPr="009C0D18" w:rsidRDefault="000A68FB">
            <w:pPr>
              <w:ind w:right="-10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ტელეფონის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ნომერი</w:t>
            </w:r>
          </w:p>
        </w:tc>
      </w:tr>
      <w:tr w:rsidR="002D3215" w:rsidRPr="009C0D18">
        <w:trPr>
          <w:trHeight w:val="720"/>
        </w:trPr>
        <w:tc>
          <w:tcPr>
            <w:tcW w:w="3595" w:type="dxa"/>
            <w:tcBorders>
              <w:top w:val="single" w:sz="4" w:space="0" w:color="FFFFFF"/>
              <w:left w:val="single" w:sz="4" w:space="0" w:color="000000"/>
              <w:bottom w:val="single" w:sz="4" w:space="0" w:color="FFFFFF"/>
              <w:right w:val="single" w:sz="4" w:space="0" w:color="FFFFFF"/>
            </w:tcBorders>
            <w:shd w:val="clear" w:color="auto" w:fill="F2F2F2"/>
            <w:vAlign w:val="center"/>
          </w:tcPr>
          <w:p w:rsidR="002D3215" w:rsidRPr="009C0D18" w:rsidRDefault="002D3215">
            <w:pPr>
              <w:numPr>
                <w:ilvl w:val="0"/>
                <w:numId w:val="2"/>
              </w:numPr>
              <w:pBdr>
                <w:top w:val="nil"/>
                <w:left w:val="nil"/>
                <w:bottom w:val="nil"/>
                <w:right w:val="nil"/>
                <w:between w:val="nil"/>
              </w:pBdr>
              <w:spacing w:after="160" w:line="259" w:lineRule="auto"/>
              <w:ind w:right="-18"/>
              <w:rPr>
                <w:rFonts w:ascii="Times New Roman" w:eastAsia="Times New Roman" w:hAnsi="Times New Roman" w:cs="Times New Roman"/>
                <w:color w:val="000000" w:themeColor="text1"/>
              </w:rPr>
            </w:pPr>
          </w:p>
        </w:tc>
        <w:tc>
          <w:tcPr>
            <w:tcW w:w="7290" w:type="dxa"/>
            <w:gridSpan w:val="3"/>
            <w:tcBorders>
              <w:top w:val="single" w:sz="4" w:space="0" w:color="FFFFFF"/>
              <w:left w:val="single" w:sz="4" w:space="0" w:color="FFFFFF"/>
              <w:bottom w:val="single" w:sz="4" w:space="0" w:color="FFFFFF"/>
              <w:right w:val="single" w:sz="4" w:space="0" w:color="FFFFFF"/>
            </w:tcBorders>
            <w:shd w:val="clear" w:color="auto" w:fill="F2F2F2"/>
            <w:vAlign w:val="center"/>
          </w:tcPr>
          <w:p w:rsidR="002D3215" w:rsidRPr="009C0D18" w:rsidRDefault="002D3215">
            <w:pPr>
              <w:numPr>
                <w:ilvl w:val="0"/>
                <w:numId w:val="3"/>
              </w:numPr>
              <w:pBdr>
                <w:top w:val="nil"/>
                <w:left w:val="nil"/>
                <w:bottom w:val="nil"/>
                <w:right w:val="nil"/>
                <w:between w:val="nil"/>
              </w:pBdr>
              <w:spacing w:after="160" w:line="259" w:lineRule="auto"/>
              <w:ind w:left="342" w:right="-18"/>
              <w:rPr>
                <w:rFonts w:ascii="Times New Roman" w:eastAsia="Times New Roman" w:hAnsi="Times New Roman" w:cs="Times New Roman"/>
                <w:color w:val="000000" w:themeColor="text1"/>
              </w:rPr>
            </w:pPr>
          </w:p>
        </w:tc>
      </w:tr>
      <w:tr w:rsidR="002D3215" w:rsidRPr="009C0D18">
        <w:trPr>
          <w:trHeight w:val="237"/>
        </w:trPr>
        <w:tc>
          <w:tcPr>
            <w:tcW w:w="3595" w:type="dxa"/>
            <w:tcBorders>
              <w:top w:val="single" w:sz="4" w:space="0" w:color="FFFFFF"/>
              <w:left w:val="single" w:sz="4" w:space="0" w:color="FFFFFF"/>
              <w:bottom w:val="single" w:sz="4" w:space="0" w:color="FFFFFF"/>
              <w:right w:val="single" w:sz="4" w:space="0" w:color="FFFFFF"/>
            </w:tcBorders>
            <w:shd w:val="clear" w:color="auto" w:fill="auto"/>
            <w:vAlign w:val="center"/>
          </w:tcPr>
          <w:p w:rsidR="002D3215" w:rsidRPr="009C0D18" w:rsidRDefault="000A68FB">
            <w:pPr>
              <w:ind w:left="-8"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ელექტრონული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ფოსტა</w:t>
            </w:r>
          </w:p>
        </w:tc>
        <w:tc>
          <w:tcPr>
            <w:tcW w:w="7290" w:type="dxa"/>
            <w:gridSpan w:val="3"/>
            <w:tcBorders>
              <w:top w:val="single" w:sz="4" w:space="0" w:color="FFFFFF"/>
              <w:left w:val="single" w:sz="4" w:space="0" w:color="FFFFFF"/>
              <w:bottom w:val="nil"/>
              <w:right w:val="single" w:sz="4" w:space="0" w:color="FFFFFF"/>
            </w:tcBorders>
            <w:shd w:val="clear" w:color="auto" w:fill="auto"/>
            <w:vAlign w:val="center"/>
          </w:tcPr>
          <w:p w:rsidR="002D3215" w:rsidRPr="009C0D18" w:rsidRDefault="000A68FB">
            <w:pPr>
              <w:ind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მისამართი</w:t>
            </w:r>
          </w:p>
        </w:tc>
      </w:tr>
    </w:tbl>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color w:val="000000" w:themeColor="text1"/>
        </w:rPr>
        <w:br w:type="page"/>
      </w:r>
    </w:p>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3. </w:t>
      </w: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სამართლებრივი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აქტ</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ებ</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vertAlign w:val="superscript"/>
        </w:rPr>
        <w:footnoteReference w:id="3"/>
      </w:r>
    </w:p>
    <w:tbl>
      <w:tblPr>
        <w:tblStyle w:val="a7"/>
        <w:tblW w:w="10800" w:type="dxa"/>
        <w:tblInd w:w="-725" w:type="dxa"/>
        <w:tblBorders>
          <w:top w:val="nil"/>
          <w:left w:val="nil"/>
          <w:bottom w:val="nil"/>
          <w:right w:val="nil"/>
          <w:insideH w:val="nil"/>
          <w:insideV w:val="nil"/>
        </w:tblBorders>
        <w:tblLayout w:type="fixed"/>
        <w:tblLook w:val="0400" w:firstRow="0" w:lastRow="0" w:firstColumn="0" w:lastColumn="0" w:noHBand="0" w:noVBand="1"/>
      </w:tblPr>
      <w:tblGrid>
        <w:gridCol w:w="2970"/>
        <w:gridCol w:w="7830"/>
      </w:tblGrid>
      <w:tr w:rsidR="002D3215" w:rsidRPr="009C0D18">
        <w:trPr>
          <w:trHeight w:val="720"/>
        </w:trPr>
        <w:tc>
          <w:tcPr>
            <w:tcW w:w="2970" w:type="dxa"/>
            <w:vAlign w:val="center"/>
          </w:tcPr>
          <w:p w:rsidR="002D3215" w:rsidRPr="009C0D18" w:rsidRDefault="000A68FB">
            <w:pPr>
              <w:ind w:left="-23" w:right="-72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დასახელება</w:t>
            </w:r>
          </w:p>
        </w:tc>
        <w:tc>
          <w:tcPr>
            <w:tcW w:w="7830" w:type="dxa"/>
            <w:tcBorders>
              <w:bottom w:val="single" w:sz="4" w:space="0" w:color="000000"/>
            </w:tcBorders>
            <w:shd w:val="clear" w:color="auto" w:fill="F2F2F2"/>
            <w:vAlign w:val="center"/>
          </w:tcPr>
          <w:p w:rsidR="002D3215" w:rsidRPr="009C0D18" w:rsidRDefault="000A68FB">
            <w:pPr>
              <w:numPr>
                <w:ilvl w:val="0"/>
                <w:numId w:val="4"/>
              </w:numPr>
              <w:pBdr>
                <w:top w:val="nil"/>
                <w:left w:val="nil"/>
                <w:bottom w:val="nil"/>
                <w:right w:val="nil"/>
                <w:between w:val="nil"/>
              </w:pBdr>
              <w:spacing w:after="160" w:line="259" w:lineRule="auto"/>
              <w:ind w:left="257" w:right="-113" w:hanging="27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 საქართველოს კანონი</w:t>
            </w:r>
          </w:p>
          <w:p w:rsidR="002D3215" w:rsidRPr="009C0D18" w:rsidRDefault="000A68FB">
            <w:pPr>
              <w:numPr>
                <w:ilvl w:val="0"/>
                <w:numId w:val="4"/>
              </w:numPr>
              <w:pBdr>
                <w:top w:val="nil"/>
                <w:left w:val="nil"/>
                <w:bottom w:val="nil"/>
                <w:right w:val="nil"/>
                <w:between w:val="nil"/>
              </w:pBdr>
              <w:spacing w:after="160" w:line="259" w:lineRule="auto"/>
              <w:ind w:left="257" w:right="-113" w:hanging="27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w:t>
            </w:r>
          </w:p>
        </w:tc>
      </w:tr>
      <w:tr w:rsidR="002D3215" w:rsidRPr="009C0D18">
        <w:trPr>
          <w:trHeight w:val="720"/>
        </w:trPr>
        <w:tc>
          <w:tcPr>
            <w:tcW w:w="2970" w:type="dxa"/>
            <w:vAlign w:val="center"/>
          </w:tcPr>
          <w:p w:rsidR="002D3215" w:rsidRPr="009C0D18" w:rsidRDefault="000A68FB">
            <w:pPr>
              <w:ind w:right="-72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მიღების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თარიღი</w:t>
            </w:r>
          </w:p>
        </w:tc>
        <w:tc>
          <w:tcPr>
            <w:tcW w:w="7830" w:type="dxa"/>
            <w:tcBorders>
              <w:top w:val="single" w:sz="4" w:space="0" w:color="000000"/>
              <w:bottom w:val="single" w:sz="4" w:space="0" w:color="000000"/>
            </w:tcBorders>
            <w:shd w:val="clear" w:color="auto" w:fill="F2F2F2"/>
            <w:vAlign w:val="center"/>
          </w:tcPr>
          <w:p w:rsidR="002D3215" w:rsidRPr="009C0D18" w:rsidRDefault="000A68FB">
            <w:pPr>
              <w:numPr>
                <w:ilvl w:val="0"/>
                <w:numId w:val="5"/>
              </w:numPr>
              <w:pBdr>
                <w:top w:val="nil"/>
                <w:left w:val="nil"/>
                <w:bottom w:val="nil"/>
                <w:right w:val="nil"/>
                <w:between w:val="nil"/>
              </w:pBdr>
              <w:spacing w:after="160" w:line="259" w:lineRule="auto"/>
              <w:ind w:left="257" w:right="-113" w:hanging="270"/>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highlight w:val="white"/>
              </w:rPr>
              <w:t>12/06/1997</w:t>
            </w:r>
          </w:p>
          <w:p w:rsidR="002D3215" w:rsidRPr="009C0D18" w:rsidRDefault="000A68FB">
            <w:pPr>
              <w:numPr>
                <w:ilvl w:val="0"/>
                <w:numId w:val="5"/>
              </w:numPr>
              <w:pBdr>
                <w:top w:val="nil"/>
                <w:left w:val="nil"/>
                <w:bottom w:val="nil"/>
                <w:right w:val="nil"/>
                <w:between w:val="nil"/>
              </w:pBdr>
              <w:spacing w:after="160" w:line="259" w:lineRule="auto"/>
              <w:ind w:left="257" w:right="-113" w:hanging="270"/>
              <w:rPr>
                <w:rFonts w:ascii="Times New Roman" w:eastAsia="Times New Roman" w:hAnsi="Times New Roman" w:cs="Times New Roman"/>
                <w:color w:val="000000" w:themeColor="text1"/>
                <w:highlight w:val="white"/>
              </w:rPr>
            </w:pPr>
            <w:r w:rsidRPr="009C0D18">
              <w:rPr>
                <w:rFonts w:ascii="Times New Roman" w:eastAsia="Times New Roman" w:hAnsi="Times New Roman" w:cs="Times New Roman"/>
                <w:color w:val="000000" w:themeColor="text1"/>
                <w:highlight w:val="white"/>
              </w:rPr>
              <w:t>15/12/1984</w:t>
            </w:r>
          </w:p>
        </w:tc>
      </w:tr>
      <w:tr w:rsidR="002D3215" w:rsidRPr="009C0D18">
        <w:trPr>
          <w:trHeight w:val="720"/>
        </w:trPr>
        <w:tc>
          <w:tcPr>
            <w:tcW w:w="2970" w:type="dxa"/>
            <w:vAlign w:val="center"/>
          </w:tcPr>
          <w:p w:rsidR="002D3215" w:rsidRPr="009C0D18" w:rsidRDefault="000A68FB">
            <w:pPr>
              <w:ind w:right="-72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მოპასუხის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დასახელება</w:t>
            </w:r>
          </w:p>
        </w:tc>
        <w:tc>
          <w:tcPr>
            <w:tcW w:w="7830" w:type="dxa"/>
            <w:tcBorders>
              <w:top w:val="single" w:sz="4" w:space="0" w:color="000000"/>
              <w:bottom w:val="single" w:sz="4" w:space="0" w:color="000000"/>
            </w:tcBorders>
            <w:shd w:val="clear" w:color="auto" w:fill="F2F2F2"/>
            <w:vAlign w:val="center"/>
          </w:tcPr>
          <w:p w:rsidR="002D3215" w:rsidRPr="009C0D18" w:rsidRDefault="000A68FB">
            <w:pPr>
              <w:numPr>
                <w:ilvl w:val="0"/>
                <w:numId w:val="6"/>
              </w:numPr>
              <w:pBdr>
                <w:top w:val="nil"/>
                <w:left w:val="nil"/>
                <w:bottom w:val="nil"/>
                <w:right w:val="nil"/>
                <w:between w:val="nil"/>
              </w:pBdr>
              <w:spacing w:after="160" w:line="259" w:lineRule="auto"/>
              <w:ind w:left="257" w:right="-113" w:hanging="27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w:t>
            </w:r>
          </w:p>
        </w:tc>
      </w:tr>
      <w:tr w:rsidR="002D3215" w:rsidRPr="009C0D18">
        <w:trPr>
          <w:trHeight w:val="720"/>
        </w:trPr>
        <w:tc>
          <w:tcPr>
            <w:tcW w:w="2970" w:type="dxa"/>
            <w:vAlign w:val="center"/>
          </w:tcPr>
          <w:p w:rsidR="002D3215" w:rsidRPr="009C0D18" w:rsidRDefault="000A68FB">
            <w:pPr>
              <w:ind w:right="-720"/>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მოპასუხის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მისამართი</w:t>
            </w:r>
          </w:p>
        </w:tc>
        <w:tc>
          <w:tcPr>
            <w:tcW w:w="7830" w:type="dxa"/>
            <w:tcBorders>
              <w:top w:val="single" w:sz="4" w:space="0" w:color="000000"/>
              <w:bottom w:val="single" w:sz="4" w:space="0" w:color="000000"/>
            </w:tcBorders>
            <w:shd w:val="clear" w:color="auto" w:fill="F2F2F2"/>
            <w:vAlign w:val="center"/>
          </w:tcPr>
          <w:p w:rsidR="002D3215" w:rsidRPr="009C0D18" w:rsidRDefault="000A68FB">
            <w:pPr>
              <w:shd w:val="clear" w:color="auto" w:fill="FFFFFF"/>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0118 </w:t>
            </w:r>
            <w:r w:rsidRPr="009C0D18">
              <w:rPr>
                <w:rFonts w:ascii="Arial Unicode MS" w:eastAsia="Arial Unicode MS" w:hAnsi="Arial Unicode MS" w:cs="Arial Unicode MS"/>
                <w:color w:val="000000" w:themeColor="text1"/>
              </w:rPr>
              <w:t>თბილისი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რუსთაველის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გამზირი</w:t>
            </w:r>
            <w:r w:rsidRPr="009C0D18">
              <w:rPr>
                <w:rFonts w:ascii="Times New Roman" w:eastAsia="Times New Roman" w:hAnsi="Times New Roman" w:cs="Times New Roman"/>
                <w:color w:val="000000" w:themeColor="text1"/>
              </w:rPr>
              <w:t xml:space="preserve"> 8.</w:t>
            </w:r>
          </w:p>
          <w:p w:rsidR="002D3215" w:rsidRPr="009C0D18" w:rsidRDefault="002D3215">
            <w:pPr>
              <w:numPr>
                <w:ilvl w:val="0"/>
                <w:numId w:val="7"/>
              </w:numPr>
              <w:pBdr>
                <w:top w:val="nil"/>
                <w:left w:val="nil"/>
                <w:bottom w:val="nil"/>
                <w:right w:val="nil"/>
                <w:between w:val="nil"/>
              </w:pBdr>
              <w:spacing w:after="160" w:line="259" w:lineRule="auto"/>
              <w:ind w:left="257" w:right="-113" w:hanging="270"/>
              <w:rPr>
                <w:rFonts w:ascii="Times New Roman" w:eastAsia="Times New Roman" w:hAnsi="Times New Roman" w:cs="Times New Roman"/>
                <w:color w:val="000000" w:themeColor="text1"/>
              </w:rPr>
            </w:pPr>
          </w:p>
        </w:tc>
      </w:tr>
    </w:tbl>
    <w:p w:rsidR="002D3215" w:rsidRPr="009C0D18" w:rsidRDefault="002D3215">
      <w:pPr>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i/>
          <w:iCs/>
          <w:color w:val="000000" w:themeColor="text1"/>
        </w:rPr>
      </w:pP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მიუთითეთ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ნორმებ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აგრეთვე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გასწვრივ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დებულება</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დებულებები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ითხოვთ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არაკონსტიტუციურად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ცნობას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rPr>
        <w:t xml:space="preserve"> </w:t>
      </w:r>
      <w:r w:rsidRPr="009C0D18">
        <w:rPr>
          <w:rFonts w:ascii="Times New Roman" w:eastAsia="Times New Roman" w:hAnsi="Times New Roman" w:cs="Times New Roman"/>
          <w:i/>
          <w:iCs/>
          <w:color w:val="000000" w:themeColor="text1"/>
          <w:vertAlign w:val="superscript"/>
        </w:rPr>
        <w:footnoteReference w:id="4"/>
      </w:r>
    </w:p>
    <w:tbl>
      <w:tblPr>
        <w:tblStyle w:val="a8"/>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400"/>
      </w:tblGrid>
      <w:tr w:rsidR="002D3215" w:rsidRPr="009C0D18">
        <w:trPr>
          <w:trHeight w:val="720"/>
        </w:trPr>
        <w:tc>
          <w:tcPr>
            <w:tcW w:w="5395" w:type="dxa"/>
            <w:shd w:val="clear" w:color="auto" w:fill="F2F2F2"/>
            <w:vAlign w:val="center"/>
          </w:tcPr>
          <w:p w:rsidR="002D3215" w:rsidRPr="009C0D18" w:rsidRDefault="000A68FB">
            <w:pPr>
              <w:ind w:right="-10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ნორმატიული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w:t>
            </w:r>
            <w:r w:rsidRPr="009C0D18">
              <w:rPr>
                <w:rFonts w:ascii="Times New Roman" w:eastAsia="Times New Roman" w:hAnsi="Times New Roman" w:cs="Times New Roman"/>
                <w:color w:val="000000" w:themeColor="text1"/>
              </w:rPr>
              <w:t>)</w:t>
            </w:r>
          </w:p>
        </w:tc>
        <w:tc>
          <w:tcPr>
            <w:tcW w:w="5400" w:type="dxa"/>
            <w:shd w:val="clear" w:color="auto" w:fill="F2F2F2"/>
            <w:vAlign w:val="center"/>
          </w:tcPr>
          <w:p w:rsidR="002D3215" w:rsidRPr="009C0D18" w:rsidRDefault="000A68FB">
            <w:pPr>
              <w:ind w:right="-18"/>
              <w:jc w:val="cente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დებულება</w:t>
            </w:r>
          </w:p>
        </w:tc>
      </w:tr>
    </w:tbl>
    <w:p w:rsidR="002D3215" w:rsidRPr="009C0D18" w:rsidRDefault="002D3215">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bl>
      <w:tblPr>
        <w:tblStyle w:val="a9"/>
        <w:tblW w:w="10800" w:type="dxa"/>
        <w:tblInd w:w="-725" w:type="dxa"/>
        <w:tblBorders>
          <w:top w:val="single" w:sz="8" w:space="0" w:color="000000"/>
          <w:bottom w:val="single" w:sz="8" w:space="0" w:color="000000"/>
        </w:tblBorders>
        <w:tblLayout w:type="fixed"/>
        <w:tblLook w:val="0400" w:firstRow="0" w:lastRow="0" w:firstColumn="0" w:lastColumn="0" w:noHBand="0" w:noVBand="1"/>
      </w:tblPr>
      <w:tblGrid>
        <w:gridCol w:w="5389"/>
        <w:gridCol w:w="5411"/>
      </w:tblGrid>
      <w:tr w:rsidR="002D3215" w:rsidRPr="009C0D18">
        <w:trPr>
          <w:trHeight w:val="452"/>
        </w:trPr>
        <w:tc>
          <w:tcPr>
            <w:tcW w:w="5389" w:type="dxa"/>
            <w:tcBorders>
              <w:top w:val="single" w:sz="4" w:space="0" w:color="000000"/>
              <w:left w:val="single" w:sz="4" w:space="0" w:color="000000"/>
              <w:bottom w:val="single" w:sz="4" w:space="0" w:color="000000"/>
              <w:right w:val="single" w:sz="4" w:space="0" w:color="000000"/>
            </w:tcBorders>
            <w:shd w:val="clear" w:color="auto" w:fill="FFFFFF"/>
          </w:tcPr>
          <w:p w:rsidR="002D3215" w:rsidRPr="009C0D18" w:rsidRDefault="002D3215">
            <w:pPr>
              <w:pBdr>
                <w:top w:val="nil"/>
                <w:left w:val="nil"/>
                <w:bottom w:val="nil"/>
                <w:right w:val="nil"/>
                <w:between w:val="nil"/>
              </w:pBdr>
              <w:shd w:val="clear" w:color="auto" w:fill="EAEAEA"/>
              <w:spacing w:after="0" w:line="240" w:lineRule="auto"/>
              <w:ind w:firstLine="284"/>
              <w:jc w:val="both"/>
              <w:rPr>
                <w:rFonts w:ascii="Times New Roman" w:eastAsia="Times New Roman" w:hAnsi="Times New Roman" w:cs="Times New Roman"/>
                <w:color w:val="000000" w:themeColor="text1"/>
              </w:rPr>
            </w:pP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1) შეკრებისა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highlight w:val="white"/>
              </w:rPr>
              <w:t>მე</w:t>
            </w:r>
            <w:r w:rsidRPr="009C0D18">
              <w:rPr>
                <w:rFonts w:ascii="Times New Roman" w:eastAsia="Times New Roman" w:hAnsi="Times New Roman" w:cs="Times New Roman"/>
                <w:color w:val="000000" w:themeColor="text1"/>
                <w:highlight w:val="white"/>
              </w:rPr>
              <w:t xml:space="preserve">-11 </w:t>
            </w:r>
            <w:r w:rsidRPr="009C0D18">
              <w:rPr>
                <w:rFonts w:ascii="Arial Unicode MS" w:eastAsia="Arial Unicode MS" w:hAnsi="Arial Unicode MS" w:cs="Arial Unicode MS"/>
                <w:color w:val="000000" w:themeColor="text1"/>
                <w:highlight w:val="white"/>
              </w:rPr>
              <w:t>მუხლის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w:t>
            </w:r>
            <w:r w:rsidRPr="009C0D18">
              <w:rPr>
                <w:rFonts w:ascii="Times New Roman" w:eastAsia="Times New Roman" w:hAnsi="Times New Roman" w:cs="Times New Roman"/>
                <w:color w:val="000000" w:themeColor="text1"/>
                <w:highlight w:val="white"/>
              </w:rPr>
              <w:t xml:space="preserve">-2 </w:t>
            </w:r>
            <w:r w:rsidRPr="009C0D18">
              <w:rPr>
                <w:rFonts w:ascii="Arial Unicode MS" w:eastAsia="Arial Unicode MS" w:hAnsi="Arial Unicode MS" w:cs="Arial Unicode MS"/>
                <w:color w:val="000000" w:themeColor="text1"/>
                <w:highlight w:val="white"/>
              </w:rPr>
              <w:t>პუნქტის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ქვეპუნქტი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თანახმადაც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შეკრებისა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მანიფესტაციის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მონაწილეებს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lastRenderedPageBreak/>
              <w:t>ეკრძალებათ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განზრახ</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შექმნან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დაბრკოლებები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ხალხის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ტრანსპორტის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გადაადგილებისთვის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შორის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დაარღვიონ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11</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მოთხოვნები</w:t>
            </w:r>
            <w:r w:rsidRPr="009C0D18">
              <w:rPr>
                <w:rFonts w:ascii="Times New Roman" w:eastAsia="Times New Roman" w:hAnsi="Times New Roman" w:cs="Times New Roman"/>
                <w:color w:val="000000" w:themeColor="text1"/>
              </w:rPr>
              <w:t>;</w:t>
            </w:r>
          </w:p>
          <w:p w:rsidR="002D3215" w:rsidRPr="009C0D18" w:rsidRDefault="002D3215">
            <w:pPr>
              <w:pBdr>
                <w:top w:val="nil"/>
                <w:left w:val="nil"/>
                <w:bottom w:val="nil"/>
                <w:right w:val="nil"/>
                <w:between w:val="nil"/>
              </w:pBdr>
              <w:shd w:val="clear" w:color="auto" w:fill="EAEAEA"/>
              <w:spacing w:after="0" w:line="240" w:lineRule="auto"/>
              <w:ind w:firstLine="284"/>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4"/>
              <w:jc w:val="both"/>
              <w:rPr>
                <w:rFonts w:ascii="Times New Roman" w:eastAsia="Times New Roman" w:hAnsi="Times New Roman" w:cs="Times New Roman"/>
                <w:color w:val="000000" w:themeColor="text1"/>
              </w:rPr>
            </w:pPr>
          </w:p>
          <w:p w:rsidR="002D3215" w:rsidRPr="009C0D18" w:rsidRDefault="000A68FB">
            <w:pPr>
              <w:spacing w:after="200" w:line="276" w:lineRule="auto"/>
              <w:jc w:val="both"/>
              <w:rPr>
                <w:rFonts w:ascii="Merriweather" w:eastAsia="Merriweather" w:hAnsi="Merriweather" w:cs="Merriweather"/>
                <w:i/>
                <w:iCs/>
                <w:color w:val="000000" w:themeColor="text1"/>
                <w:sz w:val="24"/>
                <w:szCs w:val="24"/>
              </w:rPr>
            </w:pP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შეკრებისა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-11</w:t>
            </w:r>
            <w:r w:rsidRPr="009C0D18">
              <w:rPr>
                <w:rFonts w:ascii="Times New Roman" w:eastAsia="Times New Roman" w:hAnsi="Times New Roman" w:cs="Times New Roman"/>
                <w:color w:val="000000" w:themeColor="text1"/>
                <w:vertAlign w:val="superscript"/>
              </w:rPr>
              <w:t xml:space="preserve">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პუნქტი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თანახმად</w:t>
            </w:r>
            <w:r w:rsidRPr="009C0D18">
              <w:rPr>
                <w:rFonts w:ascii="Times New Roman" w:eastAsia="Times New Roman" w:hAnsi="Times New Roman" w:cs="Times New Roman"/>
                <w:color w:val="000000" w:themeColor="text1"/>
              </w:rPr>
              <w:t xml:space="preserve">: 4. </w:t>
            </w:r>
            <w:r w:rsidRPr="009C0D18">
              <w:rPr>
                <w:rFonts w:ascii="Arial Unicode MS" w:eastAsia="Arial Unicode MS" w:hAnsi="Arial Unicode MS" w:cs="Arial Unicode MS"/>
                <w:color w:val="000000" w:themeColor="text1"/>
              </w:rPr>
              <w:t>დაუშვებელია</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ტრანსპორტის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სავალი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ხელოვნურად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გადაკეტვა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მოითხოვს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მონაწილეთა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რაოდენობა</w:t>
            </w:r>
            <w:r w:rsidRPr="009C0D18">
              <w:rPr>
                <w:rFonts w:ascii="Times New Roman" w:eastAsia="Times New Roman" w:hAnsi="Times New Roman" w:cs="Times New Roman"/>
                <w:color w:val="000000" w:themeColor="text1"/>
              </w:rPr>
              <w:t xml:space="preserve">.  </w:t>
            </w:r>
          </w:p>
          <w:p w:rsidR="002D3215" w:rsidRPr="009C0D18" w:rsidRDefault="002D3215">
            <w:pP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4"/>
              <w:jc w:val="both"/>
              <w:rPr>
                <w:rFonts w:ascii="Times New Roman" w:eastAsia="Times New Roman" w:hAnsi="Times New Roman" w:cs="Times New Roman"/>
                <w:color w:val="000000" w:themeColor="text1"/>
              </w:rPr>
            </w:pPr>
          </w:p>
        </w:tc>
        <w:tc>
          <w:tcPr>
            <w:tcW w:w="5411" w:type="dxa"/>
            <w:tcBorders>
              <w:top w:val="single" w:sz="4" w:space="0" w:color="000000"/>
              <w:left w:val="single" w:sz="4" w:space="0" w:color="000000"/>
              <w:bottom w:val="single" w:sz="4" w:space="0" w:color="000000"/>
              <w:right w:val="single" w:sz="4" w:space="0" w:color="000000"/>
            </w:tcBorders>
            <w:shd w:val="clear" w:color="auto" w:fill="FFFFFF"/>
          </w:tcPr>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lastRenderedPageBreak/>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21-</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w:t>
            </w: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ყველას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თავდაცვის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ძალების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უსაფრთხოების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პასუხისმგებელი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შემადგენლობაში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წინასწარი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ნებართვის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გარეშე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საჯაროდ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უიარაღოდ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w:t>
            </w: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კანონით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შეიძლება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დაწესდეს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ხელისუფლების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წინასწარი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გაფრთხილების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აუცილებლობა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ხალხის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ტრანსპორტის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სამოძრაო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ადგილას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იმართება</w:t>
            </w:r>
            <w:r w:rsidRPr="009C0D18">
              <w:rPr>
                <w:rFonts w:ascii="Times New Roman" w:eastAsia="Times New Roman" w:hAnsi="Times New Roman" w:cs="Times New Roman"/>
                <w:color w:val="000000" w:themeColor="text1"/>
              </w:rPr>
              <w:t>.</w:t>
            </w: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3. </w:t>
            </w:r>
            <w:r w:rsidRPr="009C0D18">
              <w:rPr>
                <w:rFonts w:ascii="Arial Unicode MS" w:eastAsia="Arial Unicode MS" w:hAnsi="Arial Unicode MS" w:cs="Arial Unicode MS"/>
                <w:color w:val="000000" w:themeColor="text1"/>
              </w:rPr>
              <w:t>ხელისუფლებას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შეუძლია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შეწყვეტა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მხოლოდ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კანონსაწინააღმდეგო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ხასიათი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მიიღო</w:t>
            </w:r>
            <w:r w:rsidRPr="009C0D18">
              <w:rPr>
                <w:rFonts w:ascii="Times New Roman" w:eastAsia="Times New Roman" w:hAnsi="Times New Roman" w:cs="Times New Roman"/>
                <w:color w:val="000000" w:themeColor="text1"/>
              </w:rPr>
              <w:t>. </w:t>
            </w: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spacing w:after="0" w:line="240" w:lineRule="auto"/>
              <w:rPr>
                <w:rFonts w:ascii="Times New Roman" w:eastAsia="Times New Roman" w:hAnsi="Times New Roman" w:cs="Times New Roman"/>
                <w:color w:val="000000" w:themeColor="text1"/>
              </w:rPr>
            </w:pPr>
          </w:p>
        </w:tc>
      </w:tr>
      <w:tr w:rsidR="002D3215" w:rsidRPr="009C0D18">
        <w:tc>
          <w:tcPr>
            <w:tcW w:w="5389"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0A68FB">
            <w:pPr>
              <w:spacing w:after="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lastRenderedPageBreak/>
              <w:t>3)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p>
          <w:p w:rsidR="002D3215" w:rsidRPr="009C0D18" w:rsidRDefault="000A68FB">
            <w:pPr>
              <w:spacing w:after="0"/>
              <w:jc w:val="both"/>
              <w:rPr>
                <w:rFonts w:ascii="Times New Roman" w:eastAsia="Times New Roman" w:hAnsi="Times New Roman" w:cs="Times New Roman"/>
                <w:color w:val="000000" w:themeColor="text1"/>
                <w:highlight w:val="white"/>
              </w:rPr>
            </w:pP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w:t>
            </w:r>
            <w:r w:rsidRPr="009C0D18">
              <w:rPr>
                <w:rFonts w:ascii="Times New Roman" w:eastAsia="Times New Roman" w:hAnsi="Times New Roman" w:cs="Times New Roman"/>
                <w:color w:val="000000" w:themeColor="text1"/>
              </w:rPr>
              <w:t xml:space="preserve">” </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სსრ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უმაღლესი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საბჭოს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დადგენილება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Merriweather" w:eastAsia="Merriweather" w:hAnsi="Merriweather" w:cs="Merriweather"/>
                <w:color w:val="000000" w:themeColor="text1"/>
              </w:rPr>
              <w:t>174</w:t>
            </w:r>
            <w:r w:rsidRPr="009C0D18">
              <w:rPr>
                <w:rFonts w:ascii="Merriweather" w:eastAsia="Merriweather" w:hAnsi="Merriweather" w:cs="Merriweather"/>
                <w:color w:val="000000" w:themeColor="text1"/>
                <w:vertAlign w:val="superscript"/>
              </w:rPr>
              <w:t>1</w:t>
            </w:r>
            <w:r w:rsidRPr="009C0D18">
              <w:rPr>
                <w:rFonts w:ascii="Arial Unicode MS" w:eastAsia="Arial Unicode MS" w:hAnsi="Arial Unicode MS" w:cs="Arial Unicode MS"/>
                <w:color w:val="000000" w:themeColor="text1"/>
              </w:rPr>
              <w:t xml:space="preserve"> მუხლის მე-5 ნაწილი (2025 წლის 16 ოქტომბრამდე მოქმედი რედაქცია) რომლის თანახმადაც:  „შეკრებებისა და მანიფესტაციების შესახებ“ საქართველოს კანონის მე-9 მუხლით, მე-11 მუხლით (გარდა მე-11 მუხლის მე-2 პუნქტის „ა1“, „ა2“ და „ზ“ ქვეპუნქტებისა) და 11</w:t>
            </w:r>
            <w:r w:rsidRPr="009C0D18">
              <w:rPr>
                <w:rFonts w:ascii="Merriweather" w:eastAsia="Merriweather" w:hAnsi="Merriweather" w:cs="Merriweather"/>
                <w:color w:val="000000" w:themeColor="text1"/>
                <w:vertAlign w:val="superscript"/>
              </w:rPr>
              <w:t>1</w:t>
            </w:r>
            <w:r w:rsidRPr="009C0D18">
              <w:rPr>
                <w:rFonts w:ascii="Arial Unicode MS" w:eastAsia="Arial Unicode MS" w:hAnsi="Arial Unicode MS" w:cs="Arial Unicode MS"/>
                <w:color w:val="000000" w:themeColor="text1"/>
              </w:rPr>
              <w:t xml:space="preserve"> მუხლით გათვალისწინებული ნორმების დარღვევა –</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 xml:space="preserve">გამოიწვევს სამართალდამრღვევის დაჯარიმებას 5 000 ლარის ოდენობით ან ადმინისტრაციულ პატიმრობას 15 დღემდე ვადით, სამართალდარღვევის საგნის კონფისკაციით, ხოლო თუ სამართალდამრღვევი ორგანიზატორია − 15 000 ლარის ოდენობით ან ადმინისტრაციულ პატიმრობას 20 დღემდე </w:t>
            </w:r>
            <w:r w:rsidRPr="009C0D18">
              <w:rPr>
                <w:rFonts w:ascii="Arial Unicode MS" w:eastAsia="Arial Unicode MS" w:hAnsi="Arial Unicode MS" w:cs="Arial Unicode MS"/>
                <w:color w:val="000000" w:themeColor="text1"/>
              </w:rPr>
              <w:lastRenderedPageBreak/>
              <w:t xml:space="preserve">ვადით, სამართალდარღვევის საგნის კონფისკაციით. </w:t>
            </w:r>
          </w:p>
          <w:p w:rsidR="002D3215" w:rsidRPr="009C0D18" w:rsidRDefault="002D3215">
            <w:pPr>
              <w:spacing w:after="0"/>
              <w:ind w:firstLine="280"/>
              <w:jc w:val="both"/>
              <w:rPr>
                <w:rFonts w:ascii="Merriweather" w:eastAsia="Merriweather" w:hAnsi="Merriweather" w:cs="Merriweather"/>
                <w:color w:val="000000" w:themeColor="text1"/>
              </w:rPr>
            </w:pPr>
          </w:p>
          <w:p w:rsidR="002D3215" w:rsidRPr="009C0D18" w:rsidRDefault="002D3215">
            <w:pPr>
              <w:spacing w:after="0"/>
              <w:ind w:firstLine="280"/>
              <w:jc w:val="both"/>
              <w:rPr>
                <w:rFonts w:ascii="Merriweather" w:eastAsia="Merriweather" w:hAnsi="Merriweather" w:cs="Merriweather"/>
                <w:color w:val="000000" w:themeColor="text1"/>
              </w:rPr>
            </w:pPr>
          </w:p>
          <w:p w:rsidR="002D3215" w:rsidRPr="009C0D18" w:rsidRDefault="000A68FB">
            <w:pPr>
              <w:spacing w:after="0"/>
              <w:jc w:val="both"/>
              <w:rPr>
                <w:rFonts w:ascii="Times New Roman" w:eastAsia="Times New Roman" w:hAnsi="Times New Roman" w:cs="Times New Roman"/>
                <w:color w:val="000000" w:themeColor="text1"/>
              </w:rPr>
            </w:pPr>
            <w:r w:rsidRPr="009C0D18">
              <w:rPr>
                <w:rFonts w:ascii="Merriweather" w:eastAsia="Merriweather" w:hAnsi="Merriweather" w:cs="Merriweather"/>
                <w:color w:val="000000" w:themeColor="text1"/>
              </w:rPr>
              <w:t xml:space="preserve">4) </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p>
          <w:p w:rsidR="002D3215" w:rsidRPr="009C0D18" w:rsidRDefault="000A68FB">
            <w:pPr>
              <w:spacing w:after="0"/>
              <w:jc w:val="both"/>
              <w:rPr>
                <w:rFonts w:ascii="Times New Roman" w:eastAsia="Times New Roman" w:hAnsi="Times New Roman" w:cs="Times New Roman"/>
                <w:color w:val="000000" w:themeColor="text1"/>
                <w:highlight w:val="white"/>
              </w:rPr>
            </w:pP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w:t>
            </w:r>
            <w:r w:rsidRPr="009C0D18">
              <w:rPr>
                <w:rFonts w:ascii="Times New Roman" w:eastAsia="Times New Roman" w:hAnsi="Times New Roman" w:cs="Times New Roman"/>
                <w:color w:val="000000" w:themeColor="text1"/>
              </w:rPr>
              <w:t xml:space="preserve">” </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სსრ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უმაღლესი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საბჭოს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დადგენილება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Merriweather" w:eastAsia="Merriweather" w:hAnsi="Merriweather" w:cs="Merriweather"/>
                <w:color w:val="000000" w:themeColor="text1"/>
              </w:rPr>
              <w:t>174</w:t>
            </w:r>
            <w:r w:rsidRPr="009C0D18">
              <w:rPr>
                <w:rFonts w:ascii="Merriweather" w:eastAsia="Merriweather" w:hAnsi="Merriweather" w:cs="Merriweather"/>
                <w:color w:val="000000" w:themeColor="text1"/>
                <w:vertAlign w:val="superscript"/>
              </w:rPr>
              <w:t>1</w:t>
            </w:r>
            <w:r w:rsidRPr="009C0D18">
              <w:rPr>
                <w:rFonts w:ascii="Arial Unicode MS" w:eastAsia="Arial Unicode MS" w:hAnsi="Arial Unicode MS" w:cs="Arial Unicode MS"/>
                <w:color w:val="000000" w:themeColor="text1"/>
              </w:rPr>
              <w:t xml:space="preserve"> მუხლის მე-5 ნაწილი რომლის თანახმადაც:  „შეკრებებისა და მანიფესტაციების შესახებ“ საქართველოს კანონის მე-9 მუხლით, მე-11 მუხლით (გარდა მე-11 მუხლის მე-2 პუნქტის „ა1“, „ა2“ და „ზ“ ქვეპუნქტებისა) და 11</w:t>
            </w:r>
            <w:r w:rsidRPr="009C0D18">
              <w:rPr>
                <w:rFonts w:ascii="Merriweather" w:eastAsia="Merriweather" w:hAnsi="Merriweather" w:cs="Merriweather"/>
                <w:color w:val="000000" w:themeColor="text1"/>
                <w:vertAlign w:val="superscript"/>
              </w:rPr>
              <w:t>1</w:t>
            </w:r>
            <w:r w:rsidRPr="009C0D18">
              <w:rPr>
                <w:rFonts w:ascii="Arial Unicode MS" w:eastAsia="Arial Unicode MS" w:hAnsi="Arial Unicode MS" w:cs="Arial Unicode MS"/>
                <w:color w:val="000000" w:themeColor="text1"/>
              </w:rPr>
              <w:t xml:space="preserve"> მუხლით გათვალისწინებული ნორმების დარღვევა –</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გამოიწვევს სამართალდამრღვევის დაჯარიმებას 5 000 ლარის ოდენობით ან ადმინისტრაციულ პატიმრობას 15 დღემდე ვადით, სამართალდარღვევის საგნის კონფისკაციით, ხოლო თუ სამართალდამრღვევი ორგანიზატორია − 15 000 ლარის ოდენობით ან ადმინისტრაციულ პატიმრობას 20 დღემდე ვადით, სამართალდარღვევის საგნის კონფისკაციით.</w:t>
            </w:r>
          </w:p>
          <w:p w:rsidR="002D3215" w:rsidRPr="009C0D18" w:rsidRDefault="002D3215">
            <w:pPr>
              <w:spacing w:after="0"/>
              <w:ind w:firstLine="280"/>
              <w:jc w:val="both"/>
              <w:rPr>
                <w:rFonts w:ascii="Merriweather" w:eastAsia="Merriweather" w:hAnsi="Merriweather" w:cs="Merriweather"/>
                <w:color w:val="000000" w:themeColor="text1"/>
              </w:rPr>
            </w:pPr>
          </w:p>
          <w:p w:rsidR="002D3215" w:rsidRPr="009C0D18" w:rsidRDefault="002D3215">
            <w:pPr>
              <w:spacing w:after="0"/>
              <w:ind w:firstLine="280"/>
              <w:jc w:val="both"/>
              <w:rPr>
                <w:rFonts w:ascii="Merriweather" w:eastAsia="Merriweather" w:hAnsi="Merriweather" w:cs="Merriweather"/>
                <w:color w:val="000000" w:themeColor="text1"/>
              </w:rPr>
            </w:pPr>
          </w:p>
          <w:p w:rsidR="002D3215" w:rsidRPr="009C0D18" w:rsidRDefault="000A68FB">
            <w:pPr>
              <w:spacing w:after="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5)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p>
          <w:p w:rsidR="002D3215" w:rsidRPr="009C0D18" w:rsidRDefault="000A68FB">
            <w:pPr>
              <w:spacing w:after="0"/>
              <w:jc w:val="both"/>
              <w:rPr>
                <w:rFonts w:ascii="Times New Roman" w:eastAsia="Times New Roman" w:hAnsi="Times New Roman" w:cs="Times New Roman"/>
                <w:color w:val="000000" w:themeColor="text1"/>
                <w:highlight w:val="white"/>
              </w:rPr>
            </w:pP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w:t>
            </w:r>
            <w:r w:rsidRPr="009C0D18">
              <w:rPr>
                <w:rFonts w:ascii="Times New Roman" w:eastAsia="Times New Roman" w:hAnsi="Times New Roman" w:cs="Times New Roman"/>
                <w:color w:val="000000" w:themeColor="text1"/>
              </w:rPr>
              <w:t xml:space="preserve">” </w:t>
            </w:r>
          </w:p>
          <w:p w:rsidR="002D3215" w:rsidRPr="009C0D18" w:rsidRDefault="000A68FB">
            <w:pPr>
              <w:spacing w:after="0"/>
              <w:ind w:firstLine="28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სსრ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უმაღლესი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საბჭოს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დადგენილება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p>
          <w:p w:rsidR="002D3215" w:rsidRPr="009C0D18" w:rsidRDefault="002D3215">
            <w:pPr>
              <w:spacing w:after="0"/>
              <w:ind w:firstLine="280"/>
              <w:jc w:val="both"/>
              <w:rPr>
                <w:rFonts w:ascii="Times New Roman" w:eastAsia="Times New Roman" w:hAnsi="Times New Roman" w:cs="Times New Roman"/>
                <w:color w:val="000000" w:themeColor="text1"/>
              </w:rPr>
            </w:pPr>
          </w:p>
          <w:p w:rsidR="002D3215" w:rsidRPr="009C0D18" w:rsidRDefault="000A68FB">
            <w:pPr>
              <w:spacing w:after="0"/>
              <w:ind w:firstLine="28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მუხლი</w:t>
            </w:r>
            <w:r w:rsidRPr="009C0D18">
              <w:rPr>
                <w:rFonts w:ascii="Times New Roman" w:eastAsia="Times New Roman" w:hAnsi="Times New Roman" w:cs="Times New Roman"/>
                <w:color w:val="000000" w:themeColor="text1"/>
              </w:rPr>
              <w:t xml:space="preserve"> 174</w:t>
            </w:r>
            <w:r w:rsidRPr="009C0D18">
              <w:rPr>
                <w:rFonts w:ascii="Times New Roman" w:eastAsia="Times New Roman" w:hAnsi="Times New Roman" w:cs="Times New Roman"/>
                <w:color w:val="000000" w:themeColor="text1"/>
                <w:vertAlign w:val="superscript"/>
              </w:rPr>
              <w:t xml:space="preserve">1  </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ნაწილი</w:t>
            </w:r>
            <w:r w:rsidRPr="009C0D18">
              <w:rPr>
                <w:rFonts w:ascii="Times New Roman" w:eastAsia="Times New Roman" w:hAnsi="Times New Roman" w:cs="Times New Roman"/>
                <w:color w:val="000000" w:themeColor="text1"/>
              </w:rPr>
              <w:t>:</w:t>
            </w:r>
          </w:p>
          <w:p w:rsidR="002D3215" w:rsidRPr="009C0D18" w:rsidRDefault="000A68FB">
            <w:pPr>
              <w:spacing w:after="0"/>
              <w:ind w:firstLine="28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10. „</w:t>
            </w: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w:t>
            </w:r>
            <w:r w:rsidRPr="009C0D18">
              <w:rPr>
                <w:rFonts w:ascii="Times New Roman" w:eastAsia="Times New Roman" w:hAnsi="Times New Roman" w:cs="Times New Roman"/>
                <w:color w:val="000000" w:themeColor="text1"/>
              </w:rPr>
              <w:lastRenderedPageBreak/>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​2“, „</w:t>
            </w:r>
            <w:r w:rsidRPr="009C0D18">
              <w:rPr>
                <w:rFonts w:ascii="Arial Unicode MS" w:eastAsia="Arial Unicode MS" w:hAnsi="Arial Unicode MS" w:cs="Arial Unicode MS"/>
                <w:color w:val="000000" w:themeColor="text1"/>
              </w:rPr>
              <w:t>გ</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ქვეპუნქტებითა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11​</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w:t>
            </w:r>
            <w:r w:rsidRPr="009C0D18">
              <w:rPr>
                <w:rFonts w:ascii="Times New Roman" w:eastAsia="Times New Roman" w:hAnsi="Times New Roman" w:cs="Times New Roman"/>
                <w:color w:val="000000" w:themeColor="text1"/>
              </w:rPr>
              <w:t xml:space="preserve"> –</w:t>
            </w:r>
          </w:p>
          <w:p w:rsidR="002D3215" w:rsidRPr="009C0D18" w:rsidRDefault="000A68FB">
            <w:pPr>
              <w:spacing w:after="0"/>
              <w:ind w:firstLine="28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გამოიწვევს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15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საგნის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კონფისკაციით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ორგანიზატორია</w:t>
            </w:r>
            <w:r w:rsidRPr="009C0D18">
              <w:rPr>
                <w:rFonts w:ascii="Gungsuh" w:eastAsia="Gungsuh" w:hAnsi="Gungsuh" w:cs="Gungsuh"/>
                <w:color w:val="000000" w:themeColor="text1"/>
              </w:rPr>
              <w:t xml:space="preserve"> −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20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საგნის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კონფისკაციით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32-</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-3 </w:t>
            </w:r>
            <w:r w:rsidRPr="009C0D18">
              <w:rPr>
                <w:rFonts w:ascii="Arial Unicode MS" w:eastAsia="Arial Unicode MS" w:hAnsi="Arial Unicode MS" w:cs="Arial Unicode MS"/>
                <w:color w:val="000000" w:themeColor="text1"/>
              </w:rPr>
              <w:t>ნაწილით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დაეკისრება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ჯარიმა</w:t>
            </w:r>
            <w:r w:rsidRPr="009C0D18">
              <w:rPr>
                <w:rFonts w:ascii="Times New Roman" w:eastAsia="Times New Roman" w:hAnsi="Times New Roman" w:cs="Times New Roman"/>
                <w:color w:val="000000" w:themeColor="text1"/>
              </w:rPr>
              <w:t xml:space="preserve"> 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იმავე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ორგანიზატორია</w:t>
            </w:r>
            <w:r w:rsidRPr="009C0D18">
              <w:rPr>
                <w:rFonts w:ascii="Gungsuh" w:eastAsia="Gungsuh" w:hAnsi="Gungsuh" w:cs="Gungsuh"/>
                <w:color w:val="000000" w:themeColor="text1"/>
              </w:rPr>
              <w:t xml:space="preserve"> − 15 000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w:t>
            </w:r>
          </w:p>
          <w:p w:rsidR="002D3215" w:rsidRPr="009C0D18" w:rsidRDefault="000A68FB">
            <w:pPr>
              <w:shd w:val="clear" w:color="auto" w:fill="EAEAEA"/>
              <w:spacing w:after="0" w:line="240" w:lineRule="auto"/>
              <w:ind w:firstLine="283"/>
              <w:jc w:val="both"/>
              <w:rPr>
                <w:rFonts w:ascii="Times New Roman" w:eastAsia="Times New Roman" w:hAnsi="Times New Roman" w:cs="Times New Roman"/>
                <w:i/>
                <w:iCs/>
                <w:color w:val="000000" w:themeColor="text1"/>
              </w:rPr>
            </w:pPr>
            <w:r w:rsidRPr="009C0D18">
              <w:rPr>
                <w:rFonts w:ascii="Arial Unicode MS" w:eastAsia="Arial Unicode MS" w:hAnsi="Arial Unicode MS" w:cs="Arial Unicode MS"/>
                <w:i/>
                <w:iCs/>
                <w:color w:val="000000" w:themeColor="text1"/>
              </w:rPr>
              <w:t>და</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ამავე</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ნაწილის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ნორმატიული</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შინაარსი</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რომელიც</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არ</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აუქმებს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ამავე</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მუხლის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წინა</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რედაქციის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მე</w:t>
            </w:r>
            <w:r w:rsidRPr="009C0D18">
              <w:rPr>
                <w:rFonts w:ascii="Times New Roman" w:eastAsia="Times New Roman" w:hAnsi="Times New Roman" w:cs="Times New Roman"/>
                <w:i/>
                <w:iCs/>
                <w:color w:val="000000" w:themeColor="text1"/>
              </w:rPr>
              <w:t xml:space="preserve">-5 </w:t>
            </w:r>
            <w:r w:rsidRPr="009C0D18">
              <w:rPr>
                <w:rFonts w:ascii="Arial Unicode MS" w:eastAsia="Arial Unicode MS" w:hAnsi="Arial Unicode MS" w:cs="Arial Unicode MS"/>
                <w:i/>
                <w:iCs/>
                <w:color w:val="000000" w:themeColor="text1"/>
              </w:rPr>
              <w:t>პუნქტში</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გათვალისწინებული</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ქმედებისათვის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პასუხისმგებლობას</w:t>
            </w:r>
            <w:r w:rsidRPr="009C0D18">
              <w:rPr>
                <w:rFonts w:ascii="Times New Roman" w:eastAsia="Times New Roman" w:hAnsi="Times New Roman" w:cs="Times New Roman"/>
                <w:i/>
                <w:iCs/>
                <w:color w:val="000000" w:themeColor="text1"/>
              </w:rPr>
              <w:t>.</w:t>
            </w:r>
          </w:p>
          <w:p w:rsidR="002D3215" w:rsidRPr="009C0D18" w:rsidRDefault="002D3215">
            <w:pPr>
              <w:pBdr>
                <w:top w:val="nil"/>
                <w:left w:val="nil"/>
                <w:bottom w:val="nil"/>
                <w:right w:val="nil"/>
                <w:between w:val="nil"/>
              </w:pBdr>
              <w:jc w:val="both"/>
              <w:rPr>
                <w:rFonts w:ascii="Times New Roman" w:eastAsia="Times New Roman" w:hAnsi="Times New Roman" w:cs="Times New Roman"/>
                <w:i/>
                <w:iCs/>
                <w:color w:val="000000" w:themeColor="text1"/>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lastRenderedPageBreak/>
              <w:t xml:space="preserve">  </w:t>
            </w:r>
            <w:r w:rsidRPr="009C0D18">
              <w:rPr>
                <w:rFonts w:ascii="Arial Unicode MS" w:eastAsia="Arial Unicode MS" w:hAnsi="Arial Unicode MS" w:cs="Arial Unicode MS"/>
                <w:color w:val="000000" w:themeColor="text1"/>
              </w:rPr>
              <w:t>მუხლი</w:t>
            </w:r>
            <w:r w:rsidRPr="009C0D18">
              <w:rPr>
                <w:rFonts w:ascii="Times New Roman" w:eastAsia="Times New Roman" w:hAnsi="Times New Roman" w:cs="Times New Roman"/>
                <w:color w:val="000000" w:themeColor="text1"/>
              </w:rPr>
              <w:t xml:space="preserve"> 9.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ხელშეუვალობა</w:t>
            </w:r>
            <w:r w:rsidRPr="009C0D18">
              <w:rPr>
                <w:rFonts w:ascii="Times New Roman" w:eastAsia="Times New Roman" w:hAnsi="Times New Roman" w:cs="Times New Roman"/>
                <w:color w:val="000000" w:themeColor="text1"/>
              </w:rPr>
              <w:t xml:space="preserve">   </w:t>
            </w: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ხელშეუვალია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იცავს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w:t>
            </w: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დაუშვებელია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გამოყენება</w:t>
            </w:r>
            <w:r w:rsidRPr="009C0D18">
              <w:rPr>
                <w:rFonts w:ascii="Times New Roman" w:eastAsia="Times New Roman" w:hAnsi="Times New Roman" w:cs="Times New Roman"/>
                <w:color w:val="000000" w:themeColor="text1"/>
              </w:rPr>
              <w:t>.</w:t>
            </w: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21-</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w:t>
            </w: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ყველას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თავდაცვის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ძალების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უსაფრთხოების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პასუხისმგებელი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შემადგენლობაში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წინასწარი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ნებართვის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გარეშე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საჯაროდ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უიარაღოდ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w:t>
            </w: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კანონით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შეიძლება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დაწესდეს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ხელისუფლების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წინასწარი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გაფრთხილების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აუცილებლობა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ხალხის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ტრანსპორტის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სამოძრაო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ადგილას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იმართება</w:t>
            </w:r>
            <w:r w:rsidRPr="009C0D18">
              <w:rPr>
                <w:rFonts w:ascii="Times New Roman" w:eastAsia="Times New Roman" w:hAnsi="Times New Roman" w:cs="Times New Roman"/>
                <w:color w:val="000000" w:themeColor="text1"/>
              </w:rPr>
              <w:t>.</w:t>
            </w:r>
          </w:p>
          <w:p w:rsidR="002D3215" w:rsidRPr="009C0D18" w:rsidRDefault="000A68FB">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lastRenderedPageBreak/>
              <w:t xml:space="preserve">3. </w:t>
            </w:r>
            <w:r w:rsidRPr="009C0D18">
              <w:rPr>
                <w:rFonts w:ascii="Arial Unicode MS" w:eastAsia="Arial Unicode MS" w:hAnsi="Arial Unicode MS" w:cs="Arial Unicode MS"/>
                <w:color w:val="000000" w:themeColor="text1"/>
              </w:rPr>
              <w:t>ხელისუფლებას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შეუძლია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შეწყვეტა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მხოლოდ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კანონსაწინააღმდეგო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ხასიათი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მიიღო</w:t>
            </w:r>
            <w:r w:rsidRPr="009C0D18">
              <w:rPr>
                <w:rFonts w:ascii="Times New Roman" w:eastAsia="Times New Roman" w:hAnsi="Times New Roman" w:cs="Times New Roman"/>
                <w:color w:val="000000" w:themeColor="text1"/>
              </w:rPr>
              <w:t>. </w:t>
            </w: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tc>
      </w:tr>
      <w:tr w:rsidR="002D3215" w:rsidRPr="009C0D18">
        <w:tc>
          <w:tcPr>
            <w:tcW w:w="5389"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pBdr>
                <w:top w:val="nil"/>
                <w:left w:val="nil"/>
                <w:bottom w:val="nil"/>
                <w:right w:val="nil"/>
                <w:between w:val="nil"/>
              </w:pBdr>
              <w:shd w:val="clear" w:color="auto" w:fill="EAEAEA"/>
              <w:spacing w:after="0" w:line="240" w:lineRule="auto"/>
              <w:ind w:firstLine="284"/>
              <w:jc w:val="both"/>
              <w:rPr>
                <w:rFonts w:ascii="Times New Roman" w:eastAsia="Times New Roman" w:hAnsi="Times New Roman" w:cs="Times New Roman"/>
                <w:color w:val="000000" w:themeColor="text1"/>
              </w:rPr>
            </w:pPr>
            <w:bookmarkStart w:id="1" w:name="_jt5r764tbwo3" w:colFirst="0" w:colLast="0"/>
            <w:bookmarkEnd w:id="1"/>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pBdr>
                <w:top w:val="nil"/>
                <w:left w:val="nil"/>
                <w:bottom w:val="nil"/>
                <w:right w:val="nil"/>
                <w:between w:val="nil"/>
              </w:pBdr>
              <w:shd w:val="clear" w:color="auto" w:fill="EAEAEA"/>
              <w:spacing w:after="0" w:line="240" w:lineRule="auto"/>
              <w:ind w:firstLine="283"/>
              <w:jc w:val="both"/>
              <w:rPr>
                <w:rFonts w:ascii="Times New Roman" w:eastAsia="Times New Roman" w:hAnsi="Times New Roman" w:cs="Times New Roman"/>
                <w:color w:val="000000" w:themeColor="text1"/>
              </w:rPr>
            </w:pPr>
          </w:p>
        </w:tc>
      </w:tr>
      <w:tr w:rsidR="002D3215" w:rsidRPr="009C0D18">
        <w:tc>
          <w:tcPr>
            <w:tcW w:w="5389"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pBdr>
                <w:top w:val="nil"/>
                <w:left w:val="nil"/>
                <w:bottom w:val="nil"/>
                <w:right w:val="nil"/>
                <w:between w:val="nil"/>
              </w:pBdr>
              <w:shd w:val="clear" w:color="auto" w:fill="EAEAEA"/>
              <w:spacing w:after="0" w:line="240" w:lineRule="auto"/>
              <w:ind w:firstLine="284"/>
              <w:jc w:val="both"/>
              <w:rPr>
                <w:rFonts w:ascii="Times New Roman" w:eastAsia="Times New Roman" w:hAnsi="Times New Roman" w:cs="Times New Roman"/>
                <w:color w:val="000000" w:themeColor="text1"/>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ind w:right="168"/>
              <w:rPr>
                <w:rFonts w:ascii="Times New Roman" w:eastAsia="Times New Roman" w:hAnsi="Times New Roman" w:cs="Times New Roman"/>
                <w:color w:val="000000" w:themeColor="text1"/>
              </w:rPr>
            </w:pPr>
          </w:p>
        </w:tc>
      </w:tr>
      <w:tr w:rsidR="002D3215" w:rsidRPr="009C0D18">
        <w:tc>
          <w:tcPr>
            <w:tcW w:w="5389"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spacing w:after="0"/>
              <w:jc w:val="both"/>
              <w:rPr>
                <w:rFonts w:ascii="Times New Roman" w:eastAsia="Times New Roman" w:hAnsi="Times New Roman" w:cs="Times New Roman"/>
                <w:color w:val="000000" w:themeColor="text1"/>
              </w:rPr>
            </w:pPr>
          </w:p>
          <w:p w:rsidR="002D3215" w:rsidRPr="009C0D18" w:rsidRDefault="002D3215">
            <w:pPr>
              <w:spacing w:after="0"/>
              <w:jc w:val="both"/>
              <w:rPr>
                <w:rFonts w:ascii="Times New Roman" w:eastAsia="Times New Roman" w:hAnsi="Times New Roman" w:cs="Times New Roman"/>
                <w:color w:val="000000" w:themeColor="text1"/>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shd w:val="clear" w:color="auto" w:fill="EAEAEA"/>
              <w:spacing w:after="0" w:line="240" w:lineRule="auto"/>
              <w:ind w:firstLine="283"/>
              <w:jc w:val="both"/>
              <w:rPr>
                <w:rFonts w:ascii="Times New Roman" w:eastAsia="Times New Roman" w:hAnsi="Times New Roman" w:cs="Times New Roman"/>
                <w:color w:val="000000" w:themeColor="text1"/>
              </w:rPr>
            </w:pPr>
          </w:p>
        </w:tc>
      </w:tr>
      <w:tr w:rsidR="002D3215" w:rsidRPr="009C0D18">
        <w:tc>
          <w:tcPr>
            <w:tcW w:w="5389"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ind w:right="168"/>
              <w:rPr>
                <w:rFonts w:ascii="Times New Roman" w:eastAsia="Times New Roman" w:hAnsi="Times New Roman" w:cs="Times New Roman"/>
                <w:color w:val="000000" w:themeColor="text1"/>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2D3215" w:rsidRPr="009C0D18" w:rsidRDefault="002D3215">
            <w:pPr>
              <w:ind w:right="168"/>
              <w:rPr>
                <w:rFonts w:ascii="Times New Roman" w:eastAsia="Times New Roman" w:hAnsi="Times New Roman" w:cs="Times New Roman"/>
                <w:color w:val="000000" w:themeColor="text1"/>
              </w:rPr>
            </w:pPr>
          </w:p>
        </w:tc>
      </w:tr>
    </w:tbl>
    <w:p w:rsidR="002D3215" w:rsidRPr="009C0D18" w:rsidRDefault="002D3215">
      <w:pPr>
        <w:ind w:left="-720"/>
        <w:rPr>
          <w:rFonts w:ascii="Times New Roman" w:eastAsia="Times New Roman" w:hAnsi="Times New Roman" w:cs="Times New Roman"/>
          <w:color w:val="000000" w:themeColor="text1"/>
        </w:rPr>
      </w:pPr>
    </w:p>
    <w:p w:rsidR="002D3215" w:rsidRPr="009C0D18" w:rsidRDefault="002D3215">
      <w:pPr>
        <w:ind w:left="-720"/>
        <w:rPr>
          <w:rFonts w:ascii="Times New Roman" w:eastAsia="Times New Roman" w:hAnsi="Times New Roman" w:cs="Times New Roman"/>
          <w:color w:val="000000" w:themeColor="text1"/>
        </w:rPr>
      </w:pPr>
    </w:p>
    <w:p w:rsidR="002D3215" w:rsidRPr="009C0D18" w:rsidRDefault="002D3215">
      <w:pPr>
        <w:rPr>
          <w:rFonts w:ascii="Times New Roman" w:eastAsia="Times New Roman" w:hAnsi="Times New Roman" w:cs="Times New Roman"/>
          <w:color w:val="000000" w:themeColor="text1"/>
        </w:rPr>
      </w:pPr>
    </w:p>
    <w:p w:rsidR="002D3215" w:rsidRPr="009C0D18" w:rsidRDefault="002D3215">
      <w:pPr>
        <w:rPr>
          <w:rFonts w:ascii="Times New Roman" w:eastAsia="Times New Roman" w:hAnsi="Times New Roman" w:cs="Times New Roman"/>
          <w:color w:val="000000" w:themeColor="text1"/>
        </w:rPr>
      </w:pPr>
    </w:p>
    <w:p w:rsidR="002D3215" w:rsidRPr="009C0D18" w:rsidRDefault="002D3215">
      <w:pPr>
        <w:rPr>
          <w:rFonts w:ascii="Times New Roman" w:eastAsia="Times New Roman" w:hAnsi="Times New Roman" w:cs="Times New Roman"/>
          <w:color w:val="000000" w:themeColor="text1"/>
        </w:rPr>
      </w:pPr>
    </w:p>
    <w:p w:rsidR="002D3215" w:rsidRPr="009C0D18" w:rsidRDefault="002D3215">
      <w:pPr>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i/>
          <w:iCs/>
          <w:color w:val="000000" w:themeColor="text1"/>
        </w:rPr>
      </w:pP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მიუთითეთ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კანონმდებლობის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განიჭებთ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მიმართოთ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w:t>
      </w:r>
    </w:p>
    <w:tbl>
      <w:tblPr>
        <w:tblStyle w:val="aa"/>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D3215" w:rsidRPr="009C0D18">
        <w:trPr>
          <w:trHeight w:val="720"/>
        </w:trPr>
        <w:tc>
          <w:tcPr>
            <w:tcW w:w="10795" w:type="dxa"/>
            <w:tcBorders>
              <w:top w:val="single" w:sz="4" w:space="0" w:color="FFFFFF"/>
              <w:left w:val="single" w:sz="4" w:space="0" w:color="FFFFFF"/>
              <w:right w:val="single" w:sz="4" w:space="0" w:color="FFFFFF"/>
            </w:tcBorders>
          </w:tcPr>
          <w:p w:rsidR="002D3215" w:rsidRPr="009C0D18" w:rsidRDefault="000A68FB">
            <w:pPr>
              <w:tabs>
                <w:tab w:val="left" w:pos="1644"/>
              </w:tabs>
              <w:spacing w:after="160" w:line="256"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lastRenderedPageBreak/>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31-</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წინადადება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ყოველ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დასაცავად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w:t>
            </w:r>
          </w:p>
          <w:p w:rsidR="002D3215" w:rsidRPr="009C0D18" w:rsidRDefault="000A68FB">
            <w:pPr>
              <w:tabs>
                <w:tab w:val="left" w:pos="1644"/>
              </w:tabs>
              <w:spacing w:after="160" w:line="256"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60-</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დადგენილი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წესით</w:t>
            </w:r>
            <w:r w:rsidRPr="009C0D18">
              <w:rPr>
                <w:rFonts w:ascii="Times New Roman" w:eastAsia="Times New Roman" w:hAnsi="Times New Roman" w:cs="Times New Roman"/>
                <w:color w:val="000000" w:themeColor="text1"/>
              </w:rPr>
              <w:t>:</w:t>
            </w:r>
          </w:p>
          <w:p w:rsidR="002D3215" w:rsidRPr="009C0D18" w:rsidRDefault="000A68FB">
            <w:pPr>
              <w:tabs>
                <w:tab w:val="left" w:pos="1644"/>
              </w:tabs>
              <w:spacing w:after="160" w:line="256" w:lineRule="auto"/>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ფიზიკური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იურიდიული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სახალხო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დამცველის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იხილავს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ნორმატიული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მეორე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r w:rsidRPr="009C0D18">
              <w:rPr>
                <w:rFonts w:ascii="Times New Roman" w:eastAsia="Times New Roman" w:hAnsi="Times New Roman" w:cs="Times New Roman"/>
                <w:color w:val="000000" w:themeColor="text1"/>
              </w:rPr>
              <w:t>.“ ;</w:t>
            </w:r>
          </w:p>
          <w:p w:rsidR="002D3215" w:rsidRPr="009C0D18" w:rsidRDefault="000A68FB">
            <w:pPr>
              <w:tabs>
                <w:tab w:val="left" w:pos="1644"/>
              </w:tabs>
              <w:spacing w:after="160" w:line="256"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წარდგინების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უფლებამოსილია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განიხილოს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გადაწყვიტოს</w:t>
            </w:r>
            <w:r w:rsidRPr="009C0D18">
              <w:rPr>
                <w:rFonts w:ascii="Times New Roman" w:eastAsia="Times New Roman" w:hAnsi="Times New Roman" w:cs="Times New Roman"/>
                <w:color w:val="000000" w:themeColor="text1"/>
              </w:rPr>
              <w:t>)</w:t>
            </w:r>
          </w:p>
          <w:p w:rsidR="002D3215" w:rsidRPr="009C0D18" w:rsidRDefault="000A68FB">
            <w:pPr>
              <w:tabs>
                <w:tab w:val="left" w:pos="1644"/>
              </w:tabs>
              <w:spacing w:after="160" w:line="256"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მეორე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ნორმატიული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აქტების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საკითხი</w:t>
            </w:r>
            <w:r w:rsidRPr="009C0D18">
              <w:rPr>
                <w:rFonts w:ascii="Times New Roman" w:eastAsia="Times New Roman" w:hAnsi="Times New Roman" w:cs="Times New Roman"/>
                <w:color w:val="000000" w:themeColor="text1"/>
              </w:rPr>
              <w:t>“ ;</w:t>
            </w:r>
          </w:p>
          <w:p w:rsidR="002D3215" w:rsidRPr="009C0D18" w:rsidRDefault="000A68FB">
            <w:pPr>
              <w:tabs>
                <w:tab w:val="left" w:pos="1644"/>
              </w:tabs>
              <w:spacing w:after="160" w:line="256"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31-</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31</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მუხლები</w:t>
            </w:r>
            <w:r w:rsidRPr="009C0D18">
              <w:rPr>
                <w:rFonts w:ascii="Times New Roman" w:eastAsia="Times New Roman" w:hAnsi="Times New Roman" w:cs="Times New Roman"/>
                <w:color w:val="000000" w:themeColor="text1"/>
              </w:rPr>
              <w:t>;</w:t>
            </w:r>
          </w:p>
          <w:p w:rsidR="002D3215" w:rsidRPr="009C0D18" w:rsidRDefault="000A68FB">
            <w:pPr>
              <w:tabs>
                <w:tab w:val="left" w:pos="1644"/>
              </w:tabs>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39-</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ნორმატიული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ცალკეული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შეტანის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აქვთ</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ფიზიკურ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იურიდიულ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მიაჩნიათ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უშუალოდ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დაირღვეს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მეორე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თავისუფლებანი</w:t>
            </w:r>
            <w:r w:rsidRPr="009C0D18">
              <w:rPr>
                <w:rFonts w:ascii="Times New Roman" w:eastAsia="Times New Roman" w:hAnsi="Times New Roman" w:cs="Times New Roman"/>
                <w:color w:val="000000" w:themeColor="text1"/>
              </w:rPr>
              <w:t>;”</w:t>
            </w:r>
          </w:p>
        </w:tc>
      </w:tr>
    </w:tbl>
    <w:p w:rsidR="002D3215" w:rsidRPr="009C0D18" w:rsidRDefault="002D3215">
      <w:pPr>
        <w:ind w:left="-720"/>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color w:val="000000" w:themeColor="text1"/>
        </w:rPr>
        <w:br w:type="page"/>
      </w:r>
    </w:p>
    <w:p w:rsidR="002D3215" w:rsidRPr="009C0D18" w:rsidRDefault="000A68FB">
      <w:pPr>
        <w:shd w:val="clear" w:color="auto" w:fill="9CC3E5"/>
        <w:ind w:left="-720" w:right="-720"/>
        <w:jc w:val="center"/>
        <w:rPr>
          <w:rFonts w:ascii="Times New Roman" w:eastAsia="Times New Roman" w:hAnsi="Times New Roman" w:cs="Times New Roman"/>
          <w:b/>
          <w:bCs/>
          <w:color w:val="000000" w:themeColor="text1"/>
        </w:rPr>
      </w:pPr>
      <w:r w:rsidRPr="009C0D18">
        <w:rPr>
          <w:rFonts w:ascii="Times New Roman" w:eastAsia="Times New Roman" w:hAnsi="Times New Roman" w:cs="Times New Roman"/>
          <w:b/>
          <w:bCs/>
          <w:color w:val="000000" w:themeColor="text1"/>
        </w:rPr>
        <w:lastRenderedPageBreak/>
        <w:t>II</w:t>
      </w:r>
      <w:r w:rsidRPr="009C0D18">
        <w:rPr>
          <w:rFonts w:ascii="Times New Roman" w:eastAsia="Times New Roman" w:hAnsi="Times New Roman" w:cs="Times New Roman"/>
          <w:b/>
          <w:bCs/>
          <w:color w:val="000000" w:themeColor="text1"/>
        </w:rPr>
        <w:br/>
      </w:r>
      <w:r w:rsidRPr="009C0D18">
        <w:rPr>
          <w:rFonts w:ascii="Arial Unicode MS" w:eastAsia="Arial Unicode MS" w:hAnsi="Arial Unicode MS" w:cs="Arial Unicode MS"/>
          <w:b/>
          <w:bCs/>
          <w:color w:val="000000" w:themeColor="text1"/>
        </w:rPr>
        <w:t>კონსტიტუციური</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სარჩელის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საფუძვლიანობა</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მოთხოვნის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არსი</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და</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დასაბუთება</w:t>
      </w: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განმარტებები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არსებითად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განსახილველად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მიღებასთან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დაკავშირებით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vertAlign w:val="superscript"/>
        </w:rPr>
        <w:footnoteReference w:id="5"/>
      </w:r>
    </w:p>
    <w:tbl>
      <w:tblPr>
        <w:tblStyle w:val="ab"/>
        <w:tblW w:w="104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2D3215" w:rsidRPr="009C0D18">
        <w:tc>
          <w:tcPr>
            <w:tcW w:w="10440" w:type="dxa"/>
            <w:tcBorders>
              <w:top w:val="single" w:sz="4" w:space="0" w:color="FFFFFF"/>
              <w:left w:val="single" w:sz="4" w:space="0" w:color="FFFFFF"/>
              <w:right w:val="single" w:sz="4" w:space="0" w:color="FFFFFF"/>
            </w:tcBorders>
          </w:tcPr>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წარმოდგენილი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ფორმითა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შინაარსით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შეესაბამება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31</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მოთხოვნებს</w:t>
            </w:r>
            <w:r w:rsidRPr="009C0D18">
              <w:rPr>
                <w:rFonts w:ascii="Times New Roman" w:eastAsia="Times New Roman" w:hAnsi="Times New Roman" w:cs="Times New Roman"/>
                <w:color w:val="000000" w:themeColor="text1"/>
              </w:rPr>
              <w:t>;</w:t>
            </w:r>
          </w:p>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შეტანილია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უფლებამოსილი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w:t>
            </w:r>
          </w:p>
          <w:p w:rsidR="002D3215" w:rsidRPr="009C0D18" w:rsidRDefault="000A68FB">
            <w:pPr>
              <w:spacing w:after="160" w:line="256" w:lineRule="auto"/>
              <w:ind w:right="-2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კონკრეტულ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შემთხვევასში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მოსარჩელე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უფლებამოსილ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იდავოს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სადავოდ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გამხდარ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r w:rsidRPr="009C0D18">
              <w:rPr>
                <w:rFonts w:ascii="Times New Roman" w:eastAsia="Times New Roman" w:hAnsi="Times New Roman" w:cs="Times New Roman"/>
                <w:color w:val="000000" w:themeColor="text1"/>
              </w:rPr>
              <w:t>;</w:t>
            </w:r>
          </w:p>
          <w:p w:rsidR="002D3215" w:rsidRPr="009C0D18" w:rsidRDefault="002D3215">
            <w:pPr>
              <w:spacing w:after="160" w:line="256" w:lineRule="auto"/>
              <w:ind w:right="-20"/>
              <w:jc w:val="both"/>
              <w:rPr>
                <w:rFonts w:ascii="Merriweather" w:eastAsia="Merriweather" w:hAnsi="Merriweather" w:cs="Merriweather"/>
                <w:color w:val="000000" w:themeColor="text1"/>
              </w:rPr>
            </w:pPr>
          </w:p>
          <w:p w:rsidR="002D3215" w:rsidRPr="009C0D18" w:rsidRDefault="000A68FB">
            <w:pPr>
              <w:spacing w:after="160" w:line="256" w:lineRule="auto"/>
              <w:ind w:right="-2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 xml:space="preserve">2025 წლის 6 თებერვალს ქ. თბილისის მერიას მივმართე განცხადებით, რომელშიც მითითებული იყო შემდეგი: </w:t>
            </w:r>
          </w:p>
          <w:p w:rsidR="002D3215" w:rsidRPr="009C0D18" w:rsidRDefault="000A68FB">
            <w:pPr>
              <w:spacing w:after="160" w:line="259" w:lineRule="auto"/>
              <w:jc w:val="both"/>
              <w:rPr>
                <w:color w:val="000000" w:themeColor="text1"/>
              </w:rPr>
            </w:pPr>
            <w:r w:rsidRPr="009C0D18">
              <w:rPr>
                <w:color w:val="000000" w:themeColor="text1"/>
              </w:rPr>
              <w:t xml:space="preserve">„შეკრებისა და მანიფესტაციების შესახებ კანონის მე-8 მუხლის მე-2 და მე-3 პუნქტების შესაბამისად, მოგმართავთ განცხადებით (გაფრთხილებით) რომ ქალაქ თბილისში 2025 წლის 6, 7, 8, 9, 10, 11, 12, 13, 14, 15, 16, 17 18, 19, 20 თებერვალს ყოველდღე 19:00-დან 24:00 -მდე რუსთაველის გამზირზე, ოპერიდან თავისუფლების მოდნამდე ჩატარდება შეკრება/მანიფესტაცია, რომელშიც მონაწილეობას მიიღებს 5000 -დან 100 000 მდე ადამიანი. ღონისძიება ჩატარდება ტრანსპორტის მოძრაობის ადგილას, რის გამოც უნდა იქნას უზრუნველყოფილი შესაბამის მონაკვეთზე საავტომობილო გზის ჩაკეტვა მოძრაობის ორივე მხარეს. რადგა კანონი ითხოვს ღონისძიების ფორმის მითითებას, ღონისძიება ჩატარდება დგომით/ჯდომით/სვლით“.  </w:t>
            </w:r>
          </w:p>
          <w:p w:rsidR="002D3215" w:rsidRPr="009C0D18" w:rsidRDefault="000A68FB">
            <w:pPr>
              <w:spacing w:after="160" w:line="256" w:lineRule="auto"/>
              <w:ind w:right="-2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 xml:space="preserve"> აღნიშნული განცხადების მიუხედავად, 2025 წლის 13 თებერვალს დავჯარიმდი ადმინისტრაციული სამართალდარღვევათა კოდექსის 175</w:t>
            </w:r>
            <w:r w:rsidRPr="009C0D18">
              <w:rPr>
                <w:rFonts w:ascii="Merriweather" w:eastAsia="Merriweather" w:hAnsi="Merriweather" w:cs="Merriweather"/>
                <w:color w:val="000000" w:themeColor="text1"/>
                <w:vertAlign w:val="superscript"/>
              </w:rPr>
              <w:t>1</w:t>
            </w:r>
            <w:r w:rsidRPr="009C0D18">
              <w:rPr>
                <w:rFonts w:ascii="Arial Unicode MS" w:eastAsia="Arial Unicode MS" w:hAnsi="Arial Unicode MS" w:cs="Arial Unicode MS"/>
                <w:color w:val="000000" w:themeColor="text1"/>
              </w:rPr>
              <w:t xml:space="preserve"> მუხლის მე-5 პუნქტით. </w:t>
            </w:r>
          </w:p>
          <w:p w:rsidR="002D3215" w:rsidRPr="009C0D18" w:rsidRDefault="000A68FB">
            <w:pPr>
              <w:spacing w:after="160" w:line="256" w:lineRule="auto"/>
              <w:ind w:right="-2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 xml:space="preserve">ადმინისტრაციული სამართალდარღვევის ოქმში N 000 200 155 მითითებული იქნა შემდეგი: 2025 წლის 13 თებერვალს ქ. თბილისში  პარლამენტის მიმდებარე ტერიტორიაზე მოქალაქე კახა წიქარიშვილი კეტავდა საავტომობილო გზის ზოლს მაშინ როდესაც არსებობდა შეკრება/მანიფესტაციის ფარგლებში საფეხმავლო ბილიკზე პროტესტის გამოხატვის შესაძლებლობა. </w:t>
            </w:r>
          </w:p>
          <w:p w:rsidR="002D3215" w:rsidRPr="009C0D18" w:rsidRDefault="000A68FB">
            <w:pPr>
              <w:spacing w:after="160" w:line="256" w:lineRule="auto"/>
              <w:ind w:right="-2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lastRenderedPageBreak/>
              <w:t xml:space="preserve">ჯარიმა დამეკისრა ისე, რომ არც ადგილობრივი თვითმმართველობის ორგანოს და არც პოლიციას ჩემთვის არ ჰქონია არანაირი კომუნიკაცია შეკრება მანიფესტაციასთან დაკავშირებით, შეკრებებისა და მანიფესტაციების შესახებ კანონის მე-10 და მე-13 მუხლების შესაბამისად. უფრო მეტიც გზის გადაკეტვა მოხდა თავად პოლიციის დასწრებით და მისი დახმარებით, გზის სავალ ნაწილზე არსებული ხალხის რაოდენობა იძლეოდა ვარაუდის შესაძლებლობას რომ გზის გადაკეტვა იყო სრულიად კანონიერი. </w:t>
            </w:r>
          </w:p>
          <w:p w:rsidR="002D3215" w:rsidRPr="009C0D18" w:rsidRDefault="002D3215">
            <w:pPr>
              <w:spacing w:after="160" w:line="256" w:lineRule="auto"/>
              <w:ind w:right="-20"/>
              <w:jc w:val="both"/>
              <w:rPr>
                <w:rFonts w:ascii="Merriweather" w:eastAsia="Merriweather" w:hAnsi="Merriweather" w:cs="Merriweather"/>
                <w:color w:val="000000" w:themeColor="text1"/>
              </w:rPr>
            </w:pPr>
          </w:p>
          <w:p w:rsidR="002D3215" w:rsidRPr="009C0D18" w:rsidRDefault="002D3215">
            <w:pPr>
              <w:spacing w:after="160" w:line="256" w:lineRule="auto"/>
              <w:ind w:right="-20"/>
              <w:jc w:val="both"/>
              <w:rPr>
                <w:rFonts w:ascii="Merriweather" w:eastAsia="Merriweather" w:hAnsi="Merriweather" w:cs="Merriweather"/>
                <w:color w:val="000000" w:themeColor="text1"/>
              </w:rPr>
            </w:pPr>
          </w:p>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p>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მითითებული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განსჯადი</w:t>
            </w:r>
            <w:r w:rsidRPr="009C0D18">
              <w:rPr>
                <w:rFonts w:ascii="Times New Roman" w:eastAsia="Times New Roman" w:hAnsi="Times New Roman" w:cs="Times New Roman"/>
                <w:color w:val="000000" w:themeColor="text1"/>
              </w:rPr>
              <w:t>;</w:t>
            </w:r>
          </w:p>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მითითებული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w:t>
            </w:r>
          </w:p>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მითითებული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რეგულირდება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31-</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პუნქტით</w:t>
            </w:r>
            <w:r w:rsidRPr="009C0D18">
              <w:rPr>
                <w:rFonts w:ascii="Times New Roman" w:eastAsia="Times New Roman" w:hAnsi="Times New Roman" w:cs="Times New Roman"/>
                <w:color w:val="000000" w:themeColor="text1"/>
              </w:rPr>
              <w:t>;</w:t>
            </w:r>
          </w:p>
          <w:p w:rsidR="002D3215" w:rsidRPr="009C0D18" w:rsidRDefault="000A68FB">
            <w:pPr>
              <w:spacing w:after="160" w:line="256" w:lineRule="auto"/>
              <w:ind w:right="-2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კანონით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დადგენილი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სასარჩელო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ხანდაზმულობის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ტიპის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დავისათვის</w:t>
            </w:r>
            <w:r w:rsidRPr="009C0D18">
              <w:rPr>
                <w:rFonts w:ascii="Times New Roman" w:eastAsia="Times New Roman" w:hAnsi="Times New Roman" w:cs="Times New Roman"/>
                <w:color w:val="000000" w:themeColor="text1"/>
              </w:rPr>
              <w:t>;</w:t>
            </w:r>
          </w:p>
          <w:p w:rsidR="002D3215" w:rsidRPr="009C0D18" w:rsidRDefault="002D3215">
            <w:pPr>
              <w:ind w:right="-18"/>
              <w:jc w:val="both"/>
              <w:rPr>
                <w:rFonts w:ascii="Times New Roman" w:eastAsia="Times New Roman" w:hAnsi="Times New Roman" w:cs="Times New Roman"/>
                <w:color w:val="000000" w:themeColor="text1"/>
              </w:rPr>
            </w:pPr>
          </w:p>
          <w:p w:rsidR="002D3215" w:rsidRPr="009C0D18" w:rsidRDefault="002D3215">
            <w:pPr>
              <w:ind w:right="-18"/>
              <w:jc w:val="both"/>
              <w:rPr>
                <w:rFonts w:ascii="Times New Roman" w:eastAsia="Times New Roman" w:hAnsi="Times New Roman" w:cs="Times New Roman"/>
                <w:color w:val="000000" w:themeColor="text1"/>
              </w:rPr>
            </w:pPr>
          </w:p>
          <w:p w:rsidR="002D3215" w:rsidRPr="009C0D18" w:rsidRDefault="002D3215">
            <w:pPr>
              <w:ind w:right="-18"/>
              <w:jc w:val="both"/>
              <w:rPr>
                <w:rFonts w:ascii="Times New Roman" w:eastAsia="Times New Roman" w:hAnsi="Times New Roman" w:cs="Times New Roman"/>
                <w:color w:val="000000" w:themeColor="text1"/>
              </w:rPr>
            </w:pPr>
          </w:p>
          <w:p w:rsidR="002D3215" w:rsidRPr="009C0D18" w:rsidRDefault="002D3215">
            <w:pPr>
              <w:ind w:right="-18"/>
              <w:jc w:val="both"/>
              <w:rPr>
                <w:rFonts w:ascii="Times New Roman" w:eastAsia="Times New Roman" w:hAnsi="Times New Roman" w:cs="Times New Roman"/>
                <w:color w:val="000000" w:themeColor="text1"/>
              </w:rPr>
            </w:pPr>
          </w:p>
          <w:p w:rsidR="002D3215" w:rsidRPr="009C0D18" w:rsidRDefault="002D3215">
            <w:pPr>
              <w:ind w:right="-18"/>
              <w:jc w:val="both"/>
              <w:rPr>
                <w:rFonts w:ascii="Times New Roman" w:eastAsia="Times New Roman" w:hAnsi="Times New Roman" w:cs="Times New Roman"/>
                <w:color w:val="000000" w:themeColor="text1"/>
              </w:rPr>
            </w:pPr>
          </w:p>
        </w:tc>
      </w:tr>
    </w:tbl>
    <w:p w:rsidR="002D3215" w:rsidRPr="009C0D18" w:rsidRDefault="002D3215">
      <w:pPr>
        <w:shd w:val="clear" w:color="auto" w:fill="FFFFFF"/>
        <w:ind w:right="-720"/>
        <w:jc w:val="both"/>
        <w:rPr>
          <w:rFonts w:ascii="Times New Roman" w:eastAsia="Times New Roman" w:hAnsi="Times New Roman" w:cs="Times New Roman"/>
          <w:color w:val="000000" w:themeColor="text1"/>
        </w:rPr>
      </w:pPr>
    </w:p>
    <w:p w:rsidR="002D3215" w:rsidRPr="009C0D18" w:rsidRDefault="002D3215">
      <w:pPr>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color w:val="000000" w:themeColor="text1"/>
        </w:rPr>
        <w:br w:type="page"/>
      </w: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lastRenderedPageBreak/>
        <w:t xml:space="preserve">1.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სარჩელის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დასაბუთება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vertAlign w:val="superscript"/>
        </w:rPr>
        <w:footnoteReference w:id="6"/>
      </w:r>
    </w:p>
    <w:tbl>
      <w:tblPr>
        <w:tblStyle w:val="ac"/>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D3215" w:rsidRPr="009C0D18">
        <w:tc>
          <w:tcPr>
            <w:tcW w:w="10795" w:type="dxa"/>
            <w:tcBorders>
              <w:top w:val="single" w:sz="4" w:space="0" w:color="FFFFFF"/>
              <w:left w:val="single" w:sz="4" w:space="0" w:color="FFFFFF"/>
              <w:right w:val="single" w:sz="4" w:space="0" w:color="FFFFFF"/>
            </w:tcBorders>
          </w:tcPr>
          <w:p w:rsidR="002D3215" w:rsidRPr="009C0D18" w:rsidRDefault="002D3215">
            <w:pPr>
              <w:rPr>
                <w:rFonts w:ascii="Times New Roman" w:eastAsia="Times New Roman" w:hAnsi="Times New Roman" w:cs="Times New Roman"/>
                <w:color w:val="000000" w:themeColor="text1"/>
                <w:sz w:val="24"/>
                <w:szCs w:val="24"/>
              </w:rPr>
            </w:pPr>
          </w:p>
          <w:p w:rsidR="002D3215" w:rsidRPr="009C0D18" w:rsidRDefault="000A68FB">
            <w:pPr>
              <w:jc w:val="both"/>
              <w:rPr>
                <w:rFonts w:ascii="Times New Roman" w:eastAsia="Times New Roman" w:hAnsi="Times New Roman" w:cs="Times New Roman"/>
                <w:color w:val="000000" w:themeColor="text1"/>
                <w:sz w:val="24"/>
                <w:szCs w:val="24"/>
              </w:rPr>
            </w:pPr>
            <w:bookmarkStart w:id="2" w:name="_GoBack"/>
            <w:r w:rsidRPr="009C0D18">
              <w:rPr>
                <w:rFonts w:ascii="Arial Unicode MS" w:eastAsia="Arial Unicode MS" w:hAnsi="Arial Unicode MS" w:cs="Arial Unicode MS"/>
                <w:b/>
                <w:bCs/>
                <w:color w:val="000000" w:themeColor="text1"/>
              </w:rPr>
              <w:t>არაკონსტიტუციურად იქნას ცნობილი</w:t>
            </w:r>
          </w:p>
          <w:p w:rsidR="002D3215" w:rsidRPr="009C0D18" w:rsidRDefault="000A68FB">
            <w:pPr>
              <w:rPr>
                <w:rFonts w:ascii="Times New Roman" w:eastAsia="Times New Roman" w:hAnsi="Times New Roman" w:cs="Times New Roman"/>
                <w:color w:val="000000" w:themeColor="text1"/>
                <w:sz w:val="24"/>
                <w:szCs w:val="24"/>
              </w:rPr>
            </w:pPr>
            <w:r w:rsidRPr="009C0D18">
              <w:rPr>
                <w:rFonts w:ascii="Times New Roman" w:eastAsia="Times New Roman" w:hAnsi="Times New Roman" w:cs="Times New Roman"/>
                <w:color w:val="000000" w:themeColor="text1"/>
                <w:sz w:val="24"/>
                <w:szCs w:val="24"/>
              </w:rPr>
              <w:br/>
            </w:r>
          </w:p>
          <w:p w:rsidR="002D3215" w:rsidRPr="009C0D18" w:rsidRDefault="002D3215">
            <w:pPr>
              <w:ind w:left="720"/>
              <w:jc w:val="both"/>
              <w:rPr>
                <w:rFonts w:ascii="Merriweather" w:eastAsia="Merriweather" w:hAnsi="Merriweather" w:cs="Merriweather"/>
                <w:color w:val="000000" w:themeColor="text1"/>
                <w:sz w:val="24"/>
                <w:szCs w:val="24"/>
              </w:rPr>
            </w:pPr>
          </w:p>
          <w:p w:rsidR="002D3215" w:rsidRPr="009C0D18" w:rsidRDefault="000A68FB">
            <w:pPr>
              <w:numPr>
                <w:ilvl w:val="0"/>
                <w:numId w:val="14"/>
              </w:numPr>
              <w:jc w:val="both"/>
              <w:rPr>
                <w:rFonts w:ascii="Merriweather" w:eastAsia="Merriweather" w:hAnsi="Merriweather" w:cs="Merriweather"/>
                <w:color w:val="000000" w:themeColor="text1"/>
                <w:sz w:val="24"/>
                <w:szCs w:val="24"/>
              </w:rPr>
            </w:pPr>
            <w:r w:rsidRPr="009C0D18">
              <w:rPr>
                <w:rFonts w:ascii="___WRD_EMBED_SUB_856" w:eastAsia="___WRD_EMBED_SUB_856" w:hAnsi="___WRD_EMBED_SUB_856" w:cs="___WRD_EMBED_SUB_856"/>
                <w:i/>
                <w:iCs/>
                <w:color w:val="000000" w:themeColor="text1"/>
                <w:sz w:val="24"/>
                <w:szCs w:val="24"/>
              </w:rPr>
              <w:t>„</w:t>
            </w:r>
            <w:r w:rsidRPr="009C0D18">
              <w:rPr>
                <w:rFonts w:ascii="Arial Unicode MS" w:eastAsia="Arial Unicode MS" w:hAnsi="Arial Unicode MS" w:cs="Arial Unicode MS"/>
                <w:i/>
                <w:iCs/>
                <w:color w:val="000000" w:themeColor="text1"/>
                <w:sz w:val="24"/>
                <w:szCs w:val="24"/>
              </w:rPr>
              <w:t>შეკრებებისა და მანიფესტაციების შესახებ</w:t>
            </w:r>
            <w:r w:rsidRPr="009C0D18">
              <w:rPr>
                <w:rFonts w:ascii="___WRD_EMBED_SUB_856" w:eastAsia="___WRD_EMBED_SUB_856" w:hAnsi="___WRD_EMBED_SUB_856" w:cs="___WRD_EMBED_SUB_856"/>
                <w:i/>
                <w:iCs/>
                <w:color w:val="000000" w:themeColor="text1"/>
                <w:sz w:val="24"/>
                <w:szCs w:val="24"/>
              </w:rPr>
              <w:t>“</w:t>
            </w:r>
            <w:r w:rsidRPr="009C0D18">
              <w:rPr>
                <w:rFonts w:ascii="Arial Unicode MS" w:eastAsia="Arial Unicode MS" w:hAnsi="Arial Unicode MS" w:cs="Arial Unicode MS"/>
                <w:i/>
                <w:iCs/>
                <w:color w:val="000000" w:themeColor="text1"/>
                <w:sz w:val="24"/>
                <w:szCs w:val="24"/>
              </w:rPr>
              <w:t xml:space="preserve"> საქართველოს კანონის 11</w:t>
            </w:r>
            <w:r w:rsidRPr="009C0D18">
              <w:rPr>
                <w:rFonts w:ascii="___WRD_EMBED_SUB_856" w:eastAsia="___WRD_EMBED_SUB_856" w:hAnsi="___WRD_EMBED_SUB_856" w:cs="___WRD_EMBED_SUB_856"/>
                <w:i/>
                <w:iCs/>
                <w:color w:val="000000" w:themeColor="text1"/>
                <w:sz w:val="24"/>
                <w:szCs w:val="24"/>
              </w:rPr>
              <w:t>¹</w:t>
            </w:r>
            <w:r w:rsidRPr="009C0D18">
              <w:rPr>
                <w:rFonts w:ascii="Arial Unicode MS" w:eastAsia="Arial Unicode MS" w:hAnsi="Arial Unicode MS" w:cs="Arial Unicode MS"/>
                <w:i/>
                <w:iCs/>
                <w:color w:val="000000" w:themeColor="text1"/>
                <w:sz w:val="24"/>
                <w:szCs w:val="24"/>
              </w:rPr>
              <w:t xml:space="preserve"> მუხლის მე-4 ნაწილის პირველი წინადადების ის ნორმატიული შინაარსი, რომელიც ტრანსპორტის სავალი ნაწილის ხელოვნურად გადაკეტვად მოიაზრებს იმ პირის ქმედებას, რომლის მიმართაც შეკრებაზე დამსწრე შესაბამისი პასუხისმგებელი ორგანოს მიერ არ გაჟღერებულა გაფრთხილება შეკრების ან მანიფესტაციის მონაწილეთა არასაკმარისი რაოდენობის თაობაზე.</w:t>
            </w:r>
          </w:p>
          <w:p w:rsidR="002D3215" w:rsidRPr="009C0D18" w:rsidRDefault="000A68FB">
            <w:pPr>
              <w:numPr>
                <w:ilvl w:val="0"/>
                <w:numId w:val="14"/>
              </w:numPr>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i/>
                <w:iCs/>
                <w:color w:val="000000" w:themeColor="text1"/>
                <w:sz w:val="24"/>
                <w:szCs w:val="24"/>
              </w:rPr>
              <w:t xml:space="preserve">ალტერნატივის სახით: </w:t>
            </w:r>
            <w:r w:rsidRPr="009C0D18">
              <w:rPr>
                <w:rFonts w:ascii="___WRD_EMBED_SUB_856" w:eastAsia="___WRD_EMBED_SUB_856" w:hAnsi="___WRD_EMBED_SUB_856" w:cs="___WRD_EMBED_SUB_856"/>
                <w:i/>
                <w:iCs/>
                <w:color w:val="000000" w:themeColor="text1"/>
                <w:sz w:val="24"/>
                <w:szCs w:val="24"/>
              </w:rPr>
              <w:t>„</w:t>
            </w:r>
            <w:r w:rsidRPr="009C0D18">
              <w:rPr>
                <w:rFonts w:ascii="Arial Unicode MS" w:eastAsia="Arial Unicode MS" w:hAnsi="Arial Unicode MS" w:cs="Arial Unicode MS"/>
                <w:i/>
                <w:iCs/>
                <w:color w:val="000000" w:themeColor="text1"/>
                <w:sz w:val="24"/>
                <w:szCs w:val="24"/>
              </w:rPr>
              <w:t>შეკრებებისა და მანიფესტაციების შესახებ</w:t>
            </w:r>
            <w:r w:rsidRPr="009C0D18">
              <w:rPr>
                <w:rFonts w:ascii="___WRD_EMBED_SUB_856" w:eastAsia="___WRD_EMBED_SUB_856" w:hAnsi="___WRD_EMBED_SUB_856" w:cs="___WRD_EMBED_SUB_856"/>
                <w:i/>
                <w:iCs/>
                <w:color w:val="000000" w:themeColor="text1"/>
                <w:sz w:val="24"/>
                <w:szCs w:val="24"/>
              </w:rPr>
              <w:t>“</w:t>
            </w:r>
            <w:r w:rsidRPr="009C0D18">
              <w:rPr>
                <w:rFonts w:ascii="Arial Unicode MS" w:eastAsia="Arial Unicode MS" w:hAnsi="Arial Unicode MS" w:cs="Arial Unicode MS"/>
                <w:i/>
                <w:iCs/>
                <w:color w:val="000000" w:themeColor="text1"/>
                <w:sz w:val="24"/>
                <w:szCs w:val="24"/>
              </w:rPr>
              <w:t xml:space="preserve"> საქართველოს კანონის 11</w:t>
            </w:r>
            <w:r w:rsidRPr="009C0D18">
              <w:rPr>
                <w:rFonts w:ascii="___WRD_EMBED_SUB_856" w:eastAsia="___WRD_EMBED_SUB_856" w:hAnsi="___WRD_EMBED_SUB_856" w:cs="___WRD_EMBED_SUB_856"/>
                <w:i/>
                <w:iCs/>
                <w:color w:val="000000" w:themeColor="text1"/>
                <w:sz w:val="24"/>
                <w:szCs w:val="24"/>
              </w:rPr>
              <w:t>¹</w:t>
            </w:r>
            <w:r w:rsidRPr="009C0D18">
              <w:rPr>
                <w:rFonts w:ascii="Arial Unicode MS" w:eastAsia="Arial Unicode MS" w:hAnsi="Arial Unicode MS" w:cs="Arial Unicode MS"/>
                <w:i/>
                <w:iCs/>
                <w:color w:val="000000" w:themeColor="text1"/>
                <w:sz w:val="24"/>
                <w:szCs w:val="24"/>
              </w:rPr>
              <w:t xml:space="preserve"> მუხლის მე-4 ნაწილის პირველი წინადადების ის ნორმატიული შინაარსი, რომელიც ტრანსპორტის სავალი ნაწილის ხელოვნურად გადაკეტვად მოიაზრებს იმ პირის ქმედებას, რომლის მიმართაც შესაბამისი შეკრებაზე დამსწრე პასუხისმგებელი ორგანოს მიერ არ გაჟღერებულა გაფრთხილება შეკრების ან მანიფესტაციის მონაწილეთა არასაკმარისი რაოდენობის შესახებ იმ ვითარებაში როდესაც ხელისუფლება კანონით დადგენილი წესით წინასწარ იყო ინფორმირებული გზის გადაკეტვის თაობაზე.</w:t>
            </w:r>
          </w:p>
          <w:p w:rsidR="002D3215" w:rsidRPr="009C0D18" w:rsidRDefault="000A68FB">
            <w:pPr>
              <w:numPr>
                <w:ilvl w:val="0"/>
                <w:numId w:val="14"/>
              </w:numPr>
              <w:jc w:val="both"/>
              <w:rPr>
                <w:rFonts w:ascii="Times New Roman" w:eastAsia="Times New Roman" w:hAnsi="Times New Roman" w:cs="Times New Roman"/>
                <w:i/>
                <w:iCs/>
                <w:color w:val="000000" w:themeColor="text1"/>
                <w:sz w:val="24"/>
                <w:szCs w:val="24"/>
              </w:rPr>
            </w:pPr>
            <w:r w:rsidRPr="009C0D18">
              <w:rPr>
                <w:rFonts w:ascii="Arial Unicode MS" w:eastAsia="Arial Unicode MS" w:hAnsi="Arial Unicode MS" w:cs="Arial Unicode MS"/>
                <w:i/>
                <w:iCs/>
                <w:color w:val="000000" w:themeColor="text1"/>
              </w:rPr>
              <w:t>შეკრებისა</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და</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მანიფესტაციის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შესახებ</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კანონის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მე</w:t>
            </w:r>
            <w:r w:rsidRPr="009C0D18">
              <w:rPr>
                <w:rFonts w:ascii="Times New Roman" w:eastAsia="Times New Roman" w:hAnsi="Times New Roman" w:cs="Times New Roman"/>
                <w:i/>
                <w:iCs/>
                <w:color w:val="000000" w:themeColor="text1"/>
              </w:rPr>
              <w:t>-11</w:t>
            </w:r>
            <w:r w:rsidRPr="009C0D18">
              <w:rPr>
                <w:rFonts w:ascii="Times New Roman" w:eastAsia="Times New Roman" w:hAnsi="Times New Roman" w:cs="Times New Roman"/>
                <w:i/>
                <w:iCs/>
                <w:color w:val="000000" w:themeColor="text1"/>
                <w:vertAlign w:val="superscript"/>
              </w:rPr>
              <w:t xml:space="preserve">1 </w:t>
            </w:r>
            <w:r w:rsidRPr="009C0D18">
              <w:rPr>
                <w:rFonts w:ascii="Arial Unicode MS" w:eastAsia="Arial Unicode MS" w:hAnsi="Arial Unicode MS" w:cs="Arial Unicode MS"/>
                <w:i/>
                <w:iCs/>
                <w:color w:val="000000" w:themeColor="text1"/>
              </w:rPr>
              <w:t>მუხლის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მე</w:t>
            </w:r>
            <w:r w:rsidRPr="009C0D18">
              <w:rPr>
                <w:rFonts w:ascii="Times New Roman" w:eastAsia="Times New Roman" w:hAnsi="Times New Roman" w:cs="Times New Roman"/>
                <w:i/>
                <w:iCs/>
                <w:color w:val="000000" w:themeColor="text1"/>
              </w:rPr>
              <w:t xml:space="preserve">-4 </w:t>
            </w:r>
            <w:r w:rsidRPr="009C0D18">
              <w:rPr>
                <w:rFonts w:ascii="Arial Unicode MS" w:eastAsia="Arial Unicode MS" w:hAnsi="Arial Unicode MS" w:cs="Arial Unicode MS"/>
                <w:i/>
                <w:iCs/>
                <w:color w:val="000000" w:themeColor="text1"/>
              </w:rPr>
              <w:t>პუნქტის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ნორმატიული შინაარსი, რომელიც</w:t>
            </w:r>
            <w:r w:rsidRPr="009C0D18">
              <w:rPr>
                <w:rFonts w:ascii="Times New Roman" w:eastAsia="Times New Roman" w:hAnsi="Times New Roman" w:cs="Times New Roman"/>
                <w:i/>
                <w:iCs/>
                <w:color w:val="000000" w:themeColor="text1"/>
              </w:rPr>
              <w:t> </w:t>
            </w:r>
            <w:r w:rsidRPr="009C0D18">
              <w:rPr>
                <w:rFonts w:ascii="Arial Unicode MS" w:eastAsia="Arial Unicode MS" w:hAnsi="Arial Unicode MS" w:cs="Arial Unicode MS"/>
                <w:i/>
                <w:iCs/>
                <w:color w:val="000000" w:themeColor="text1"/>
              </w:rPr>
              <w:t>ტრანსპორტის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სავალი</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ნაწილის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ხელოვნურად</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 xml:space="preserve">გადაკეტვად მიიჩნევს ყველა იმ შემთხვევას, როდესაც გზის სავალი ნაწილის მიღმა დარჩენილია თუნდაც ერთი ცარიელი ადგილი, სადაც შეიძლება ფიზიკურად განთავსდეს შეკრება-მანიფესტაციის მონაწილე.  </w:t>
            </w:r>
          </w:p>
          <w:p w:rsidR="002D3215" w:rsidRPr="009C0D18" w:rsidRDefault="002D3215">
            <w:pPr>
              <w:jc w:val="both"/>
              <w:rPr>
                <w:rFonts w:ascii="Times New Roman" w:eastAsia="Times New Roman" w:hAnsi="Times New Roman" w:cs="Times New Roman"/>
                <w:color w:val="000000" w:themeColor="text1"/>
                <w:sz w:val="24"/>
                <w:szCs w:val="24"/>
              </w:rPr>
            </w:pPr>
          </w:p>
          <w:p w:rsidR="002D3215" w:rsidRPr="009C0D18" w:rsidRDefault="000A68FB">
            <w:pPr>
              <w:numPr>
                <w:ilvl w:val="0"/>
                <w:numId w:val="14"/>
              </w:numPr>
              <w:jc w:val="both"/>
              <w:rPr>
                <w:rFonts w:ascii="Times New Roman" w:eastAsia="Times New Roman" w:hAnsi="Times New Roman" w:cs="Times New Roman"/>
                <w:color w:val="000000" w:themeColor="text1"/>
                <w:sz w:val="24"/>
                <w:szCs w:val="24"/>
              </w:rPr>
            </w:pPr>
            <w:r w:rsidRPr="009C0D18">
              <w:rPr>
                <w:rFonts w:ascii="Arial" w:eastAsia="Arial" w:hAnsi="Arial" w:cs="Arial"/>
                <w:b/>
                <w:bCs/>
                <w:color w:val="000000" w:themeColor="text1"/>
                <w:sz w:val="24"/>
                <w:szCs w:val="24"/>
              </w:rPr>
              <w:t>„</w:t>
            </w:r>
            <w:r w:rsidRPr="009C0D18">
              <w:rPr>
                <w:rFonts w:ascii="Arial Unicode MS" w:eastAsia="Arial Unicode MS" w:hAnsi="Arial Unicode MS" w:cs="Arial Unicode MS"/>
                <w:b/>
                <w:bCs/>
                <w:color w:val="000000" w:themeColor="text1"/>
                <w:sz w:val="24"/>
                <w:szCs w:val="24"/>
              </w:rPr>
              <w:t>შეკრებებისა</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და</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მანიფესტაციების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შესახებ</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საქართველოს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კანონის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მე</w:t>
            </w:r>
            <w:r w:rsidRPr="009C0D18">
              <w:rPr>
                <w:rFonts w:ascii="Arial" w:eastAsia="Arial" w:hAnsi="Arial" w:cs="Arial"/>
                <w:b/>
                <w:bCs/>
                <w:color w:val="000000" w:themeColor="text1"/>
                <w:sz w:val="24"/>
                <w:szCs w:val="24"/>
              </w:rPr>
              <w:t xml:space="preserve">-11 </w:t>
            </w:r>
            <w:r w:rsidRPr="009C0D18">
              <w:rPr>
                <w:rFonts w:ascii="Arial Unicode MS" w:eastAsia="Arial Unicode MS" w:hAnsi="Arial Unicode MS" w:cs="Arial Unicode MS"/>
                <w:b/>
                <w:bCs/>
                <w:color w:val="000000" w:themeColor="text1"/>
                <w:sz w:val="24"/>
                <w:szCs w:val="24"/>
              </w:rPr>
              <w:t>მუხლის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მე</w:t>
            </w:r>
            <w:r w:rsidRPr="009C0D18">
              <w:rPr>
                <w:rFonts w:ascii="Arial" w:eastAsia="Arial" w:hAnsi="Arial" w:cs="Arial"/>
                <w:b/>
                <w:bCs/>
                <w:color w:val="000000" w:themeColor="text1"/>
                <w:sz w:val="24"/>
                <w:szCs w:val="24"/>
              </w:rPr>
              <w:t xml:space="preserve">-2 </w:t>
            </w:r>
            <w:r w:rsidRPr="009C0D18">
              <w:rPr>
                <w:rFonts w:ascii="Arial Unicode MS" w:eastAsia="Arial Unicode MS" w:hAnsi="Arial Unicode MS" w:cs="Arial Unicode MS"/>
                <w:b/>
                <w:bCs/>
                <w:color w:val="000000" w:themeColor="text1"/>
                <w:sz w:val="24"/>
                <w:szCs w:val="24"/>
              </w:rPr>
              <w:t>პუნქტის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ე</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ქვეპუნქტის</w:t>
            </w:r>
            <w:r w:rsidRPr="009C0D18">
              <w:rPr>
                <w:rFonts w:ascii="Arial" w:eastAsia="Arial" w:hAnsi="Arial" w:cs="Arial"/>
                <w:b/>
                <w:bCs/>
                <w:color w:val="000000" w:themeColor="text1"/>
                <w:sz w:val="24"/>
                <w:szCs w:val="24"/>
              </w:rPr>
              <w:t>: </w:t>
            </w:r>
          </w:p>
          <w:p w:rsidR="002D3215" w:rsidRPr="009C0D18" w:rsidRDefault="002D3215">
            <w:pPr>
              <w:rPr>
                <w:rFonts w:ascii="Times New Roman" w:eastAsia="Times New Roman" w:hAnsi="Times New Roman" w:cs="Times New Roman"/>
                <w:color w:val="000000" w:themeColor="text1"/>
                <w:sz w:val="24"/>
                <w:szCs w:val="24"/>
              </w:rPr>
            </w:pPr>
          </w:p>
          <w:p w:rsidR="002D3215" w:rsidRPr="009C0D18" w:rsidRDefault="000A68FB">
            <w:pPr>
              <w:ind w:left="720"/>
              <w:jc w:val="both"/>
              <w:rPr>
                <w:rFonts w:ascii="Times New Roman" w:eastAsia="Times New Roman" w:hAnsi="Times New Roman" w:cs="Times New Roman"/>
                <w:color w:val="000000" w:themeColor="text1"/>
                <w:sz w:val="24"/>
                <w:szCs w:val="24"/>
              </w:rPr>
            </w:pPr>
            <w:r w:rsidRPr="009C0D18">
              <w:rPr>
                <w:rFonts w:ascii="Arial Unicode MS" w:eastAsia="Arial Unicode MS" w:hAnsi="Arial Unicode MS" w:cs="Arial Unicode MS"/>
                <w:color w:val="000000" w:themeColor="text1"/>
                <w:sz w:val="24"/>
                <w:szCs w:val="24"/>
              </w:rPr>
              <w:lastRenderedPageBreak/>
              <w:t>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ნორმატიული</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შინაარსი</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რომელიც</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კრძალავს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ხალხის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ან</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ტრანსპორტის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გადაადგილებისთვის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განზრახ</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დაბრკოლებების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შექმნას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განჭვრეტადი</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კრიტერიუმების</w:t>
            </w:r>
            <w:r w:rsidRPr="009C0D18">
              <w:rPr>
                <w:rFonts w:ascii="Arial" w:eastAsia="Arial" w:hAnsi="Arial" w:cs="Arial"/>
                <w:color w:val="000000" w:themeColor="text1"/>
                <w:sz w:val="24"/>
                <w:szCs w:val="24"/>
              </w:rPr>
              <w:t>/</w:t>
            </w:r>
            <w:r w:rsidRPr="009C0D18">
              <w:rPr>
                <w:rFonts w:ascii="Arial Unicode MS" w:eastAsia="Arial Unicode MS" w:hAnsi="Arial Unicode MS" w:cs="Arial Unicode MS"/>
                <w:color w:val="000000" w:themeColor="text1"/>
                <w:sz w:val="24"/>
                <w:szCs w:val="24"/>
              </w:rPr>
              <w:t>სტანდარტების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იდენტიფიცირების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გარეშე</w:t>
            </w:r>
            <w:r w:rsidRPr="009C0D18">
              <w:rPr>
                <w:rFonts w:ascii="Arial" w:eastAsia="Arial" w:hAnsi="Arial" w:cs="Arial"/>
                <w:color w:val="000000" w:themeColor="text1"/>
                <w:sz w:val="24"/>
                <w:szCs w:val="24"/>
              </w:rPr>
              <w:t>.</w:t>
            </w:r>
          </w:p>
          <w:p w:rsidR="002D3215" w:rsidRPr="009C0D18" w:rsidRDefault="002D3215">
            <w:pPr>
              <w:ind w:left="720"/>
              <w:jc w:val="both"/>
              <w:rPr>
                <w:rFonts w:ascii="Times New Roman" w:eastAsia="Times New Roman" w:hAnsi="Times New Roman" w:cs="Times New Roman"/>
                <w:color w:val="000000" w:themeColor="text1"/>
                <w:sz w:val="24"/>
                <w:szCs w:val="24"/>
              </w:rPr>
            </w:pPr>
          </w:p>
          <w:p w:rsidR="002D3215" w:rsidRPr="009C0D18" w:rsidRDefault="000A68FB">
            <w:pPr>
              <w:numPr>
                <w:ilvl w:val="0"/>
                <w:numId w:val="14"/>
              </w:numPr>
              <w:pBdr>
                <w:top w:val="nil"/>
                <w:left w:val="nil"/>
                <w:bottom w:val="nil"/>
                <w:right w:val="nil"/>
                <w:between w:val="nil"/>
              </w:pBdr>
              <w:spacing w:after="160" w:line="259" w:lineRule="auto"/>
              <w:jc w:val="both"/>
              <w:rPr>
                <w:rFonts w:ascii="Times New Roman" w:eastAsia="Times New Roman" w:hAnsi="Times New Roman" w:cs="Times New Roman"/>
                <w:color w:val="000000" w:themeColor="text1"/>
                <w:sz w:val="24"/>
                <w:szCs w:val="24"/>
              </w:rPr>
            </w:pPr>
            <w:r w:rsidRPr="009C0D18">
              <w:rPr>
                <w:rFonts w:ascii="Arial" w:eastAsia="Arial" w:hAnsi="Arial" w:cs="Arial"/>
                <w:b/>
                <w:bCs/>
                <w:color w:val="000000" w:themeColor="text1"/>
                <w:sz w:val="24"/>
                <w:szCs w:val="24"/>
              </w:rPr>
              <w:t>„</w:t>
            </w:r>
            <w:r w:rsidRPr="009C0D18">
              <w:rPr>
                <w:rFonts w:ascii="Arial Unicode MS" w:eastAsia="Arial Unicode MS" w:hAnsi="Arial Unicode MS" w:cs="Arial Unicode MS"/>
                <w:b/>
                <w:bCs/>
                <w:color w:val="000000" w:themeColor="text1"/>
                <w:sz w:val="24"/>
                <w:szCs w:val="24"/>
              </w:rPr>
              <w:t>შეკრებებისა</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და</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მანიფესტაციების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შესახებ</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საქართველოს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კანონის</w:t>
            </w:r>
            <w:r w:rsidRPr="009C0D18">
              <w:rPr>
                <w:rFonts w:ascii="Arial" w:eastAsia="Arial" w:hAnsi="Arial" w:cs="Arial"/>
                <w:b/>
                <w:bCs/>
                <w:color w:val="000000" w:themeColor="text1"/>
                <w:sz w:val="24"/>
                <w:szCs w:val="24"/>
              </w:rPr>
              <w:t xml:space="preserve"> 11¹ </w:t>
            </w:r>
            <w:r w:rsidRPr="009C0D18">
              <w:rPr>
                <w:rFonts w:ascii="Arial Unicode MS" w:eastAsia="Arial Unicode MS" w:hAnsi="Arial Unicode MS" w:cs="Arial Unicode MS"/>
                <w:b/>
                <w:bCs/>
                <w:color w:val="000000" w:themeColor="text1"/>
                <w:sz w:val="24"/>
                <w:szCs w:val="24"/>
              </w:rPr>
              <w:t>მუხლის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მე</w:t>
            </w:r>
            <w:r w:rsidRPr="009C0D18">
              <w:rPr>
                <w:rFonts w:ascii="Arial" w:eastAsia="Arial" w:hAnsi="Arial" w:cs="Arial"/>
                <w:b/>
                <w:bCs/>
                <w:color w:val="000000" w:themeColor="text1"/>
                <w:sz w:val="24"/>
                <w:szCs w:val="24"/>
              </w:rPr>
              <w:t xml:space="preserve">-4 </w:t>
            </w:r>
            <w:r w:rsidRPr="009C0D18">
              <w:rPr>
                <w:rFonts w:ascii="Arial Unicode MS" w:eastAsia="Arial Unicode MS" w:hAnsi="Arial Unicode MS" w:cs="Arial Unicode MS"/>
                <w:b/>
                <w:bCs/>
                <w:color w:val="000000" w:themeColor="text1"/>
                <w:sz w:val="24"/>
                <w:szCs w:val="24"/>
              </w:rPr>
              <w:t>პუნქტის</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პირველი</w:t>
            </w:r>
            <w:r w:rsidRPr="009C0D18">
              <w:rPr>
                <w:rFonts w:ascii="Arial" w:eastAsia="Arial" w:hAnsi="Arial" w:cs="Arial"/>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წინადადების</w:t>
            </w:r>
            <w:r w:rsidRPr="009C0D18">
              <w:rPr>
                <w:rFonts w:ascii="Arial" w:eastAsia="Arial" w:hAnsi="Arial" w:cs="Arial"/>
                <w:b/>
                <w:bCs/>
                <w:color w:val="000000" w:themeColor="text1"/>
                <w:sz w:val="24"/>
                <w:szCs w:val="24"/>
              </w:rPr>
              <w:t>: </w:t>
            </w:r>
          </w:p>
          <w:p w:rsidR="002D3215" w:rsidRPr="009C0D18" w:rsidRDefault="002D3215">
            <w:pPr>
              <w:rPr>
                <w:rFonts w:ascii="Times New Roman" w:eastAsia="Times New Roman" w:hAnsi="Times New Roman" w:cs="Times New Roman"/>
                <w:color w:val="000000" w:themeColor="text1"/>
                <w:sz w:val="24"/>
                <w:szCs w:val="24"/>
              </w:rPr>
            </w:pPr>
          </w:p>
          <w:p w:rsidR="0062015E" w:rsidRPr="009C0D18" w:rsidRDefault="000A68FB">
            <w:pPr>
              <w:ind w:left="720"/>
              <w:jc w:val="both"/>
              <w:rPr>
                <w:rFonts w:ascii="Sylfaen" w:eastAsia="Arial" w:hAnsi="Sylfaen" w:cs="Arial"/>
                <w:color w:val="000000" w:themeColor="text1"/>
                <w:sz w:val="24"/>
                <w:szCs w:val="24"/>
                <w:lang w:val="ka-GE"/>
              </w:rPr>
            </w:pPr>
            <w:r w:rsidRPr="009C0D18">
              <w:rPr>
                <w:rFonts w:ascii="Arial Unicode MS" w:eastAsia="Arial Unicode MS" w:hAnsi="Arial Unicode MS" w:cs="Arial Unicode MS"/>
                <w:color w:val="000000" w:themeColor="text1"/>
                <w:sz w:val="24"/>
                <w:szCs w:val="24"/>
              </w:rPr>
              <w:t>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ნორმატიული</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შინაარსი</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რომელიც</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კრძალავს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გზის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სავალი</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ნაწილის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ხელოვნურად</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გადაკეტვას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თუ</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ამას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არ</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მოითხოვს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შეკრების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ან</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მანიფესტაციის</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მონაწილეთა</w:t>
            </w:r>
            <w:r w:rsidRPr="009C0D18">
              <w:rPr>
                <w:rFonts w:ascii="Arial" w:eastAsia="Arial" w:hAnsi="Arial" w:cs="Arial"/>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რაოდენობა</w:t>
            </w:r>
            <w:r w:rsidR="0062015E" w:rsidRPr="009C0D18">
              <w:rPr>
                <w:rFonts w:ascii="Sylfaen" w:eastAsia="Arial" w:hAnsi="Sylfaen" w:cs="Arial"/>
                <w:color w:val="000000" w:themeColor="text1"/>
                <w:sz w:val="24"/>
                <w:szCs w:val="24"/>
                <w:lang w:val="ka-GE"/>
              </w:rPr>
              <w:t>.</w:t>
            </w:r>
          </w:p>
          <w:p w:rsidR="0062015E" w:rsidRPr="009C0D18" w:rsidRDefault="0062015E">
            <w:pPr>
              <w:ind w:left="720"/>
              <w:jc w:val="both"/>
              <w:rPr>
                <w:rFonts w:ascii="Sylfaen" w:eastAsia="Arial" w:hAnsi="Sylfaen" w:cs="Arial"/>
                <w:color w:val="000000" w:themeColor="text1"/>
                <w:sz w:val="24"/>
                <w:szCs w:val="24"/>
              </w:rPr>
            </w:pPr>
          </w:p>
          <w:p w:rsidR="0062015E" w:rsidRPr="009C0D18" w:rsidRDefault="0062015E" w:rsidP="0062015E">
            <w:pPr>
              <w:rPr>
                <w:rFonts w:ascii="Times New Roman" w:eastAsia="Times New Roman" w:hAnsi="Times New Roman" w:cs="Times New Roman"/>
                <w:color w:val="000000" w:themeColor="text1"/>
                <w:sz w:val="24"/>
                <w:szCs w:val="24"/>
              </w:rPr>
            </w:pPr>
          </w:p>
          <w:p w:rsidR="002D3215" w:rsidRPr="009C0D18" w:rsidRDefault="00BC06FB" w:rsidP="0062015E">
            <w:pPr>
              <w:ind w:left="720"/>
              <w:jc w:val="both"/>
              <w:rPr>
                <w:rFonts w:ascii="Sylfaen" w:eastAsia="Arial" w:hAnsi="Sylfaen" w:cs="Arial"/>
                <w:color w:val="000000" w:themeColor="text1"/>
                <w:sz w:val="24"/>
                <w:szCs w:val="24"/>
              </w:rPr>
            </w:pPr>
            <w:r w:rsidRPr="009C0D18">
              <w:rPr>
                <w:rFonts w:ascii="Sylfaen" w:eastAsia="Arial Unicode MS" w:hAnsi="Sylfaen" w:cs="Arial Unicode MS"/>
                <w:color w:val="000000" w:themeColor="text1"/>
                <w:sz w:val="24"/>
                <w:szCs w:val="24"/>
                <w:lang w:val="ka-GE"/>
              </w:rPr>
              <w:t xml:space="preserve">ალტერნატივის სახით: </w:t>
            </w:r>
            <w:r w:rsidR="0062015E" w:rsidRPr="009C0D18">
              <w:rPr>
                <w:rFonts w:ascii="Arial Unicode MS" w:eastAsia="Arial Unicode MS" w:hAnsi="Arial Unicode MS" w:cs="Arial Unicode MS"/>
                <w:color w:val="000000" w:themeColor="text1"/>
                <w:sz w:val="24"/>
                <w:szCs w:val="24"/>
              </w:rPr>
              <w:t>ის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ნორმატიული</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შინაარსი</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რომელიც</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კრძალავს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გზის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სავალი</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ნაწილის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ხელოვნურად</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გადაკეტვას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თუ</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ამას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არ</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მოითხოვს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შეკრების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ან</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მანიფესტაციის</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მონაწილეთა</w:t>
            </w:r>
            <w:r w:rsidR="0062015E" w:rsidRPr="009C0D18">
              <w:rPr>
                <w:rFonts w:ascii="Arial" w:eastAsia="Arial" w:hAnsi="Arial" w:cs="Arial"/>
                <w:color w:val="000000" w:themeColor="text1"/>
                <w:sz w:val="24"/>
                <w:szCs w:val="24"/>
              </w:rPr>
              <w:t xml:space="preserve"> </w:t>
            </w:r>
            <w:r w:rsidR="0062015E" w:rsidRPr="009C0D18">
              <w:rPr>
                <w:rFonts w:ascii="Arial Unicode MS" w:eastAsia="Arial Unicode MS" w:hAnsi="Arial Unicode MS" w:cs="Arial Unicode MS"/>
                <w:color w:val="000000" w:themeColor="text1"/>
                <w:sz w:val="24"/>
                <w:szCs w:val="24"/>
              </w:rPr>
              <w:t>რაოდენობა</w:t>
            </w:r>
            <w:r w:rsidR="0062015E" w:rsidRPr="009C0D18">
              <w:rPr>
                <w:rFonts w:ascii="Arial" w:eastAsia="Arial" w:hAnsi="Arial" w:cs="Arial"/>
                <w:color w:val="000000" w:themeColor="text1"/>
                <w:sz w:val="24"/>
                <w:szCs w:val="24"/>
              </w:rPr>
              <w:t>,</w:t>
            </w:r>
            <w:r w:rsidR="0062015E" w:rsidRPr="009C0D18">
              <w:rPr>
                <w:rFonts w:ascii="Sylfaen" w:eastAsia="Arial" w:hAnsi="Sylfaen" w:cs="Arial"/>
                <w:color w:val="000000" w:themeColor="text1"/>
                <w:sz w:val="24"/>
                <w:szCs w:val="24"/>
                <w:lang w:val="ka-GE"/>
              </w:rPr>
              <w:t xml:space="preserve"> </w:t>
            </w:r>
            <w:r w:rsidR="000A68FB" w:rsidRPr="009C0D18">
              <w:rPr>
                <w:rFonts w:ascii="Arial Unicode MS" w:eastAsia="Arial Unicode MS" w:hAnsi="Arial Unicode MS" w:cs="Arial Unicode MS"/>
                <w:color w:val="000000" w:themeColor="text1"/>
                <w:sz w:val="24"/>
                <w:szCs w:val="24"/>
              </w:rPr>
              <w:t>ისე</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რომ</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არ</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მიუთითებს</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განჭვრეტად</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კრიტერიუმებს</w:t>
            </w:r>
            <w:r w:rsidR="000A68FB" w:rsidRPr="009C0D18">
              <w:rPr>
                <w:rFonts w:ascii="Arial" w:eastAsia="Arial" w:hAnsi="Arial" w:cs="Arial"/>
                <w:color w:val="000000" w:themeColor="text1"/>
                <w:sz w:val="24"/>
                <w:szCs w:val="24"/>
              </w:rPr>
              <w:t>/</w:t>
            </w:r>
            <w:r w:rsidR="000A68FB" w:rsidRPr="009C0D18">
              <w:rPr>
                <w:rFonts w:ascii="Arial Unicode MS" w:eastAsia="Arial Unicode MS" w:hAnsi="Arial Unicode MS" w:cs="Arial Unicode MS"/>
                <w:color w:val="000000" w:themeColor="text1"/>
                <w:sz w:val="24"/>
                <w:szCs w:val="24"/>
              </w:rPr>
              <w:t>სტანდარტებს</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ტრანსპორტის</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სავალი</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ნაწილის</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გადაკეტვა</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რა</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შემთხვევაში</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ჩაითვლება</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ხელოვნურ</w:t>
            </w:r>
            <w:r w:rsidR="000A68FB" w:rsidRPr="009C0D18">
              <w:rPr>
                <w:rFonts w:ascii="Arial" w:eastAsia="Arial" w:hAnsi="Arial" w:cs="Arial"/>
                <w:color w:val="000000" w:themeColor="text1"/>
                <w:sz w:val="24"/>
                <w:szCs w:val="24"/>
              </w:rPr>
              <w:t xml:space="preserve"> </w:t>
            </w:r>
            <w:r w:rsidR="000A68FB" w:rsidRPr="009C0D18">
              <w:rPr>
                <w:rFonts w:ascii="Arial Unicode MS" w:eastAsia="Arial Unicode MS" w:hAnsi="Arial Unicode MS" w:cs="Arial Unicode MS"/>
                <w:color w:val="000000" w:themeColor="text1"/>
                <w:sz w:val="24"/>
                <w:szCs w:val="24"/>
              </w:rPr>
              <w:t>გადაკეტვად</w:t>
            </w:r>
            <w:r w:rsidR="000A68FB" w:rsidRPr="009C0D18">
              <w:rPr>
                <w:rFonts w:ascii="Arial" w:eastAsia="Arial" w:hAnsi="Arial" w:cs="Arial"/>
                <w:color w:val="000000" w:themeColor="text1"/>
                <w:sz w:val="24"/>
                <w:szCs w:val="24"/>
              </w:rPr>
              <w:t>;</w:t>
            </w:r>
          </w:p>
          <w:p w:rsidR="002D3215" w:rsidRPr="009C0D18" w:rsidRDefault="000A68FB">
            <w:pPr>
              <w:rPr>
                <w:rFonts w:ascii="Times New Roman" w:eastAsia="Times New Roman" w:hAnsi="Times New Roman" w:cs="Times New Roman"/>
                <w:color w:val="000000" w:themeColor="text1"/>
                <w:sz w:val="24"/>
                <w:szCs w:val="24"/>
              </w:rPr>
            </w:pPr>
            <w:r w:rsidRPr="009C0D18">
              <w:rPr>
                <w:rFonts w:ascii="Times New Roman" w:eastAsia="Times New Roman" w:hAnsi="Times New Roman" w:cs="Times New Roman"/>
                <w:color w:val="000000" w:themeColor="text1"/>
                <w:sz w:val="24"/>
                <w:szCs w:val="24"/>
              </w:rPr>
              <w:br/>
            </w:r>
          </w:p>
          <w:p w:rsidR="002D3215" w:rsidRPr="009C0D18" w:rsidRDefault="000A68FB">
            <w:pPr>
              <w:numPr>
                <w:ilvl w:val="0"/>
                <w:numId w:val="14"/>
              </w:numPr>
              <w:pBdr>
                <w:top w:val="nil"/>
                <w:left w:val="nil"/>
                <w:bottom w:val="nil"/>
                <w:right w:val="nil"/>
                <w:between w:val="nil"/>
              </w:pBdr>
              <w:spacing w:line="259" w:lineRule="auto"/>
              <w:rPr>
                <w:rFonts w:ascii="Times New Roman" w:eastAsia="Times New Roman" w:hAnsi="Times New Roman" w:cs="Times New Roman"/>
                <w:color w:val="000000" w:themeColor="text1"/>
                <w:sz w:val="24"/>
                <w:szCs w:val="24"/>
              </w:rPr>
            </w:pPr>
            <w:r w:rsidRPr="009C0D18">
              <w:rPr>
                <w:rFonts w:ascii="Arial Unicode MS" w:eastAsia="Arial Unicode MS" w:hAnsi="Arial Unicode MS" w:cs="Arial Unicode MS"/>
                <w:i/>
                <w:iCs/>
                <w:color w:val="000000" w:themeColor="text1"/>
                <w:sz w:val="24"/>
                <w:szCs w:val="24"/>
              </w:rPr>
              <w:t>საქართველოს ადმინისტრაციულ სამართალდარღვევათა კოდექსის (2025 წლის 16 ოქტომბრამდე მოქმედი რედაქცია) 174</w:t>
            </w:r>
            <w:r w:rsidRPr="009C0D18">
              <w:rPr>
                <w:rFonts w:ascii="___WRD_EMBED_SUB_856" w:eastAsia="___WRD_EMBED_SUB_856" w:hAnsi="___WRD_EMBED_SUB_856" w:cs="___WRD_EMBED_SUB_856"/>
                <w:i/>
                <w:iCs/>
                <w:color w:val="000000" w:themeColor="text1"/>
                <w:sz w:val="24"/>
                <w:szCs w:val="24"/>
              </w:rPr>
              <w:t>¹</w:t>
            </w:r>
            <w:r w:rsidRPr="009C0D18">
              <w:rPr>
                <w:rFonts w:ascii="Arial Unicode MS" w:eastAsia="Arial Unicode MS" w:hAnsi="Arial Unicode MS" w:cs="Arial Unicode MS"/>
                <w:i/>
                <w:iCs/>
                <w:color w:val="000000" w:themeColor="text1"/>
                <w:sz w:val="24"/>
                <w:szCs w:val="24"/>
              </w:rPr>
              <w:t xml:space="preserve"> მუხლის მე-5 პუნქტის ის ნაწილი, რომელიც </w:t>
            </w:r>
            <w:r w:rsidRPr="009C0D18">
              <w:rPr>
                <w:rFonts w:ascii="___WRD_EMBED_SUB_856" w:eastAsia="___WRD_EMBED_SUB_856" w:hAnsi="___WRD_EMBED_SUB_856" w:cs="___WRD_EMBED_SUB_856"/>
                <w:i/>
                <w:iCs/>
                <w:color w:val="000000" w:themeColor="text1"/>
                <w:sz w:val="24"/>
                <w:szCs w:val="24"/>
              </w:rPr>
              <w:t>„</w:t>
            </w:r>
            <w:r w:rsidRPr="009C0D18">
              <w:rPr>
                <w:rFonts w:ascii="Arial Unicode MS" w:eastAsia="Arial Unicode MS" w:hAnsi="Arial Unicode MS" w:cs="Arial Unicode MS"/>
                <w:i/>
                <w:iCs/>
                <w:color w:val="000000" w:themeColor="text1"/>
                <w:sz w:val="24"/>
                <w:szCs w:val="24"/>
              </w:rPr>
              <w:t>შეკრებებისა და მანიფესტაციების შესახებ</w:t>
            </w:r>
            <w:r w:rsidRPr="009C0D18">
              <w:rPr>
                <w:rFonts w:ascii="___WRD_EMBED_SUB_856" w:eastAsia="___WRD_EMBED_SUB_856" w:hAnsi="___WRD_EMBED_SUB_856" w:cs="___WRD_EMBED_SUB_856"/>
                <w:i/>
                <w:iCs/>
                <w:color w:val="000000" w:themeColor="text1"/>
                <w:sz w:val="24"/>
                <w:szCs w:val="24"/>
              </w:rPr>
              <w:t>“</w:t>
            </w:r>
            <w:r w:rsidRPr="009C0D18">
              <w:rPr>
                <w:rFonts w:ascii="Arial Unicode MS" w:eastAsia="Arial Unicode MS" w:hAnsi="Arial Unicode MS" w:cs="Arial Unicode MS"/>
                <w:i/>
                <w:iCs/>
                <w:color w:val="000000" w:themeColor="text1"/>
                <w:sz w:val="24"/>
                <w:szCs w:val="24"/>
              </w:rPr>
              <w:t xml:space="preserve"> საქართველოს კანონის 11</w:t>
            </w:r>
            <w:r w:rsidRPr="009C0D18">
              <w:rPr>
                <w:rFonts w:ascii="___WRD_EMBED_SUB_856" w:eastAsia="___WRD_EMBED_SUB_856" w:hAnsi="___WRD_EMBED_SUB_856" w:cs="___WRD_EMBED_SUB_856"/>
                <w:i/>
                <w:iCs/>
                <w:color w:val="000000" w:themeColor="text1"/>
                <w:sz w:val="24"/>
                <w:szCs w:val="24"/>
              </w:rPr>
              <w:t>¹</w:t>
            </w:r>
            <w:r w:rsidRPr="009C0D18">
              <w:rPr>
                <w:rFonts w:ascii="Arial Unicode MS" w:eastAsia="Arial Unicode MS" w:hAnsi="Arial Unicode MS" w:cs="Arial Unicode MS"/>
                <w:i/>
                <w:iCs/>
                <w:color w:val="000000" w:themeColor="text1"/>
                <w:sz w:val="24"/>
                <w:szCs w:val="24"/>
              </w:rPr>
              <w:t xml:space="preserve"> მუხლის მე-4 ნაწილის მოთხოვნის დარღვევისთვის განსაზღვრავს სამართალდამრღვევის დაჯარიმებას 5 000 ლარის ოდენობით </w:t>
            </w:r>
            <w:r w:rsidRPr="009C0D18">
              <w:rPr>
                <w:rFonts w:ascii="Arial Unicode MS" w:eastAsia="Arial Unicode MS" w:hAnsi="Arial Unicode MS" w:cs="Arial Unicode MS"/>
                <w:color w:val="000000" w:themeColor="text1"/>
              </w:rPr>
              <w:t xml:space="preserve">ან ადმინისტრაციულ პატიმრობას 15 დღემდე ვადით, სამართალდარღვევის საგნის კონფისკაციით, ხოლო თუ სამართალდამრღვევი ორგანიზატორია </w:t>
            </w:r>
            <w:r w:rsidRPr="009C0D18">
              <w:rPr>
                <w:rFonts w:ascii="___WRD_EMBED_SUB_856" w:eastAsia="___WRD_EMBED_SUB_856" w:hAnsi="___WRD_EMBED_SUB_856" w:cs="___WRD_EMBED_SUB_856"/>
                <w:color w:val="000000" w:themeColor="text1"/>
              </w:rPr>
              <w:t>−</w:t>
            </w:r>
            <w:r w:rsidRPr="009C0D18">
              <w:rPr>
                <w:rFonts w:ascii="Arial Unicode MS" w:eastAsia="Arial Unicode MS" w:hAnsi="Arial Unicode MS" w:cs="Arial Unicode MS"/>
                <w:color w:val="000000" w:themeColor="text1"/>
              </w:rPr>
              <w:t xml:space="preserve"> 15 000 ლარის ოდენობით ან ადმინისტრაციულ პატიმრობას 20 დღემდე ვადით, სამართალდარღვევის საგნის კონფისკაციით. აღნიშნული რედაქცია დღეისათვის მოქმედია გამომდინარე იქედან რომ დღესაც მიმდინარეობს სამართალწარმოება და ხორციელდება ამ ნორმით ადამიანების დაჯარიმება ტრანსპორტის სავალი ნაწილის ხელოვნური გადაკეტვის გამო. </w:t>
            </w:r>
          </w:p>
          <w:p w:rsidR="002D3215" w:rsidRPr="009C0D18" w:rsidRDefault="002D3215">
            <w:pPr>
              <w:pBdr>
                <w:top w:val="nil"/>
                <w:left w:val="nil"/>
                <w:bottom w:val="nil"/>
                <w:right w:val="nil"/>
                <w:between w:val="nil"/>
              </w:pBdr>
              <w:spacing w:line="259" w:lineRule="auto"/>
              <w:ind w:left="720"/>
              <w:rPr>
                <w:rFonts w:ascii="Times New Roman" w:eastAsia="Times New Roman" w:hAnsi="Times New Roman" w:cs="Times New Roman"/>
                <w:color w:val="000000" w:themeColor="text1"/>
                <w:sz w:val="24"/>
                <w:szCs w:val="24"/>
              </w:rPr>
            </w:pPr>
          </w:p>
          <w:p w:rsidR="002D3215" w:rsidRPr="009C0D18" w:rsidRDefault="000A68FB">
            <w:pPr>
              <w:numPr>
                <w:ilvl w:val="0"/>
                <w:numId w:val="14"/>
              </w:numPr>
              <w:pBdr>
                <w:top w:val="nil"/>
                <w:left w:val="nil"/>
                <w:bottom w:val="nil"/>
                <w:right w:val="nil"/>
                <w:between w:val="nil"/>
              </w:pBdr>
              <w:spacing w:after="160" w:line="259" w:lineRule="auto"/>
              <w:rPr>
                <w:rFonts w:ascii="Times New Roman" w:eastAsia="Times New Roman" w:hAnsi="Times New Roman" w:cs="Times New Roman"/>
                <w:color w:val="000000" w:themeColor="text1"/>
                <w:sz w:val="24"/>
                <w:szCs w:val="24"/>
              </w:rPr>
            </w:pPr>
            <w:r w:rsidRPr="009C0D18">
              <w:rPr>
                <w:rFonts w:ascii="Arial Unicode MS" w:eastAsia="Arial Unicode MS" w:hAnsi="Arial Unicode MS" w:cs="Arial Unicode MS"/>
                <w:i/>
                <w:iCs/>
                <w:color w:val="000000" w:themeColor="text1"/>
                <w:sz w:val="24"/>
                <w:szCs w:val="24"/>
              </w:rPr>
              <w:lastRenderedPageBreak/>
              <w:t xml:space="preserve">საქართველოს ადმინისტრაციულ სამართალდარღვევათა კოდექსის  </w:t>
            </w:r>
            <w:r w:rsidRPr="009C0D18">
              <w:rPr>
                <w:rFonts w:ascii="Arial Unicode MS" w:eastAsia="Arial Unicode MS" w:hAnsi="Arial Unicode MS" w:cs="Arial Unicode MS"/>
                <w:color w:val="000000" w:themeColor="text1"/>
              </w:rPr>
              <w:t>მუხლი</w:t>
            </w:r>
            <w:r w:rsidRPr="009C0D18">
              <w:rPr>
                <w:rFonts w:ascii="Times New Roman" w:eastAsia="Times New Roman" w:hAnsi="Times New Roman" w:cs="Times New Roman"/>
                <w:color w:val="000000" w:themeColor="text1"/>
              </w:rPr>
              <w:t xml:space="preserve"> 174</w:t>
            </w:r>
            <w:r w:rsidRPr="009C0D18">
              <w:rPr>
                <w:rFonts w:ascii="Times New Roman" w:eastAsia="Times New Roman" w:hAnsi="Times New Roman" w:cs="Times New Roman"/>
                <w:color w:val="000000" w:themeColor="text1"/>
                <w:vertAlign w:val="superscript"/>
              </w:rPr>
              <w:t xml:space="preserve">1  </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 xml:space="preserve">ნაწილის ნორმატიული შინაარსი რომელიც უშვებს პასუხისმგებლობას </w:t>
            </w:r>
            <w:r w:rsidRPr="009C0D18">
              <w:rPr>
                <w:rFonts w:ascii="Arial Unicode MS" w:eastAsia="Arial Unicode MS" w:hAnsi="Arial Unicode MS" w:cs="Arial Unicode MS"/>
                <w:i/>
                <w:iCs/>
                <w:color w:val="000000" w:themeColor="text1"/>
              </w:rPr>
              <w:t>ამავე</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მუხლის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წინა</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რედაქციის</w:t>
            </w:r>
            <w:r w:rsidRPr="009C0D18">
              <w:rPr>
                <w:rFonts w:ascii="Times New Roman" w:eastAsia="Times New Roman" w:hAnsi="Times New Roman" w:cs="Times New Roman"/>
                <w:i/>
                <w:iCs/>
                <w:color w:val="000000" w:themeColor="text1"/>
              </w:rPr>
              <w:t xml:space="preserve">  </w:t>
            </w:r>
            <w:r w:rsidRPr="009C0D18">
              <w:rPr>
                <w:rFonts w:ascii="Arial Unicode MS" w:eastAsia="Arial Unicode MS" w:hAnsi="Arial Unicode MS" w:cs="Arial Unicode MS"/>
                <w:i/>
                <w:iCs/>
                <w:color w:val="000000" w:themeColor="text1"/>
              </w:rPr>
              <w:t>მე</w:t>
            </w:r>
            <w:r w:rsidRPr="009C0D18">
              <w:rPr>
                <w:rFonts w:ascii="Times New Roman" w:eastAsia="Times New Roman" w:hAnsi="Times New Roman" w:cs="Times New Roman"/>
                <w:i/>
                <w:iCs/>
                <w:color w:val="000000" w:themeColor="text1"/>
              </w:rPr>
              <w:t xml:space="preserve">-5 </w:t>
            </w:r>
            <w:r w:rsidRPr="009C0D18">
              <w:rPr>
                <w:rFonts w:ascii="Arial Unicode MS" w:eastAsia="Arial Unicode MS" w:hAnsi="Arial Unicode MS" w:cs="Arial Unicode MS"/>
                <w:i/>
                <w:iCs/>
                <w:color w:val="000000" w:themeColor="text1"/>
              </w:rPr>
              <w:t xml:space="preserve">პუნქტის შესაბამისად.  </w:t>
            </w:r>
          </w:p>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0A68FB">
            <w:pPr>
              <w:pStyle w:val="2"/>
              <w:outlineLvl w:val="1"/>
              <w:rPr>
                <w:rFonts w:ascii="Times New Roman" w:eastAsia="Times New Roman" w:hAnsi="Times New Roman" w:cs="Times New Roman"/>
                <w:color w:val="000000" w:themeColor="text1"/>
              </w:rPr>
            </w:pPr>
            <w:r w:rsidRPr="009C0D18">
              <w:rPr>
                <w:rFonts w:ascii="Times New Roman" w:eastAsia="Times New Roman" w:hAnsi="Times New Roman" w:cs="Times New Roman"/>
                <w:b w:val="0"/>
                <w:bCs w:val="0"/>
                <w:color w:val="000000" w:themeColor="text1"/>
              </w:rPr>
              <w:t>1</w:t>
            </w:r>
            <w:r w:rsidRPr="009C0D18">
              <w:rPr>
                <w:rFonts w:ascii="Arial Unicode MS" w:eastAsia="Arial Unicode MS" w:hAnsi="Arial Unicode MS" w:cs="Arial Unicode MS"/>
                <w:color w:val="000000" w:themeColor="text1"/>
              </w:rPr>
              <w:t>. პრობლემის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საკანონმდებლო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ანალიზი</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2024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13 </w:t>
            </w:r>
            <w:r w:rsidRPr="009C0D18">
              <w:rPr>
                <w:rFonts w:ascii="Arial Unicode MS" w:eastAsia="Arial Unicode MS" w:hAnsi="Arial Unicode MS" w:cs="Arial Unicode MS"/>
                <w:color w:val="000000" w:themeColor="text1"/>
              </w:rPr>
              <w:t>დეკემბერს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მიიღო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შეტანის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თანახმადაც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174¹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ნაწილი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ჩამოყალიბდა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შემდეგი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რედაქციით</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¹“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²“ </w:t>
            </w:r>
            <w:r w:rsidRPr="009C0D18">
              <w:rPr>
                <w:rFonts w:ascii="Arial Unicode MS" w:eastAsia="Arial Unicode MS" w:hAnsi="Arial Unicode MS" w:cs="Arial Unicode MS"/>
                <w:color w:val="000000" w:themeColor="text1"/>
              </w:rPr>
              <w:t>ქვეპუნქტებისა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11¹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გამოიწვევს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დაჯარიმებას</w:t>
            </w:r>
            <w:r w:rsidRPr="009C0D18">
              <w:rPr>
                <w:rFonts w:ascii="Times New Roman" w:eastAsia="Times New Roman" w:hAnsi="Times New Roman" w:cs="Times New Roman"/>
                <w:color w:val="000000" w:themeColor="text1"/>
              </w:rPr>
              <w:t xml:space="preserve"> 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15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ორგანიზატორია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დაჯარიმებას</w:t>
            </w:r>
            <w:r w:rsidRPr="009C0D18">
              <w:rPr>
                <w:rFonts w:ascii="Times New Roman" w:eastAsia="Times New Roman" w:hAnsi="Times New Roman" w:cs="Times New Roman"/>
                <w:color w:val="000000" w:themeColor="text1"/>
              </w:rPr>
              <w:t xml:space="preserve"> 15 000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15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ამოქმედდა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გამოქვეყნებისთანავე</w:t>
            </w:r>
            <w:r w:rsidRPr="009C0D18">
              <w:rPr>
                <w:rFonts w:ascii="Times New Roman" w:eastAsia="Times New Roman" w:hAnsi="Times New Roman" w:cs="Times New Roman"/>
                <w:color w:val="000000" w:themeColor="text1"/>
              </w:rPr>
              <w:t xml:space="preserve"> – 2024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29 </w:t>
            </w:r>
            <w:r w:rsidRPr="009C0D18">
              <w:rPr>
                <w:rFonts w:ascii="Arial Unicode MS" w:eastAsia="Arial Unicode MS" w:hAnsi="Arial Unicode MS" w:cs="Arial Unicode MS"/>
                <w:color w:val="000000" w:themeColor="text1"/>
              </w:rPr>
              <w:t>დეკემბერს</w:t>
            </w:r>
            <w:r w:rsidRPr="009C0D18">
              <w:rPr>
                <w:rFonts w:ascii="Times New Roman" w:eastAsia="Times New Roman" w:hAnsi="Times New Roman" w:cs="Times New Roman"/>
                <w:color w:val="000000" w:themeColor="text1"/>
              </w:rPr>
              <w:t>.</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აღსანიშნავია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2025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6 </w:t>
            </w:r>
            <w:r w:rsidRPr="009C0D18">
              <w:rPr>
                <w:rFonts w:ascii="Arial Unicode MS" w:eastAsia="Arial Unicode MS" w:hAnsi="Arial Unicode MS" w:cs="Arial Unicode MS"/>
                <w:color w:val="000000" w:themeColor="text1"/>
              </w:rPr>
              <w:t>თებერვალს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კვლავ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შეიცვალა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ნუმერაცია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ნაცვლად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გახდა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ჩამოყალიბდა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შემდეგი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რედაქციით</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¹“,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²“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11¹​​​​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გამოიწვევს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დაჯარიმებას</w:t>
            </w:r>
            <w:r w:rsidRPr="009C0D18">
              <w:rPr>
                <w:rFonts w:ascii="Times New Roman" w:eastAsia="Times New Roman" w:hAnsi="Times New Roman" w:cs="Times New Roman"/>
                <w:color w:val="000000" w:themeColor="text1"/>
              </w:rPr>
              <w:t xml:space="preserve"> 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15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საგნის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კონფისკაციით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ორგანიზატორია</w:t>
            </w:r>
            <w:r w:rsidRPr="009C0D18">
              <w:rPr>
                <w:rFonts w:ascii="Gungsuh" w:eastAsia="Gungsuh" w:hAnsi="Gungsuh" w:cs="Gungsuh"/>
                <w:color w:val="000000" w:themeColor="text1"/>
              </w:rPr>
              <w:t xml:space="preserve"> − 15 000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20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საგნის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კონფისკაციით</w:t>
            </w:r>
            <w:r w:rsidRPr="009C0D18">
              <w:rPr>
                <w:rFonts w:ascii="Times New Roman" w:eastAsia="Times New Roman" w:hAnsi="Times New Roman" w:cs="Times New Roman"/>
                <w:color w:val="000000" w:themeColor="text1"/>
              </w:rPr>
              <w:t xml:space="preserve">.“ </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2024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29 </w:t>
            </w:r>
            <w:r w:rsidRPr="009C0D18">
              <w:rPr>
                <w:rFonts w:ascii="Arial Unicode MS" w:eastAsia="Arial Unicode MS" w:hAnsi="Arial Unicode MS" w:cs="Arial Unicode MS"/>
                <w:color w:val="000000" w:themeColor="text1"/>
              </w:rPr>
              <w:t>დეკემბრამდე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მოქმედი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174¹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w:t>
            </w:r>
            <w:r w:rsidRPr="009C0D18">
              <w:rPr>
                <w:rFonts w:ascii="Times New Roman" w:eastAsia="Times New Roman" w:hAnsi="Times New Roman" w:cs="Times New Roman"/>
                <w:color w:val="000000" w:themeColor="text1"/>
              </w:rPr>
              <w:t xml:space="preserve"> 500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w:t>
            </w:r>
            <w:r w:rsidRPr="009C0D18">
              <w:rPr>
                <w:rFonts w:ascii="Times New Roman" w:eastAsia="Times New Roman" w:hAnsi="Times New Roman" w:cs="Times New Roman"/>
                <w:color w:val="000000" w:themeColor="text1"/>
              </w:rPr>
              <w:t xml:space="preserve"> 15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ორგანიზატორობის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w:t>
            </w:r>
            <w:r w:rsidRPr="009C0D18">
              <w:rPr>
                <w:rFonts w:ascii="Times New Roman" w:eastAsia="Times New Roman" w:hAnsi="Times New Roman" w:cs="Times New Roman"/>
                <w:color w:val="000000" w:themeColor="text1"/>
              </w:rPr>
              <w:t xml:space="preserve"> 5 000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w:t>
            </w:r>
            <w:r w:rsidRPr="009C0D18">
              <w:rPr>
                <w:rFonts w:ascii="Times New Roman" w:eastAsia="Times New Roman" w:hAnsi="Times New Roman" w:cs="Times New Roman"/>
                <w:color w:val="000000" w:themeColor="text1"/>
              </w:rPr>
              <w:t xml:space="preserve"> 15 </w:t>
            </w:r>
            <w:r w:rsidRPr="009C0D18">
              <w:rPr>
                <w:rFonts w:ascii="Arial Unicode MS" w:eastAsia="Arial Unicode MS" w:hAnsi="Arial Unicode MS" w:cs="Arial Unicode MS"/>
                <w:color w:val="000000" w:themeColor="text1"/>
              </w:rPr>
              <w:t>დღემდე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ვადით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174¹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მიხედვით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მნიშვნელოვნად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გაზრდილი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11¹ </w:t>
            </w:r>
            <w:r w:rsidRPr="009C0D18">
              <w:rPr>
                <w:rFonts w:ascii="Arial Unicode MS" w:eastAsia="Arial Unicode MS" w:hAnsi="Arial Unicode MS" w:cs="Arial Unicode MS"/>
                <w:color w:val="000000" w:themeColor="text1"/>
              </w:rPr>
              <w:t>მუხლებით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დაკავშირებული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სანქციები</w:t>
            </w:r>
            <w:r w:rsidRPr="009C0D18">
              <w:rPr>
                <w:rFonts w:ascii="Times New Roman" w:eastAsia="Times New Roman" w:hAnsi="Times New Roman" w:cs="Times New Roman"/>
                <w:color w:val="000000" w:themeColor="text1"/>
              </w:rPr>
              <w:t xml:space="preserve">.                                                                                                                                                                                                                                                           </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თანახმად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მონაწილეებს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ეკრძალებათ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განზრახ</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შექმნან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დაბრკოლებები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ხალხის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ტრანსპორტის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გადაადგილებისთვის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შორის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დაარღვიონ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11¹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11¹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წინადადება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დაუშვებელია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ტრანსპორტის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სავალი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ხელოვნურად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გადაკეტვა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მოითხოვს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მონაწილეთა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რაოდენობა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-13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თანახმად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ინდივიდუალურად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დაეკისრება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კანონმდებლობით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პასუხისმგებლობა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უკანასკნელ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დაკავშირებით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ვგულისხმობთ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ინდივიდუალურად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დარღვევას</w:t>
            </w:r>
            <w:r w:rsidRPr="009C0D18">
              <w:rPr>
                <w:rFonts w:ascii="Times New Roman" w:eastAsia="Times New Roman" w:hAnsi="Times New Roman" w:cs="Times New Roman"/>
                <w:color w:val="000000" w:themeColor="text1"/>
              </w:rPr>
              <w:t>.</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შემოღებისას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შეესაბამის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საკანონმდებლო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განნმარტებით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ბარათში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მითითებულია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სტაბილური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გამართული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ფუნქციონირება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მნიშვნელოვნად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დამოკიდებული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სწორედ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სამართალდამცავი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ორგანოების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წარმომადგენლების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ეფექტიან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აღსრულებაზე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შეუსრულებლობამ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შეიძლება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ცხოვრების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ფუნქციონირების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შეფერხება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მოშლა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გამოიწვიოს</w:t>
            </w:r>
            <w:r w:rsidRPr="009C0D18">
              <w:rPr>
                <w:rFonts w:ascii="Times New Roman" w:eastAsia="Times New Roman" w:hAnsi="Times New Roman" w:cs="Times New Roman"/>
                <w:color w:val="000000" w:themeColor="text1"/>
              </w:rPr>
              <w:t xml:space="preserve">. </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რეალურად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განმარტებით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ბარათში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დასაბუთებული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ემსახურებოდა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რატომ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აუცილებელი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გაზრდა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ათმაგი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ოდენობითს</w:t>
            </w:r>
            <w:r w:rsidRPr="009C0D18">
              <w:rPr>
                <w:rFonts w:ascii="Times New Roman" w:eastAsia="Times New Roman" w:hAnsi="Times New Roman" w:cs="Times New Roman"/>
                <w:color w:val="000000" w:themeColor="text1"/>
                <w:vertAlign w:val="superscript"/>
              </w:rPr>
              <w:t xml:space="preserve"> </w:t>
            </w:r>
            <w:r w:rsidRPr="009C0D18">
              <w:rPr>
                <w:rFonts w:ascii="Times New Roman" w:eastAsia="Times New Roman" w:hAnsi="Times New Roman" w:cs="Times New Roman"/>
                <w:color w:val="000000" w:themeColor="text1"/>
              </w:rPr>
              <w:t>.</w:t>
            </w:r>
            <w:r w:rsidRPr="009C0D18">
              <w:rPr>
                <w:rFonts w:ascii="Times New Roman" w:eastAsia="Times New Roman" w:hAnsi="Times New Roman" w:cs="Times New Roman"/>
                <w:color w:val="000000" w:themeColor="text1"/>
                <w:vertAlign w:val="superscript"/>
              </w:rPr>
              <w:footnoteReference w:id="7"/>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კოდექსში</w:t>
            </w:r>
            <w:r w:rsidRPr="009C0D18">
              <w:rPr>
                <w:rFonts w:ascii="Times New Roman" w:eastAsia="Times New Roman" w:hAnsi="Times New Roman" w:cs="Times New Roman"/>
                <w:color w:val="000000" w:themeColor="text1"/>
              </w:rPr>
              <w:t xml:space="preserve">” </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სსრ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უმაღლესი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საბჭოს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დადგენილება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შეტანილი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ცვლილებებით, რომლიც განხორციელდა 2025 წლის ოქტომბერში,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174</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ითვალისწინებდა</w:t>
            </w:r>
            <w:r w:rsidRPr="009C0D18">
              <w:rPr>
                <w:rFonts w:ascii="Times New Roman" w:eastAsia="Times New Roman" w:hAnsi="Times New Roman" w:cs="Times New Roman"/>
                <w:color w:val="000000" w:themeColor="text1"/>
              </w:rPr>
              <w:t xml:space="preserve"> 5000 </w:t>
            </w:r>
            <w:r w:rsidRPr="009C0D18">
              <w:rPr>
                <w:rFonts w:ascii="Arial Unicode MS" w:eastAsia="Arial Unicode MS" w:hAnsi="Arial Unicode MS" w:cs="Arial Unicode MS"/>
                <w:color w:val="000000" w:themeColor="text1"/>
              </w:rPr>
              <w:t>ლარიან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ჯარიმას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შიცვალა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174</w:t>
            </w:r>
            <w:r w:rsidRPr="009C0D18">
              <w:rPr>
                <w:rFonts w:ascii="Merriweather" w:eastAsia="Merriweather" w:hAnsi="Merriweather" w:cs="Merriweather"/>
                <w:color w:val="000000" w:themeColor="text1"/>
                <w:vertAlign w:val="superscript"/>
              </w:rPr>
              <w:t xml:space="preserve">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ნაწილით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იგივე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ქმედება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ექვემდებარება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დღევანდელი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ითვალისწინებს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მძიმე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სამართალურთიერთობებზე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წარმოიშვა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ცვლილებებმდე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საერთო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მიღებისას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იქნება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აწ</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უკვე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ძალადაკარგული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რადგან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ახალმა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გააუქმა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შეამსუბუქა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მანმადე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ქმედებისთის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პასუხისმგებლობა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 ასევე ვასაჩივრებთ 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მოქმედი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რედაქციის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ნორმატიული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შინაარსს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საერთო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აძლევს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შესაძლებლობას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გამოიყენოს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ამჟამად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ძალადაკარგული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გაავრელოს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ცვლილებებამდე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შემთხვევებზე</w:t>
            </w:r>
            <w:r w:rsidRPr="009C0D18">
              <w:rPr>
                <w:rFonts w:ascii="Times New Roman" w:eastAsia="Times New Roman" w:hAnsi="Times New Roman" w:cs="Times New Roman"/>
                <w:color w:val="000000" w:themeColor="text1"/>
              </w:rPr>
              <w:t>.</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0A68FB">
            <w:pPr>
              <w:spacing w:line="278" w:lineRule="auto"/>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2025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16 </w:t>
            </w:r>
            <w:r w:rsidRPr="009C0D18">
              <w:rPr>
                <w:rFonts w:ascii="Arial Unicode MS" w:eastAsia="Arial Unicode MS" w:hAnsi="Arial Unicode MS" w:cs="Arial Unicode MS"/>
                <w:color w:val="000000" w:themeColor="text1"/>
              </w:rPr>
              <w:t>ოქტომბრის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ცვლილებიბის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განმარტებითი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ბარათში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მიხედვით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ირკვევა</w:t>
            </w:r>
            <w:r w:rsidRPr="009C0D18">
              <w:rPr>
                <w:rFonts w:ascii="Times New Roman" w:eastAsia="Times New Roman" w:hAnsi="Times New Roman" w:cs="Times New Roman"/>
                <w:color w:val="000000" w:themeColor="text1"/>
              </w:rPr>
              <w:t>,</w:t>
            </w:r>
            <w:r w:rsidRPr="009C0D18">
              <w:rPr>
                <w:rFonts w:ascii="Times New Roman" w:eastAsia="Times New Roman" w:hAnsi="Times New Roman" w:cs="Times New Roman"/>
                <w:color w:val="000000" w:themeColor="text1"/>
                <w:vertAlign w:val="superscript"/>
              </w:rPr>
              <w:footnoteReference w:id="8"/>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174</w:t>
            </w:r>
            <w:r w:rsidRPr="009C0D18">
              <w:rPr>
                <w:rFonts w:ascii="Merriweather" w:eastAsia="Merriweather" w:hAnsi="Merriweather" w:cs="Merriweather"/>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ნაწილით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გაიმიჯნა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დამოუკიდებელ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ჩამოყალიბდა</w:t>
            </w:r>
            <w:r w:rsidRPr="009C0D18">
              <w:rPr>
                <w:rFonts w:ascii="Times New Roman" w:eastAsia="Times New Roman" w:hAnsi="Times New Roman" w:cs="Times New Roman"/>
                <w:color w:val="000000" w:themeColor="text1"/>
              </w:rPr>
              <w:t>.</w:t>
            </w:r>
          </w:p>
          <w:p w:rsidR="002D3215" w:rsidRPr="009C0D18" w:rsidRDefault="000A68FB">
            <w:pPr>
              <w:spacing w:before="240" w:after="240" w:line="278" w:lineRule="auto"/>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ცვლილებების მიხედვით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174 </w:t>
            </w:r>
            <w:r w:rsidRPr="009C0D18">
              <w:rPr>
                <w:rFonts w:ascii="Merriweather" w:eastAsia="Merriweather" w:hAnsi="Merriweather" w:cs="Merriweather"/>
                <w:color w:val="000000" w:themeColor="text1"/>
                <w:vertAlign w:val="superscript"/>
              </w:rPr>
              <w:t xml:space="preserve">1 </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ნაწილის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დისპოზიციით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განსაზღვრული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ნაწილში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ჩამოყალიბდა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დამოუკიდებლად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განისაზღვრა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პასუხისმგებლობა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-11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2“, „</w:t>
            </w:r>
            <w:r w:rsidRPr="009C0D18">
              <w:rPr>
                <w:rFonts w:ascii="Arial Unicode MS" w:eastAsia="Arial Unicode MS" w:hAnsi="Arial Unicode MS" w:cs="Arial Unicode MS"/>
                <w:color w:val="000000" w:themeColor="text1"/>
              </w:rPr>
              <w:t>გ</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ქვეპუნქტებითა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11</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დარღვევისათვის.</w:t>
            </w:r>
            <w:r w:rsidRPr="009C0D18">
              <w:rPr>
                <w:rFonts w:ascii="Times New Roman" w:eastAsia="Times New Roman" w:hAnsi="Times New Roman" w:cs="Times New Roman"/>
                <w:color w:val="000000" w:themeColor="text1"/>
              </w:rPr>
              <w:t xml:space="preserve"> </w:t>
            </w:r>
          </w:p>
          <w:p w:rsidR="002D3215" w:rsidRPr="009C0D18" w:rsidRDefault="000A68FB">
            <w:pPr>
              <w:spacing w:before="240" w:after="240" w:line="278" w:lineRule="auto"/>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ამავდროულად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წარმოდგენილი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174</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ნაწილით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პირს პასუხისმგებლობა ეკისრება მათ შორის იმ ქმედებისთვის რომელიც მანამდე ამავე მუხლის მე-5 პუნქტით იყო გათვალისწინებული, კერძოდ გზის გადაკეტვასთან დაკავშირებით, შესაბამისად სადავო დებულებით, კერძოდ კოდექსის</w:t>
            </w:r>
            <w:r w:rsidRPr="009C0D18">
              <w:rPr>
                <w:rFonts w:ascii="Times New Roman" w:eastAsia="Times New Roman" w:hAnsi="Times New Roman" w:cs="Times New Roman"/>
                <w:color w:val="000000" w:themeColor="text1"/>
              </w:rPr>
              <w:t xml:space="preserve"> 174</w:t>
            </w:r>
            <w:r w:rsidRPr="009C0D18">
              <w:rPr>
                <w:rFonts w:ascii="Times New Roman" w:eastAsia="Times New Roman" w:hAnsi="Times New Roman" w:cs="Times New Roman"/>
                <w:color w:val="000000" w:themeColor="text1"/>
                <w:vertAlign w:val="superscript"/>
              </w:rPr>
              <w:t>1</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-10 </w:t>
            </w:r>
            <w:r w:rsidRPr="009C0D18">
              <w:rPr>
                <w:rFonts w:ascii="Arial Unicode MS" w:eastAsia="Arial Unicode MS" w:hAnsi="Arial Unicode MS" w:cs="Arial Unicode MS"/>
                <w:color w:val="000000" w:themeColor="text1"/>
              </w:rPr>
              <w:t xml:space="preserve">ნაწილით შეიქმნა სამართლებრივი მდგომარეობა, რომელიც სასამართლოს აძლევს შესაძლებლობას 5000 ლარიანი ჯარიმა გზის გადაკეტისთის დააკისროს პირებს 2025 წლის 16 ოქტომბრამდე წარმოშობილი სამართალურთიერთობებიდან გამომდინარე. </w:t>
            </w:r>
          </w:p>
          <w:p w:rsidR="002D3215" w:rsidRPr="009C0D18" w:rsidRDefault="002D3215">
            <w:pPr>
              <w:spacing w:line="278" w:lineRule="auto"/>
              <w:jc w:val="both"/>
              <w:rPr>
                <w:rFonts w:ascii="Times New Roman" w:eastAsia="Times New Roman" w:hAnsi="Times New Roman" w:cs="Times New Roman"/>
                <w:color w:val="000000" w:themeColor="text1"/>
              </w:rPr>
            </w:pPr>
          </w:p>
          <w:p w:rsidR="002D3215" w:rsidRPr="009C0D18" w:rsidRDefault="002D3215">
            <w:pPr>
              <w:spacing w:after="300"/>
              <w:jc w:val="both"/>
              <w:rPr>
                <w:rFonts w:ascii="Times New Roman" w:eastAsia="Times New Roman" w:hAnsi="Times New Roman" w:cs="Times New Roman"/>
                <w:b/>
                <w:bCs/>
                <w:color w:val="000000" w:themeColor="text1"/>
              </w:rPr>
            </w:pPr>
          </w:p>
          <w:p w:rsidR="002D3215" w:rsidRPr="009C0D18" w:rsidRDefault="000A68FB">
            <w:pPr>
              <w:pStyle w:val="2"/>
              <w:numPr>
                <w:ilvl w:val="0"/>
                <w:numId w:val="7"/>
              </w:numPr>
              <w:jc w:val="center"/>
              <w:outlineLvl w:val="1"/>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lastRenderedPageBreak/>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არაკონსტიტუციურობა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 xml:space="preserve">მუხლის პირველ და მე-2 პუნქტთან </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p>
          <w:p w:rsidR="002D3215" w:rsidRPr="009C0D18" w:rsidRDefault="002D3215">
            <w:pPr>
              <w:rPr>
                <w:color w:val="000000" w:themeColor="text1"/>
              </w:rPr>
            </w:pPr>
          </w:p>
          <w:p w:rsidR="002D3215" w:rsidRPr="009C0D18" w:rsidRDefault="002D3215">
            <w:pPr>
              <w:rPr>
                <w:color w:val="000000" w:themeColor="text1"/>
              </w:rPr>
            </w:pPr>
          </w:p>
          <w:p w:rsidR="002D3215" w:rsidRPr="009C0D18" w:rsidRDefault="000A68FB">
            <w:pPr>
              <w:jc w:val="both"/>
              <w:rPr>
                <w:rFonts w:ascii="Merriweather" w:eastAsia="Merriweather" w:hAnsi="Merriweather" w:cs="Merriweather"/>
                <w:b/>
                <w:bCs/>
                <w:color w:val="000000" w:themeColor="text1"/>
              </w:rPr>
            </w:pPr>
            <w:r w:rsidRPr="009C0D18">
              <w:rPr>
                <w:rFonts w:ascii="Arial Unicode MS" w:eastAsia="Arial Unicode MS" w:hAnsi="Arial Unicode MS" w:cs="Arial Unicode MS"/>
                <w:b/>
                <w:bCs/>
                <w:color w:val="000000" w:themeColor="text1"/>
              </w:rPr>
              <w:t xml:space="preserve">საქართველოს კონსტიტუციის მე-9 მუხლის პირველ და მეორე პუნქტთან მიმართებით არაკონსტიტუციურია სადავო ნორმები: კერძოდ </w:t>
            </w:r>
            <w:r w:rsidRPr="009C0D18">
              <w:rPr>
                <w:rFonts w:ascii="Times New Roman" w:eastAsia="Times New Roman" w:hAnsi="Times New Roman" w:cs="Times New Roman"/>
                <w:b/>
                <w:bCs/>
                <w:color w:val="000000" w:themeColor="text1"/>
              </w:rPr>
              <w:t>,,</w:t>
            </w:r>
            <w:r w:rsidRPr="009C0D18">
              <w:rPr>
                <w:rFonts w:ascii="Arial Unicode MS" w:eastAsia="Arial Unicode MS" w:hAnsi="Arial Unicode MS" w:cs="Arial Unicode MS"/>
                <w:b/>
                <w:bCs/>
                <w:color w:val="000000" w:themeColor="text1"/>
              </w:rPr>
              <w:t>საქართველოს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ადმინისტრაციულ</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სამართალდარღვევათა</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კოდექსი</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საქართველოს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სსრ</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უმაღლესი</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საბჭოს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დადგენილება</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საქართველოს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კანონის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მუხლი</w:t>
            </w:r>
            <w:r w:rsidRPr="009C0D18">
              <w:rPr>
                <w:rFonts w:ascii="Times New Roman" w:eastAsia="Times New Roman" w:hAnsi="Times New Roman" w:cs="Times New Roman"/>
                <w:b/>
                <w:bCs/>
                <w:color w:val="000000" w:themeColor="text1"/>
              </w:rPr>
              <w:t xml:space="preserve"> 174</w:t>
            </w:r>
            <w:r w:rsidRPr="009C0D18">
              <w:rPr>
                <w:rFonts w:ascii="Times New Roman" w:eastAsia="Times New Roman" w:hAnsi="Times New Roman" w:cs="Times New Roman"/>
                <w:b/>
                <w:bCs/>
                <w:color w:val="000000" w:themeColor="text1"/>
                <w:vertAlign w:val="superscript"/>
              </w:rPr>
              <w:t xml:space="preserve">1  </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მე</w:t>
            </w:r>
            <w:r w:rsidRPr="009C0D18">
              <w:rPr>
                <w:rFonts w:ascii="Times New Roman" w:eastAsia="Times New Roman" w:hAnsi="Times New Roman" w:cs="Times New Roman"/>
                <w:b/>
                <w:bCs/>
                <w:color w:val="000000" w:themeColor="text1"/>
              </w:rPr>
              <w:t xml:space="preserve">-10 </w:t>
            </w:r>
            <w:r w:rsidRPr="009C0D18">
              <w:rPr>
                <w:rFonts w:ascii="Arial Unicode MS" w:eastAsia="Arial Unicode MS" w:hAnsi="Arial Unicode MS" w:cs="Arial Unicode MS"/>
                <w:b/>
                <w:bCs/>
                <w:color w:val="000000" w:themeColor="text1"/>
              </w:rPr>
              <w:t>ნაწილი და ამავე ნაწილის ის ნორმატიული შინაარსი, რომელიც არ აუქმებს ამავე მუხლის წინა რედაქციის  მე-5 პუნქტში გათვალისწინებული ქმედებისათვის პასუხისმგებლობას</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b/>
                <w:bCs/>
                <w:color w:val="000000" w:themeColor="text1"/>
              </w:rPr>
              <w:t xml:space="preserve">ასევე ამავე მუხლის მე-5 ნაწილის 2025 წლის 16 ოქტომბრამდე მოქმედი რედაქცია. </w:t>
            </w:r>
          </w:p>
          <w:p w:rsidR="002D3215" w:rsidRPr="009C0D18" w:rsidRDefault="002D3215">
            <w:pPr>
              <w:rPr>
                <w:color w:val="000000" w:themeColor="text1"/>
              </w:rPr>
            </w:pP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პრაქტიკის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მიხედვით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დადდგენილია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ერთი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პრაქტიკული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გამოხატულება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მქონე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მიჩნევაში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მდგომარეობს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სამართალსუბიექტობაზე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გარანტირებული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განუყოფელ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ელემენტს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თანახმად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მთავარი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ფასეულობა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საშუალება</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2015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28 </w:t>
            </w:r>
            <w:r w:rsidRPr="009C0D18">
              <w:rPr>
                <w:rFonts w:ascii="Arial Unicode MS" w:eastAsia="Arial Unicode MS" w:hAnsi="Arial Unicode MS" w:cs="Arial Unicode MS"/>
                <w:color w:val="000000" w:themeColor="text1"/>
              </w:rPr>
              <w:t>ოქტომბრის</w:t>
            </w:r>
            <w:r w:rsidRPr="009C0D18">
              <w:rPr>
                <w:rFonts w:ascii="Times New Roman" w:eastAsia="Times New Roman" w:hAnsi="Times New Roman" w:cs="Times New Roman"/>
                <w:color w:val="000000" w:themeColor="text1"/>
              </w:rPr>
              <w:t xml:space="preserve"> №2/5/560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ნოდარ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მუმლაური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II-10).</w:t>
            </w:r>
            <w:r w:rsidRPr="009C0D18">
              <w:rPr>
                <w:rFonts w:ascii="Times New Roman" w:eastAsia="Times New Roman" w:hAnsi="Times New Roman" w:cs="Times New Roman"/>
                <w:color w:val="000000" w:themeColor="text1"/>
                <w:vertAlign w:val="superscript"/>
              </w:rPr>
              <w:footnoteReference w:id="9"/>
            </w:r>
            <w:r w:rsidRPr="009C0D18">
              <w:rPr>
                <w:rFonts w:ascii="Arial Unicode MS" w:eastAsia="Arial Unicode MS" w:hAnsi="Arial Unicode MS" w:cs="Arial Unicode MS"/>
                <w:color w:val="000000" w:themeColor="text1"/>
              </w:rPr>
              <w:t>გასათვალისწინებელია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მზღუდავი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საკანონდებლო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რეგულირება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ავტომატურად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სამართალსუბიექტობაზე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ყოველ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კონკრეტულ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მზღუდავი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რეგულირების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შინაარსის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შეზღუდვის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ინტენსივობის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გასაჩივრებული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უფლებასთან</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2015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28 </w:t>
            </w:r>
            <w:r w:rsidRPr="009C0D18">
              <w:rPr>
                <w:rFonts w:ascii="Arial Unicode MS" w:eastAsia="Arial Unicode MS" w:hAnsi="Arial Unicode MS" w:cs="Arial Unicode MS"/>
                <w:color w:val="000000" w:themeColor="text1"/>
              </w:rPr>
              <w:t>ოქტომბრის</w:t>
            </w:r>
            <w:r w:rsidRPr="009C0D18">
              <w:rPr>
                <w:rFonts w:ascii="Times New Roman" w:eastAsia="Times New Roman" w:hAnsi="Times New Roman" w:cs="Times New Roman"/>
                <w:color w:val="000000" w:themeColor="text1"/>
              </w:rPr>
              <w:t xml:space="preserve"> №2/5/560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ნოდარ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მუმლაური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II-11).</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კრძალავს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მიუხედავად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რამდენად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მნიშვნელოვანი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სიკეთის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დასაცავად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ხორციელდება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ღონისძიებები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დამოუკიდებლად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ექვემდებარება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ხსენებულ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დებულებასთან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შემოწმებას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ზოგადად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ღონისძიების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ბუნებრივად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მოჰყვება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გარკვეული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დისკომფორტის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შექმნა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ამდენად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გააჩნია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ლეგიტიმური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გამოიყენოს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მზღუდავი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ღონისძიება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თუმცა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ხსენებული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უსაზღვრო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გარკვეულ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სახელმწოფოს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ხარისხს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აღწევს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არღვევს</w:t>
            </w:r>
            <w:r w:rsidRPr="009C0D18">
              <w:rPr>
                <w:rFonts w:ascii="Times New Roman" w:eastAsia="Times New Roman" w:hAnsi="Times New Roman" w:cs="Times New Roman"/>
                <w:color w:val="000000" w:themeColor="text1"/>
              </w:rPr>
              <w:t>. </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თავისუფლების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სამართლებრივ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მასშტაბს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ამიტომ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უპირატესობაა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სადაც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ღირებულებათა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სისტემის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თითოეული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თვითმყოფადობის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თანაბარი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გარანტია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სხვებისგან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განსხვავებული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საკუთარ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უნარებზე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შესაძლებლობებზე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გემოვნებაზე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განვითარების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გზის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ინდივიდუალურ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არჩევანზე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დამოკიდებულებით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სწორედ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წესრიგის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გარანტირებას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ემსახურება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რაზეც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არაერთხელ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მიუთითა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სასამართლომ</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მდგომარეობს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მთავარი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ღირებულება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თვითმყოფადი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თანასწორი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უპირობოდ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ეკუთვნის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ყველა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სახელმწიფოსაგან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იგულისხმება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სოციალური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მხრიდან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რესპექტირებაზე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პატივისცემა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გულისხმობს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ყოველი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პიროვნულ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ჩამორთმევა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შეზღუდვა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დაუშვებელია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სახელმწიფოსათვის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უმთავრესი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პატივისცემის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ობიექტი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მთავარი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ფასეულობა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საშუალება</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2007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ოქტომბრის</w:t>
            </w:r>
            <w:r w:rsidRPr="009C0D18">
              <w:rPr>
                <w:rFonts w:ascii="Times New Roman" w:eastAsia="Times New Roman" w:hAnsi="Times New Roman" w:cs="Times New Roman"/>
                <w:color w:val="000000" w:themeColor="text1"/>
              </w:rPr>
              <w:t xml:space="preserve"> #2/2-389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ნათაძე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პრეზიდენტის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II-30).</w:t>
            </w:r>
            <w:r w:rsidRPr="009C0D18">
              <w:rPr>
                <w:rFonts w:ascii="Times New Roman" w:eastAsia="Times New Roman" w:hAnsi="Times New Roman" w:cs="Times New Roman"/>
                <w:color w:val="000000" w:themeColor="text1"/>
                <w:vertAlign w:val="superscript"/>
              </w:rPr>
              <w:footnoteReference w:id="10"/>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შედეგად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ყველა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სრულყოფილად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სარგებლობა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მათი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ეფექტური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ხელშეუვალობის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უშუალო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გარანტიაა</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პიროვნული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თავისუფლება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ადეკვატურ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სრულად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განხორციელებაში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გამოიხატება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ამიტომ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არათანაზომიერი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გადამეტებული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ჩარევა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ხელყოფს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ღირსებასაც</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2007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დეკემბრის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#1/3/407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ახალგაზრდა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იურისტთა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ასოციაცია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ეკატერინე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ლომთათიძე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შეიძლება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იქნეს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განხილული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მხოლოდ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ერთი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ობიექტი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დროს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ეყრდნობა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უკავშირდება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ხელყოფა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ფაქტიურად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ყოველთვის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უკავშირდება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2007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ოქტომბრის</w:t>
            </w:r>
            <w:r w:rsidRPr="009C0D18">
              <w:rPr>
                <w:rFonts w:ascii="Times New Roman" w:eastAsia="Times New Roman" w:hAnsi="Times New Roman" w:cs="Times New Roman"/>
                <w:color w:val="000000" w:themeColor="text1"/>
              </w:rPr>
              <w:t xml:space="preserve"> #2/2-389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ნათაძე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პრეზიდენტის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II-31).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კონცეფცია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ემსახურება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უმთავრეს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იმპერატივს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აისახება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კიდეც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უფლებებში</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2012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ივნისის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#3/1/512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ჰეიკე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ქრონქვისტი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w:t>
            </w:r>
            <w:r w:rsidRPr="009C0D18">
              <w:rPr>
                <w:rFonts w:ascii="Times New Roman" w:eastAsia="Times New Roman" w:hAnsi="Times New Roman" w:cs="Times New Roman"/>
                <w:color w:val="000000" w:themeColor="text1"/>
              </w:rPr>
              <w:t>“, II-43).</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შორის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მჭიდრო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ურთიერთკავშირზე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დამატებით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მიუთითა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ცალკეული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განმარტებისას</w:t>
            </w:r>
            <w:r w:rsidRPr="009C0D18">
              <w:rPr>
                <w:rFonts w:ascii="Times New Roman" w:eastAsia="Times New Roman" w:hAnsi="Times New Roman" w:cs="Times New Roman"/>
                <w:color w:val="000000" w:themeColor="text1"/>
              </w:rPr>
              <w:t xml:space="preserve"> (2011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22 </w:t>
            </w:r>
            <w:r w:rsidRPr="009C0D18">
              <w:rPr>
                <w:rFonts w:ascii="Arial Unicode MS" w:eastAsia="Arial Unicode MS" w:hAnsi="Arial Unicode MS" w:cs="Arial Unicode MS"/>
                <w:color w:val="000000" w:themeColor="text1"/>
              </w:rPr>
              <w:t>დეკემბრის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#1/1/477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სახალხო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xml:space="preserve">“, II-4; 2012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ივნისის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#3/1/512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ჰეიკე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ქრონქვისტი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II-38).</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პრაქტიკულ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რეალიზაციასა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უზრუნველყოფს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ღირებულებათა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სისტემა</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წარმოადგენენ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სამართლებრივ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გარანტიას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2007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დეკემბრის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#1/3/407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ახალგაზრდა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იურისტთა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ასოციაცია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მოქალაქე</w:t>
            </w:r>
            <w:r w:rsidRPr="009C0D18">
              <w:rPr>
                <w:rFonts w:ascii="Times New Roman" w:eastAsia="Times New Roman" w:hAnsi="Times New Roman" w:cs="Times New Roman"/>
                <w:color w:val="000000" w:themeColor="text1"/>
              </w:rPr>
              <w:t xml:space="preserve"> _ </w:t>
            </w:r>
            <w:r w:rsidRPr="009C0D18">
              <w:rPr>
                <w:rFonts w:ascii="Arial Unicode MS" w:eastAsia="Arial Unicode MS" w:hAnsi="Arial Unicode MS" w:cs="Arial Unicode MS"/>
                <w:color w:val="000000" w:themeColor="text1"/>
              </w:rPr>
              <w:t>ეკატერინე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ლომთათიძე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xml:space="preserve">“, II-3),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რეალიზაციისა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პრაქტიკული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შედეგები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დაკავშირებულია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შემდეგი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მოლოდინების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დაკმაყოფილებასთან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პრინციპები</w:t>
            </w:r>
            <w:r w:rsidRPr="009C0D18">
              <w:rPr>
                <w:rFonts w:ascii="Times New Roman" w:eastAsia="Times New Roman" w:hAnsi="Times New Roman" w:cs="Times New Roman"/>
                <w:color w:val="000000" w:themeColor="text1"/>
              </w:rPr>
              <w:t xml:space="preserve"> „ ... </w:t>
            </w:r>
            <w:r w:rsidRPr="009C0D18">
              <w:rPr>
                <w:rFonts w:ascii="Arial Unicode MS" w:eastAsia="Arial Unicode MS" w:hAnsi="Arial Unicode MS" w:cs="Arial Unicode MS"/>
                <w:color w:val="000000" w:themeColor="text1"/>
              </w:rPr>
              <w:t>მოითხოვს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ქვეყნის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უზრუნველყოფდეს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თავისუფლებების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სრული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მოცულობით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აღიარებასა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ყველა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საჭირო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გარანტიის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შექმნას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2010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28 </w:t>
            </w:r>
            <w:r w:rsidRPr="009C0D18">
              <w:rPr>
                <w:rFonts w:ascii="Arial Unicode MS" w:eastAsia="Arial Unicode MS" w:hAnsi="Arial Unicode MS" w:cs="Arial Unicode MS"/>
                <w:color w:val="000000" w:themeColor="text1"/>
              </w:rPr>
              <w:lastRenderedPageBreak/>
              <w:t>ივნისის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გადაწყვეტილება</w:t>
            </w:r>
            <w:r w:rsidRPr="009C0D18">
              <w:rPr>
                <w:rFonts w:ascii="Times New Roman" w:eastAsia="Times New Roman" w:hAnsi="Times New Roman" w:cs="Times New Roman"/>
                <w:color w:val="000000" w:themeColor="text1"/>
              </w:rPr>
              <w:t xml:space="preserve"> #1/466 </w:t>
            </w:r>
            <w:r w:rsidRPr="009C0D18">
              <w:rPr>
                <w:rFonts w:ascii="Arial Unicode MS" w:eastAsia="Arial Unicode MS" w:hAnsi="Arial Unicode MS" w:cs="Arial Unicode MS"/>
                <w:color w:val="000000" w:themeColor="text1"/>
              </w:rPr>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სახალხო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II-2).</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მიზნებისთვის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გულისხმობს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სოციალურ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მოთხოვნილებას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პატივისცემაზე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ეყრდნობა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უკავშირდება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არღვევს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მაშინ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როდესაც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ფუნდამენტური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გზით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შედეგად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ისახავს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დამცირებას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ფაქტობრივი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შედეგს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გარდაუვლად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იწვევს</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თვალსაზრისით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პუნქტი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აღიარებული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უფლებისთვისაც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დარღვევა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გარდაუვლად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პრინციპის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ხელყოფას</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თანახმად</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დაუშვებელია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გამოყენება</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აბსოლუტურად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იცავს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აკრძალული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ქმედებებისგან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აკრძალვა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აბსოლუტური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ნიშნავს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უპირობოდ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გამორიცხავს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ჩარევას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ნიშანდობლივია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აკრძალვა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ვრცელდება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საგანგებო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მდგომარეობის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დროსაც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არსებობს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ლეგიტიმური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დაუძლეველი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ინტერესი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მნიშვნელოვანიც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ტერიტორიული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მთლიანობის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სუვერენიტეტის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ტერორიზმთან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ბრძოლა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უსაფრთხოება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დასაცავადაც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იქნებოდა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ჩარევის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გამართლება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პოტენციური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კონფლიქტი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სიკეთესა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დასაცავ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ნებისმიერ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ინტერესს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შორის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მუდმივი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ვალდებულებაც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ქვეყნის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ხელისუფლებას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იმთავითვე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უპირობოდ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გადაწყვიტა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სასარგებლოდ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ცხადია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ხელისუფლება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ვალდებულებისგან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დაიცვას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მნიშვნელოვანი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საჯარო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ინტერესები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ლეგიტიმური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უსაფრთხოება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ტერიტორიული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მთლიანობა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მართლმსაჯულების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განხორციელება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თუმცა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სიკეთის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გაამართლებს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სასჯელს</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დემოკრატიულ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შეუძლებელია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არსებობდეს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მოთხოვნილება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საჭიროება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გამართლება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დემოკრატიას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შექმნის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დაიცავს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უზრუნველყოფს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ხელისუფლება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დასაშვებად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მიიჩნევს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დემოკრატიისვე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ინტერესებში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რადგან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შეუძლებელია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დემოკრატიისა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შელახვის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ურთიერთთავსებადობა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დემოკრატიის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იდეა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თავისუფალ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შედეგად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ღირსებადაცულ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ეფუძნება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ემსახურება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ამიტომ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საფუძველშივე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მცდარი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ცინიკურია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დაშვება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საზოგადოება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მიიღწევა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წამებით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სასჯელებით</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-9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აკრძალულია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წამება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ზოგადად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არაჰუმანური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განზრახ</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ფიზიკური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ფსიქოლოგიური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მორალური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ზემოქმედება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შედეგად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აყენებს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განსაცდელს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სტრესს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სატანჯველს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წნეხი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ზემოქმედება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თვისობრივად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ხანგრძლივობით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ინტენსივობის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გარკვეულ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ხარისხს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მაღალ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დონეს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აღწევდეს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რთულია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ყოველთვის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ერთმანეთისგან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გაიმიჯნოს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შემლახველი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რადგან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უმეტეს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შეუძლებელია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გამოიწვიოს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დამცირება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იმავდროულად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ჩაითვლება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გამოიხატება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სინდისის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საწინააღმდეგო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მოქმედების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ჩადენის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მიჩნევისთვის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ზემოქმედების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ფსიქოლოგიური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მორალური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შეზღუდვის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იძულების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ფარგლები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სცდებოდეს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ბუნებრივ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ზღვარს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თავისთავად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თანმდევი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თანაარსია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კონკრეტული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შეფარდებული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დამამცირებელია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მსხვერპლში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აღძრავს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შიშს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ძლიერ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ტანჯვას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დამცირებას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შეურაცხყოფს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მსხვერპლს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დროს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მხედველობაშია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მისაღები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რამდენად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დამცირება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შეურაცხყოფა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გარემოებათა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რამდენად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სერიოზულ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გავლენას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ახდენს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მსხვერპლის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პიროვნებაზე</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lastRenderedPageBreak/>
              <w:t>მაშასადამე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აშკარად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შეესაბამებიან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ხასიათს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სიმძიმეს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მარტო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მოპრობისა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აკრძალვასთან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არამედ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არღვევენ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კიდეც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დანაწესს</w:t>
            </w:r>
            <w:r w:rsidRPr="009C0D18">
              <w:rPr>
                <w:rFonts w:ascii="Times New Roman" w:eastAsia="Times New Roman" w:hAnsi="Times New Roman" w:cs="Times New Roman"/>
                <w:color w:val="000000" w:themeColor="text1"/>
              </w:rPr>
              <w:t>.</w:t>
            </w:r>
          </w:p>
          <w:p w:rsidR="002D3215" w:rsidRPr="009C0D18" w:rsidRDefault="000A68FB">
            <w:pPr>
              <w:spacing w:after="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მოემულ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შეკრების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მანიფესტაციის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სარგებლობისას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გზის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გადაკეტვისთვის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დაწესებული</w:t>
            </w:r>
            <w:r w:rsidRPr="009C0D18">
              <w:rPr>
                <w:rFonts w:ascii="Times New Roman" w:eastAsia="Times New Roman" w:hAnsi="Times New Roman" w:cs="Times New Roman"/>
                <w:color w:val="000000" w:themeColor="text1"/>
              </w:rPr>
              <w:t xml:space="preserve"> 5000 </w:t>
            </w:r>
            <w:r w:rsidRPr="009C0D18">
              <w:rPr>
                <w:rFonts w:ascii="Arial Unicode MS" w:eastAsia="Arial Unicode MS" w:hAnsi="Arial Unicode MS" w:cs="Arial Unicode MS"/>
                <w:color w:val="000000" w:themeColor="text1"/>
              </w:rPr>
              <w:t>ლარიანი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ჯარიმა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ინტენსივობის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უტოლდება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სისხლის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სამართლებრივ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სახდელის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მიაზანს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პრევენციულად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მოახდინოს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გავლენა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გამოხატოს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პროტესტი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გზის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სავალ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ნაწილზე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ამგვარად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აღნნიშნული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შედეგად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იმგვარი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სანქირება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წაართვას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ყველა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შესსაძლებლობა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ეკონომიკურ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ცხოვრებაში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მონაწილეობისა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პირებზეც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მოახდინოს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გავლენა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მსუსხავი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ეფექტის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განიხილავს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საკუთარი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შიშველ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ობიექტად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ამგვარი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მოპყრობა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არაკოსტიტუიური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ვერანაირი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გამართლება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ექნება. კონკრეტულ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სწორედ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მაღალი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ინტენსივობა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ძირითად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ჩცარევის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მოცცემულებას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ვინაიდან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აშკარად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პირობებში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როდესაც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მინიმალური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ხელფასი</w:t>
            </w:r>
            <w:r w:rsidRPr="009C0D18">
              <w:rPr>
                <w:rFonts w:ascii="Times New Roman" w:eastAsia="Times New Roman" w:hAnsi="Times New Roman" w:cs="Times New Roman"/>
                <w:color w:val="000000" w:themeColor="text1"/>
              </w:rPr>
              <w:t xml:space="preserve"> 40 </w:t>
            </w:r>
            <w:r w:rsidRPr="009C0D18">
              <w:rPr>
                <w:rFonts w:ascii="Arial Unicode MS" w:eastAsia="Arial Unicode MS" w:hAnsi="Arial Unicode MS" w:cs="Arial Unicode MS"/>
                <w:color w:val="000000" w:themeColor="text1"/>
              </w:rPr>
              <w:t>ლარია</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პრეზიდენტის</w:t>
            </w:r>
            <w:r w:rsidRPr="009C0D18">
              <w:rPr>
                <w:rFonts w:ascii="Times New Roman" w:eastAsia="Times New Roman" w:hAnsi="Times New Roman" w:cs="Times New Roman"/>
                <w:color w:val="000000" w:themeColor="text1"/>
              </w:rPr>
              <w:t xml:space="preserve"> 1999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04 </w:t>
            </w:r>
            <w:r w:rsidRPr="009C0D18">
              <w:rPr>
                <w:rFonts w:ascii="Arial Unicode MS" w:eastAsia="Arial Unicode MS" w:hAnsi="Arial Unicode MS" w:cs="Arial Unicode MS"/>
                <w:color w:val="000000" w:themeColor="text1"/>
              </w:rPr>
              <w:t>ივნისის</w:t>
            </w:r>
            <w:r w:rsidRPr="009C0D18">
              <w:rPr>
                <w:rFonts w:ascii="Times New Roman" w:eastAsia="Times New Roman" w:hAnsi="Times New Roman" w:cs="Times New Roman"/>
                <w:color w:val="000000" w:themeColor="text1"/>
              </w:rPr>
              <w:t xml:space="preserve">  N351 </w:t>
            </w:r>
            <w:r w:rsidRPr="009C0D18">
              <w:rPr>
                <w:rFonts w:ascii="Arial Unicode MS" w:eastAsia="Arial Unicode MS" w:hAnsi="Arial Unicode MS" w:cs="Arial Unicode MS"/>
                <w:color w:val="000000" w:themeColor="text1"/>
              </w:rPr>
              <w:t>ბრძანების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მინიმალური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ხელფასის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w:t>
            </w:r>
            <w:r w:rsidRPr="009C0D18">
              <w:rPr>
                <w:rFonts w:ascii="Times New Roman" w:eastAsia="Times New Roman" w:hAnsi="Times New Roman" w:cs="Times New Roman"/>
                <w:color w:val="000000" w:themeColor="text1"/>
                <w:vertAlign w:val="superscript"/>
              </w:rPr>
              <w:footnoteReference w:id="11"/>
            </w:r>
            <w:r w:rsidRPr="009C0D18">
              <w:rPr>
                <w:rFonts w:ascii="Times New Roman" w:eastAsia="Times New Roman" w:hAnsi="Times New Roman" w:cs="Times New Roman"/>
                <w:color w:val="000000" w:themeColor="text1"/>
              </w:rPr>
              <w:t xml:space="preserve">, 2006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26 </w:t>
            </w:r>
            <w:r w:rsidRPr="009C0D18">
              <w:rPr>
                <w:rFonts w:ascii="Arial Unicode MS" w:eastAsia="Arial Unicode MS" w:hAnsi="Arial Unicode MS" w:cs="Arial Unicode MS"/>
                <w:color w:val="000000" w:themeColor="text1"/>
              </w:rPr>
              <w:t>დეკემბერს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ბრძანებულებთ</w:t>
            </w:r>
            <w:r w:rsidRPr="009C0D18">
              <w:rPr>
                <w:rFonts w:ascii="Times New Roman" w:eastAsia="Times New Roman" w:hAnsi="Times New Roman" w:cs="Times New Roman"/>
                <w:color w:val="000000" w:themeColor="text1"/>
              </w:rPr>
              <w:t xml:space="preserve"> №767  „</w:t>
            </w:r>
            <w:r w:rsidRPr="009C0D18">
              <w:rPr>
                <w:rFonts w:ascii="Arial Unicode MS" w:eastAsia="Arial Unicode MS" w:hAnsi="Arial Unicode MS" w:cs="Arial Unicode MS"/>
                <w:color w:val="000000" w:themeColor="text1"/>
              </w:rPr>
              <w:t>მინიმალური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ხელფასის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პრეზიდენტის</w:t>
            </w:r>
            <w:r w:rsidRPr="009C0D18">
              <w:rPr>
                <w:rFonts w:ascii="Times New Roman" w:eastAsia="Times New Roman" w:hAnsi="Times New Roman" w:cs="Times New Roman"/>
                <w:color w:val="000000" w:themeColor="text1"/>
              </w:rPr>
              <w:t xml:space="preserve"> 1999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4 </w:t>
            </w:r>
            <w:r w:rsidRPr="009C0D18">
              <w:rPr>
                <w:rFonts w:ascii="Arial Unicode MS" w:eastAsia="Arial Unicode MS" w:hAnsi="Arial Unicode MS" w:cs="Arial Unicode MS"/>
                <w:color w:val="000000" w:themeColor="text1"/>
              </w:rPr>
              <w:t>ივნისის</w:t>
            </w:r>
            <w:r w:rsidRPr="009C0D18">
              <w:rPr>
                <w:rFonts w:ascii="Times New Roman" w:eastAsia="Times New Roman" w:hAnsi="Times New Roman" w:cs="Times New Roman"/>
                <w:color w:val="000000" w:themeColor="text1"/>
              </w:rPr>
              <w:t xml:space="preserve"> №351 </w:t>
            </w:r>
            <w:r w:rsidRPr="009C0D18">
              <w:rPr>
                <w:rFonts w:ascii="Arial Unicode MS" w:eastAsia="Arial Unicode MS" w:hAnsi="Arial Unicode MS" w:cs="Arial Unicode MS"/>
                <w:color w:val="000000" w:themeColor="text1"/>
              </w:rPr>
              <w:t>ბრძანებულებაში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შეტანის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r w:rsidRPr="009C0D18">
              <w:rPr>
                <w:rFonts w:ascii="Times New Roman" w:eastAsia="Times New Roman" w:hAnsi="Times New Roman" w:cs="Times New Roman"/>
                <w:color w:val="000000" w:themeColor="text1"/>
                <w:vertAlign w:val="superscript"/>
              </w:rPr>
              <w:footnoteReference w:id="12"/>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საჯარიმო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უთანაბრდება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მინიმალური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ხელფასისი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ოცცცდახუთმაგ</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ამავდროულად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კანონნმდებელი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განსაზღვრავს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ზღვარს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კოდექსში</w:t>
            </w:r>
            <w:r w:rsidRPr="009C0D18">
              <w:rPr>
                <w:rFonts w:ascii="Times New Roman" w:eastAsia="Times New Roman" w:hAnsi="Times New Roman" w:cs="Times New Roman"/>
                <w:color w:val="000000" w:themeColor="text1"/>
              </w:rPr>
              <w:t xml:space="preserve"> 110  </w:t>
            </w:r>
            <w:r w:rsidRPr="009C0D18">
              <w:rPr>
                <w:rFonts w:ascii="Arial Unicode MS" w:eastAsia="Arial Unicode MS" w:hAnsi="Arial Unicode MS" w:cs="Arial Unicode MS"/>
                <w:color w:val="000000" w:themeColor="text1"/>
              </w:rPr>
              <w:t>ჯერ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განსასაზღვრად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მინიმალური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ხელფასის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წესი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როდესაც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ქვედა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ზღვარი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განსაზღვრული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სახდელის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მხოლოდ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რამდენიმე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ერთეული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ყველა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ჯერზე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განსაზღვრულია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სსანქცციის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მაქსიმალური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ოდენობები</w:t>
            </w:r>
            <w:r w:rsidRPr="009C0D18">
              <w:rPr>
                <w:rFonts w:ascii="Times New Roman" w:eastAsia="Times New Roman" w:hAnsi="Times New Roman" w:cs="Times New Roman"/>
                <w:color w:val="000000" w:themeColor="text1"/>
              </w:rPr>
              <w:t xml:space="preserve">. </w:t>
            </w:r>
          </w:p>
          <w:p w:rsidR="002D3215" w:rsidRPr="009C0D18" w:rsidRDefault="000A68FB">
            <w:pPr>
              <w:spacing w:after="30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გარდა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ამისა</w:t>
            </w:r>
            <w:r w:rsidRPr="009C0D18">
              <w:rPr>
                <w:rFonts w:ascii="Times New Roman" w:eastAsia="Times New Roman" w:hAnsi="Times New Roman" w:cs="Times New Roman"/>
                <w:color w:val="000000" w:themeColor="text1"/>
              </w:rPr>
              <w:t xml:space="preserve"> 2025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16 </w:t>
            </w:r>
            <w:r w:rsidRPr="009C0D18">
              <w:rPr>
                <w:rFonts w:ascii="Arial Unicode MS" w:eastAsia="Arial Unicode MS" w:hAnsi="Arial Unicode MS" w:cs="Arial Unicode MS"/>
                <w:color w:val="000000" w:themeColor="text1"/>
              </w:rPr>
              <w:t>ოქტომბერს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სისხლის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შევიდა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ცვლილებები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გზის სავალი ნაწილის ხელოვნური გადაკეტვის გამო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ითვალისწინებს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პატიმრობას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განმეორებით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წლამდე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აღკვეთას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აღნიშნულის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რეალურად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ზეგავლენა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დაშინება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 xml:space="preserve">ამ შემთხვევაში  </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lastRenderedPageBreak/>
              <w:t>ადამაინებს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პრევენციულად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ჰქონდეთ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განცდა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გზის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საავალ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ნაწილს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დაიკავებენ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დაეკისრებათ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საპატიმრო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სახდელი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შემდგომ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განმეორებით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თავისუფლების აღკვეთის სახით.</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მიუთითა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დამამცირებელ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მოიაზრება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მხოლოდ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ბუნებით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ადამიანის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ლახავენ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არამედ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აშკარად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რომლებიც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შეესაბამებიან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ხასიათსა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სიმძიმეს</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პარ</w:t>
            </w:r>
            <w:r w:rsidRPr="009C0D18">
              <w:rPr>
                <w:rFonts w:ascii="Times New Roman" w:eastAsia="Times New Roman" w:hAnsi="Times New Roman" w:cs="Times New Roman"/>
                <w:color w:val="000000" w:themeColor="text1"/>
              </w:rPr>
              <w:t xml:space="preserve">. 25). </w:t>
            </w:r>
          </w:p>
          <w:p w:rsidR="002D3215" w:rsidRPr="009C0D18" w:rsidRDefault="000A68FB">
            <w:pPr>
              <w:spacing w:before="240" w:after="240"/>
              <w:ind w:right="30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საკითხზე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მსჯელობისას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ღირსების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შემლახავი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მიუთითა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შემდეგი</w:t>
            </w:r>
            <w:r w:rsidRPr="009C0D18">
              <w:rPr>
                <w:rFonts w:ascii="Times New Roman" w:eastAsia="Times New Roman" w:hAnsi="Times New Roman" w:cs="Times New Roman"/>
                <w:color w:val="000000" w:themeColor="text1"/>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იმისთვის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არაპროპორციულობაზე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მსჯელობა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-17 </w:t>
            </w:r>
            <w:r w:rsidRPr="009C0D18">
              <w:rPr>
                <w:rFonts w:ascii="Arial Unicode MS" w:eastAsia="Arial Unicode MS" w:hAnsi="Arial Unicode MS" w:cs="Arial Unicode MS"/>
                <w:color w:val="000000" w:themeColor="text1"/>
              </w:rPr>
              <w:t>მუხლის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w:t>
            </w: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პუნქტთან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დანაშაულებრივ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უფრო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მეტი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ვიდრე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უბრალოდ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გადამეტებული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კერძოდ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მოცემულ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კონსტიტუციურობის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შეფასება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ეფუძნება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შემდეგ</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გარემოებებს</w:t>
            </w:r>
            <w:r w:rsidRPr="009C0D18">
              <w:rPr>
                <w:rFonts w:ascii="Times New Roman" w:eastAsia="Times New Roman" w:hAnsi="Times New Roman" w:cs="Times New Roman"/>
                <w:color w:val="000000" w:themeColor="text1"/>
              </w:rPr>
              <w:t xml:space="preserve">: 1) </w:t>
            </w:r>
            <w:r w:rsidRPr="009C0D18">
              <w:rPr>
                <w:rFonts w:ascii="Arial Unicode MS" w:eastAsia="Arial Unicode MS" w:hAnsi="Arial Unicode MS" w:cs="Arial Unicode MS"/>
                <w:color w:val="000000" w:themeColor="text1"/>
              </w:rPr>
              <w:t>მოწმდება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აშკარა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არაპროპორციულობა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სიმძიმესა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შორის</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კანონმდებლობით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დაკისრებული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გონივრულ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პროპორციულ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დამოკიდებულებაში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კონკრეტული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გამოწვევად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ზიანთან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ადგება</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შეიძლება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მიადგეს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პირებს</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საზოგადოებას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ჩაითვლება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აშკარად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არაპროპორციულად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არაადამიანურ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სასტიკ</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ხანგრძლივობა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მკვეთრად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უხეშად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დისპროპორციულია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უმართლობის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ხარისხთან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გამოწვევად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საფრთხეებთან</w:t>
            </w:r>
            <w:r w:rsidRPr="009C0D18">
              <w:rPr>
                <w:rFonts w:ascii="Times New Roman" w:eastAsia="Times New Roman" w:hAnsi="Times New Roman" w:cs="Times New Roman"/>
                <w:color w:val="000000" w:themeColor="text1"/>
              </w:rPr>
              <w:t xml:space="preserve">. 2) </w:t>
            </w:r>
            <w:r w:rsidRPr="009C0D18">
              <w:rPr>
                <w:rFonts w:ascii="Arial Unicode MS" w:eastAsia="Arial Unicode MS" w:hAnsi="Arial Unicode MS" w:cs="Arial Unicode MS"/>
                <w:color w:val="000000" w:themeColor="text1"/>
              </w:rPr>
              <w:t>კანონი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იძლეოდეს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შესაძლებლობას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მოსამართლემ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დაკისრებისას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გაითვალისწინოს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კონკრეტული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გარემოებები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გამოწვეული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დამნაშავის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ბრალეულობის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ხარისხი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ფაქტობრივად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გამოირიცხოს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ყოველ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ინდივიდუალურ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ყველა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რელევანტური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ფაქტორის</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გარემოების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გაუთვალისწინებლად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არაპროპორციული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შეფარდება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მაშასადამე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ზოგადად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გამოწვევად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საფრთხეებთან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გონივრულ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პროპორციაში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ხოლო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მეორე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მხრივ</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შესაძლებლობა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ყოველ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კონკრეტულ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დაკისრება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მოხდეს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ინდივიდუალური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გარემოებების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ამასთან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მოსამართლის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დისკრეციის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ფარგლები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განჭვრეტადი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იყოს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უზრუნველყოფილ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იქნეს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ერთგვაროვანი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ურთიერთობების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ერთნაირი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მიდგომა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მოსამართლის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დისკრეციის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მიზნობრივი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გამოყენება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გამოირიცხოს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დისკრეციაზე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დაყრდნობით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მხოლოდ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სუბიექტური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შეხედულებებით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გადაწყვეტილების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რისკები</w:t>
            </w:r>
            <w:r w:rsidRPr="009C0D18">
              <w:rPr>
                <w:rFonts w:ascii="Times New Roman" w:eastAsia="Times New Roman" w:hAnsi="Times New Roman" w:cs="Times New Roman"/>
                <w:color w:val="000000" w:themeColor="text1"/>
              </w:rPr>
              <w:t>. (</w:t>
            </w:r>
            <w:r w:rsidRPr="009C0D18">
              <w:rPr>
                <w:rFonts w:ascii="Arial Unicode MS" w:eastAsia="Arial Unicode MS" w:hAnsi="Arial Unicode MS" w:cs="Arial Unicode MS"/>
                <w:color w:val="000000" w:themeColor="text1"/>
              </w:rPr>
              <w:t>პარ</w:t>
            </w:r>
            <w:r w:rsidRPr="009C0D18">
              <w:rPr>
                <w:rFonts w:ascii="Times New Roman" w:eastAsia="Times New Roman" w:hAnsi="Times New Roman" w:cs="Times New Roman"/>
                <w:color w:val="000000" w:themeColor="text1"/>
              </w:rPr>
              <w:t xml:space="preserve">. 38)".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lastRenderedPageBreak/>
              <w:t>საქმეზე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თეიმურაზ</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ლომიძე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პარლამენტის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წინააღმდეგ</w:t>
            </w:r>
            <w:r w:rsidRPr="009C0D18">
              <w:rPr>
                <w:rFonts w:ascii="Times New Roman" w:eastAsia="Times New Roman" w:hAnsi="Times New Roman" w:cs="Times New Roman"/>
                <w:color w:val="000000" w:themeColor="text1"/>
              </w:rPr>
              <w:t xml:space="preserve">“, II-7). </w:t>
            </w:r>
            <w:r w:rsidRPr="009C0D18">
              <w:rPr>
                <w:rFonts w:ascii="Arial Unicode MS" w:eastAsia="Arial Unicode MS" w:hAnsi="Arial Unicode MS" w:cs="Arial Unicode MS"/>
                <w:color w:val="000000" w:themeColor="text1"/>
              </w:rPr>
              <w:t>საქართველოს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სასამართლოს</w:t>
            </w:r>
            <w:r w:rsidRPr="009C0D18">
              <w:rPr>
                <w:rFonts w:ascii="Times New Roman" w:eastAsia="Times New Roman" w:hAnsi="Times New Roman" w:cs="Times New Roman"/>
                <w:color w:val="000000" w:themeColor="text1"/>
              </w:rPr>
              <w:t xml:space="preserve"> 2022 </w:t>
            </w:r>
            <w:r w:rsidRPr="009C0D18">
              <w:rPr>
                <w:rFonts w:ascii="Arial Unicode MS" w:eastAsia="Arial Unicode MS" w:hAnsi="Arial Unicode MS" w:cs="Arial Unicode MS"/>
                <w:color w:val="000000" w:themeColor="text1"/>
              </w:rPr>
              <w:t>წლის</w:t>
            </w:r>
            <w:r w:rsidRPr="009C0D18">
              <w:rPr>
                <w:rFonts w:ascii="Times New Roman" w:eastAsia="Times New Roman" w:hAnsi="Times New Roman" w:cs="Times New Roman"/>
                <w:color w:val="000000" w:themeColor="text1"/>
              </w:rPr>
              <w:t xml:space="preserve"> 28 </w:t>
            </w:r>
            <w:r w:rsidRPr="009C0D18">
              <w:rPr>
                <w:rFonts w:ascii="Arial Unicode MS" w:eastAsia="Arial Unicode MS" w:hAnsi="Arial Unicode MS" w:cs="Arial Unicode MS"/>
                <w:color w:val="000000" w:themeColor="text1"/>
              </w:rPr>
              <w:t>თებერვლის</w:t>
            </w:r>
            <w:r w:rsidRPr="009C0D18">
              <w:rPr>
                <w:rFonts w:ascii="Times New Roman" w:eastAsia="Times New Roman" w:hAnsi="Times New Roman" w:cs="Times New Roman"/>
                <w:color w:val="000000" w:themeColor="text1"/>
              </w:rPr>
              <w:t xml:space="preserve"> №1/3/1646 </w:t>
            </w:r>
            <w:r w:rsidRPr="009C0D18">
              <w:rPr>
                <w:rFonts w:ascii="Arial Unicode MS" w:eastAsia="Arial Unicode MS" w:hAnsi="Arial Unicode MS" w:cs="Arial Unicode MS"/>
                <w:color w:val="000000" w:themeColor="text1"/>
              </w:rPr>
              <w:t>განჩინება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საკონსტიტუციო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სასამართლომ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მიუთითა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შემდეგი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სისხლის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სფეროს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მომწესრიგებელი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ღონისძიება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უნდა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შეფასდეს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შემთხვევაში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იგი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დასჯისა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მაგ</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პრევენცია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დამნაშავის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რესოციალიზაცია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მიღწევისაკენ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ღონისძიება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რომელიც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მართალია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სახელმწიფოს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რეაქცია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მართლსაწინააღმდეგო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ქმედებაზე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თუმცა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ბუნება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მიმართულია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რაიმე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ლეგიტიმური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მიღწევისაკენ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შეიძლება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შეფასებულ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იქნეს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w:t>
            </w:r>
            <w:r w:rsidRPr="009C0D18">
              <w:rPr>
                <w:rFonts w:ascii="Times New Roman" w:eastAsia="Times New Roman" w:hAnsi="Times New Roman" w:cs="Times New Roman"/>
                <w:color w:val="000000" w:themeColor="text1"/>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სისხლის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39 (1)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მიზნებია</w:t>
            </w:r>
            <w:r w:rsidRPr="009C0D18">
              <w:rPr>
                <w:rFonts w:ascii="Times New Roman" w:eastAsia="Times New Roman" w:hAnsi="Times New Roman" w:cs="Times New Roman"/>
                <w:color w:val="000000" w:themeColor="text1"/>
              </w:rPr>
              <w:t xml:space="preserve">: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სამართლიანობის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აღდგენა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დანაშაულის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თავიდან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აცილება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დამნაშავის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რესოციალიზაცია</w:t>
            </w:r>
            <w:r w:rsidRPr="009C0D18">
              <w:rPr>
                <w:rFonts w:ascii="Times New Roman" w:eastAsia="Times New Roman" w:hAnsi="Times New Roman" w:cs="Times New Roman"/>
                <w:color w:val="000000" w:themeColor="text1"/>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ადმინისტრაციულ</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სამართალდარღვევათა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კოდექსის</w:t>
            </w:r>
            <w:r w:rsidRPr="009C0D18">
              <w:rPr>
                <w:rFonts w:ascii="Times New Roman" w:eastAsia="Times New Roman" w:hAnsi="Times New Roman" w:cs="Times New Roman"/>
                <w:color w:val="000000" w:themeColor="text1"/>
              </w:rPr>
              <w:t xml:space="preserve">  23 (1) </w:t>
            </w:r>
            <w:r w:rsidRPr="009C0D18">
              <w:rPr>
                <w:rFonts w:ascii="Arial Unicode MS" w:eastAsia="Arial Unicode MS" w:hAnsi="Arial Unicode MS" w:cs="Arial Unicode MS"/>
                <w:color w:val="000000" w:themeColor="text1"/>
              </w:rPr>
              <w:t>მუხლით</w:t>
            </w:r>
            <w:r w:rsidRPr="009C0D18">
              <w:rPr>
                <w:rFonts w:ascii="Times New Roman" w:eastAsia="Times New Roman" w:hAnsi="Times New Roman" w:cs="Times New Roman"/>
                <w:color w:val="000000" w:themeColor="text1"/>
              </w:rPr>
              <w:t xml:space="preserve">.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ადმინისტრაციული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სახდელი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წარმოადგენს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პასუხისმგებლობის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ზომას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გამოიყენება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ჩამდენის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აღსაზრდელად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კანონების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დაცვის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საერთო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ცხოვრების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წესების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პატივისცემის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სულისკვეთებით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აგრეთვე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თვით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ისე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ახალი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ჩადენის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აცილების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მიზნით</w:t>
            </w:r>
            <w:r w:rsidRPr="009C0D18">
              <w:rPr>
                <w:rFonts w:ascii="Times New Roman" w:eastAsia="Times New Roman" w:hAnsi="Times New Roman" w:cs="Times New Roman"/>
                <w:color w:val="000000" w:themeColor="text1"/>
              </w:rPr>
              <w:t>.</w:t>
            </w:r>
          </w:p>
          <w:p w:rsidR="002D3215" w:rsidRPr="009C0D18" w:rsidRDefault="000A68FB">
            <w:pPr>
              <w:spacing w:before="240" w:after="240"/>
              <w:ind w:right="30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rPr>
              <w:t>ანუ</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პრევენციაც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გამოსწორებაც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როგორც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სისხლის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სამართლებრივი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ასევე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ადმინისტრაციული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სახდელის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მიზანი</w:t>
            </w:r>
            <w:r w:rsidRPr="009C0D18">
              <w:rPr>
                <w:rFonts w:ascii="Times New Roman" w:eastAsia="Times New Roman" w:hAnsi="Times New Roman" w:cs="Times New Roman"/>
                <w:color w:val="000000" w:themeColor="text1"/>
              </w:rPr>
              <w:t xml:space="preserve">.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შესაბამისად</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მიგვაჩნია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სადაო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სანქცია</w:t>
            </w:r>
            <w:r w:rsidRPr="009C0D18">
              <w:rPr>
                <w:rFonts w:ascii="Times New Roman" w:eastAsia="Times New Roman" w:hAnsi="Times New Roman" w:cs="Times New Roman"/>
                <w:color w:val="000000" w:themeColor="text1"/>
              </w:rPr>
              <w:t xml:space="preserve">:  5000 </w:t>
            </w:r>
            <w:r w:rsidRPr="009C0D18">
              <w:rPr>
                <w:rFonts w:ascii="Arial Unicode MS" w:eastAsia="Arial Unicode MS" w:hAnsi="Arial Unicode MS" w:cs="Arial Unicode MS"/>
                <w:color w:val="000000" w:themeColor="text1"/>
              </w:rPr>
              <w:t>ლარიანი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ჯარიმა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გათვალისწინებულია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სასჯელის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დეფინიციაში</w:t>
            </w:r>
            <w:r w:rsidRPr="009C0D18">
              <w:rPr>
                <w:rFonts w:ascii="Times New Roman" w:eastAsia="Times New Roman" w:hAnsi="Times New Roman" w:cs="Times New Roman"/>
                <w:color w:val="000000" w:themeColor="text1"/>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იმისთვის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გამოვიყენოთ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საკონსტიტუციო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სასამართლოს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ზემოთაღნიშნული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კრიტერიუმები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უნდა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ვიმსჯელოთ</w:t>
            </w:r>
            <w:r w:rsidRPr="009C0D18">
              <w:rPr>
                <w:rFonts w:ascii="Times New Roman" w:eastAsia="Times New Roman" w:hAnsi="Times New Roman" w:cs="Times New Roman"/>
                <w:color w:val="000000" w:themeColor="text1"/>
                <w:highlight w:val="white"/>
              </w:rPr>
              <w:t xml:space="preserve"> 1. </w:t>
            </w:r>
            <w:r w:rsidRPr="009C0D18">
              <w:rPr>
                <w:rFonts w:ascii="Arial Unicode MS" w:eastAsia="Arial Unicode MS" w:hAnsi="Arial Unicode MS" w:cs="Arial Unicode MS"/>
                <w:color w:val="000000" w:themeColor="text1"/>
                <w:highlight w:val="white"/>
              </w:rPr>
              <w:t>ქმედებით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გამოწვეულ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ზიანზე</w:t>
            </w:r>
            <w:r w:rsidRPr="009C0D18">
              <w:rPr>
                <w:rFonts w:ascii="Times New Roman" w:eastAsia="Times New Roman" w:hAnsi="Times New Roman" w:cs="Times New Roman"/>
                <w:color w:val="000000" w:themeColor="text1"/>
                <w:highlight w:val="white"/>
              </w:rPr>
              <w:t xml:space="preserve">, 2. </w:t>
            </w:r>
            <w:r w:rsidRPr="009C0D18">
              <w:rPr>
                <w:rFonts w:ascii="Arial Unicode MS" w:eastAsia="Arial Unicode MS" w:hAnsi="Arial Unicode MS" w:cs="Arial Unicode MS"/>
                <w:color w:val="000000" w:themeColor="text1"/>
                <w:highlight w:val="white"/>
              </w:rPr>
              <w:t>სანქციის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სიმძიმეზე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3. </w:t>
            </w:r>
            <w:r w:rsidRPr="009C0D18">
              <w:rPr>
                <w:rFonts w:ascii="Arial Unicode MS" w:eastAsia="Arial Unicode MS" w:hAnsi="Arial Unicode MS" w:cs="Arial Unicode MS"/>
                <w:color w:val="000000" w:themeColor="text1"/>
                <w:highlight w:val="white"/>
              </w:rPr>
              <w:t>ასევე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იმაზე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თუ</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რამდენად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იძლევა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კანონმდებლობა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სანქციის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ინდივიდუალიზაციის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შესაძლებლობას</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როდესაც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ვაფასებთ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ქმედების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სიმძიმეს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სავალი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ნაწილით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ხელოვნურად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სოციალური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ზიანი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შეიძლება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ხარისხობრივად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სრულიად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სხვადასხვა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იყოს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მიხედვით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თუ</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როდის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ხანგრძლივობით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ფორმით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მოხდა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გადაკეტვა</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lastRenderedPageBreak/>
              <w:t>კერძოდ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სავალი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ნაწილის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შეიძლება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მოხდეს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დროს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ადგილას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სადაც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ტრანსპორტის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მოძრაობის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ინტენსივობა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ძალიან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დაბალია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მაგალითად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რეგიონში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შუაღამის</w:t>
            </w:r>
            <w:r w:rsidRPr="009C0D18">
              <w:rPr>
                <w:rFonts w:ascii="Times New Roman" w:eastAsia="Times New Roman" w:hAnsi="Times New Roman" w:cs="Times New Roman"/>
                <w:color w:val="000000" w:themeColor="text1"/>
                <w:highlight w:val="white"/>
              </w:rPr>
              <w:t xml:space="preserve"> 3 </w:t>
            </w:r>
            <w:r w:rsidRPr="009C0D18">
              <w:rPr>
                <w:rFonts w:ascii="Arial Unicode MS" w:eastAsia="Arial Unicode MS" w:hAnsi="Arial Unicode MS" w:cs="Arial Unicode MS"/>
                <w:color w:val="000000" w:themeColor="text1"/>
                <w:highlight w:val="white"/>
              </w:rPr>
              <w:t>საათზე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5 </w:t>
            </w:r>
            <w:r w:rsidRPr="009C0D18">
              <w:rPr>
                <w:rFonts w:ascii="Arial Unicode MS" w:eastAsia="Arial Unicode MS" w:hAnsi="Arial Unicode MS" w:cs="Arial Unicode MS"/>
                <w:color w:val="000000" w:themeColor="text1"/>
                <w:highlight w:val="white"/>
              </w:rPr>
              <w:t>წუთიანი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ხანგრძვლივობით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მეორეს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მხრივ</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შეიძლება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მოხდეს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ტრანსპორტის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მაღალი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ინტენსივობით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მოძრაობისას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უფრო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მეტი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ხანგრძლივობით</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ასევე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გათვალისწინებული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უნდა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იყოს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თუ</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რისთვის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ხდება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აღსანიშნავია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როგორც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როგორც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კონსტიტუცია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ასევე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კანონმდებლობა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უშვებს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სავალი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ნაწილის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შესაძლებლობას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შეკრება</w:t>
            </w:r>
            <w:r w:rsidRPr="009C0D18">
              <w:rPr>
                <w:rFonts w:ascii="Times New Roman" w:eastAsia="Times New Roman" w:hAnsi="Times New Roman" w:cs="Times New Roman"/>
                <w:color w:val="000000" w:themeColor="text1"/>
                <w:highlight w:val="white"/>
              </w:rPr>
              <w:t>/</w:t>
            </w:r>
            <w:r w:rsidRPr="009C0D18">
              <w:rPr>
                <w:rFonts w:ascii="Arial Unicode MS" w:eastAsia="Arial Unicode MS" w:hAnsi="Arial Unicode MS" w:cs="Arial Unicode MS"/>
                <w:color w:val="000000" w:themeColor="text1"/>
                <w:highlight w:val="white"/>
              </w:rPr>
              <w:t>გამოხატვის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თავისუფლების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განხორციელების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შესაბამისად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შეკრების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თავისუფლების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განხორციელების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დროს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ხდება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კრიმინალური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მიზნებით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არამედ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უკავშირდება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სოციალურ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პროტესტს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ისახავს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საზოგადოების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ყურადღების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მიქცევას</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აღნიშნულს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ხაზს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უსვამს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შეკრებებისა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მანიფესტაციების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შესახებ</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კანონის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w:t>
            </w:r>
            <w:r w:rsidRPr="009C0D18">
              <w:rPr>
                <w:rFonts w:ascii="Times New Roman" w:eastAsia="Times New Roman" w:hAnsi="Times New Roman" w:cs="Times New Roman"/>
                <w:color w:val="000000" w:themeColor="text1"/>
                <w:highlight w:val="white"/>
              </w:rPr>
              <w:t xml:space="preserve">-3 </w:t>
            </w:r>
            <w:r w:rsidRPr="009C0D18">
              <w:rPr>
                <w:rFonts w:ascii="Arial Unicode MS" w:eastAsia="Arial Unicode MS" w:hAnsi="Arial Unicode MS" w:cs="Arial Unicode MS"/>
                <w:color w:val="000000" w:themeColor="text1"/>
                <w:highlight w:val="white"/>
              </w:rPr>
              <w:t>მუხლი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რომელიც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ამბობს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კანონის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მიზნებისათვის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w:t>
            </w:r>
            <w:r w:rsidRPr="009C0D18">
              <w:rPr>
                <w:rFonts w:ascii="Times New Roman" w:eastAsia="Times New Roman" w:hAnsi="Times New Roman" w:cs="Times New Roman"/>
                <w:color w:val="000000" w:themeColor="text1"/>
                <w:highlight w:val="white"/>
              </w:rPr>
              <w:t>) „</w:t>
            </w:r>
            <w:r w:rsidRPr="009C0D18">
              <w:rPr>
                <w:rFonts w:ascii="Arial Unicode MS" w:eastAsia="Arial Unicode MS" w:hAnsi="Arial Unicode MS" w:cs="Arial Unicode MS"/>
                <w:color w:val="000000" w:themeColor="text1"/>
                <w:highlight w:val="white"/>
              </w:rPr>
              <w:t>შეკრება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მოქალაქეთა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ჯგუფის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შეკრება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ჭერქვეშ</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გარეთ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მიტინგი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საზოგადოებრივი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თავშეყრის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ადგილებში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სოლიდარობის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პროტესტის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გამოხატვის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მიზნით</w:t>
            </w:r>
            <w:r w:rsidRPr="009C0D18">
              <w:rPr>
                <w:rFonts w:ascii="Times New Roman" w:eastAsia="Times New Roman" w:hAnsi="Times New Roman" w:cs="Times New Roman"/>
                <w:color w:val="000000" w:themeColor="text1"/>
                <w:highlight w:val="white"/>
              </w:rPr>
              <w:t>;  „</w:t>
            </w:r>
            <w:r w:rsidRPr="009C0D18">
              <w:rPr>
                <w:rFonts w:ascii="Arial Unicode MS" w:eastAsia="Arial Unicode MS" w:hAnsi="Arial Unicode MS" w:cs="Arial Unicode MS"/>
                <w:color w:val="000000" w:themeColor="text1"/>
                <w:highlight w:val="white"/>
              </w:rPr>
              <w:t>მანიფესტაცია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მოქალაქეთა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დემონსტრაცია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მასობრივი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საჯარო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გამოსვლა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ქუჩაში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მსვლელობა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სოლიდარობის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პროტესტის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გამოხატვის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მსვლელობა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პლაკატების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ლოზუნგების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ტრანსპარანტების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სახვითი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საშუალებების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გამოყენებით</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სამართალდარღვევათა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კოდექსის</w:t>
            </w:r>
            <w:r w:rsidRPr="009C0D18">
              <w:rPr>
                <w:rFonts w:ascii="Times New Roman" w:eastAsia="Times New Roman" w:hAnsi="Times New Roman" w:cs="Times New Roman"/>
                <w:color w:val="000000" w:themeColor="text1"/>
                <w:highlight w:val="white"/>
              </w:rPr>
              <w:t xml:space="preserve"> 125 </w:t>
            </w:r>
            <w:r w:rsidRPr="009C0D18">
              <w:rPr>
                <w:rFonts w:ascii="Arial Unicode MS" w:eastAsia="Arial Unicode MS" w:hAnsi="Arial Unicode MS" w:cs="Arial Unicode MS"/>
                <w:color w:val="000000" w:themeColor="text1"/>
                <w:highlight w:val="white"/>
              </w:rPr>
              <w:t>მუხლის</w:t>
            </w:r>
            <w:r w:rsidRPr="009C0D18">
              <w:rPr>
                <w:rFonts w:ascii="Times New Roman" w:eastAsia="Times New Roman" w:hAnsi="Times New Roman" w:cs="Times New Roman"/>
                <w:color w:val="000000" w:themeColor="text1"/>
                <w:highlight w:val="white"/>
              </w:rPr>
              <w:t xml:space="preserve"> 6</w:t>
            </w:r>
            <w:r w:rsidRPr="009C0D18">
              <w:rPr>
                <w:rFonts w:ascii="Times New Roman" w:eastAsia="Times New Roman" w:hAnsi="Times New Roman" w:cs="Times New Roman"/>
                <w:color w:val="000000" w:themeColor="text1"/>
                <w:highlight w:val="white"/>
                <w:vertAlign w:val="superscript"/>
              </w:rPr>
              <w:t>1</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პუნქტის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თანახმად</w:t>
            </w:r>
            <w:r w:rsidRPr="009C0D18">
              <w:rPr>
                <w:rFonts w:ascii="Times New Roman" w:eastAsia="Times New Roman" w:hAnsi="Times New Roman" w:cs="Times New Roman"/>
                <w:color w:val="000000" w:themeColor="text1"/>
                <w:highlight w:val="white"/>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highlight w:val="white"/>
              </w:rPr>
              <w:t>6​​</w:t>
            </w:r>
            <w:r w:rsidRPr="009C0D18">
              <w:rPr>
                <w:rFonts w:ascii="Times New Roman" w:eastAsia="Times New Roman" w:hAnsi="Times New Roman" w:cs="Times New Roman"/>
                <w:color w:val="000000" w:themeColor="text1"/>
                <w:highlight w:val="white"/>
                <w:vertAlign w:val="superscript"/>
              </w:rPr>
              <w:t>1</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ქალაქში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დასახლებულ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პუნქტში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სატრანსპორტო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საშუალებებით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ორგანიზებულად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ჯგუფურ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მოძრაობაში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მონაწილეობა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როდესაც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სავალი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ნაწილი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სრულად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დაკავებული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გამოიწვევს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დაჯარიმებას</w:t>
            </w:r>
            <w:r w:rsidRPr="009C0D18">
              <w:rPr>
                <w:rFonts w:ascii="Times New Roman" w:eastAsia="Times New Roman" w:hAnsi="Times New Roman" w:cs="Times New Roman"/>
                <w:color w:val="000000" w:themeColor="text1"/>
                <w:highlight w:val="white"/>
              </w:rPr>
              <w:t xml:space="preserve"> 1 000 </w:t>
            </w:r>
            <w:r w:rsidRPr="009C0D18">
              <w:rPr>
                <w:rFonts w:ascii="Arial Unicode MS" w:eastAsia="Arial Unicode MS" w:hAnsi="Arial Unicode MS" w:cs="Arial Unicode MS"/>
                <w:color w:val="000000" w:themeColor="text1"/>
                <w:highlight w:val="white"/>
              </w:rPr>
              <w:t>ლარის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ოდენობით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სატრანსპორტო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საშუალების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მართვის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უფლების</w:t>
            </w:r>
            <w:r w:rsidRPr="009C0D18">
              <w:rPr>
                <w:rFonts w:ascii="Times New Roman" w:eastAsia="Times New Roman" w:hAnsi="Times New Roman" w:cs="Times New Roman"/>
                <w:color w:val="000000" w:themeColor="text1"/>
                <w:highlight w:val="white"/>
              </w:rPr>
              <w:t xml:space="preserve"> 1 </w:t>
            </w:r>
            <w:r w:rsidRPr="009C0D18">
              <w:rPr>
                <w:rFonts w:ascii="Arial Unicode MS" w:eastAsia="Arial Unicode MS" w:hAnsi="Arial Unicode MS" w:cs="Arial Unicode MS"/>
                <w:color w:val="000000" w:themeColor="text1"/>
                <w:highlight w:val="white"/>
              </w:rPr>
              <w:t>წლის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ვადით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შეჩერებას</w:t>
            </w:r>
            <w:r w:rsidRPr="009C0D18">
              <w:rPr>
                <w:rFonts w:ascii="Times New Roman" w:eastAsia="Times New Roman" w:hAnsi="Times New Roman" w:cs="Times New Roman"/>
                <w:color w:val="000000" w:themeColor="text1"/>
                <w:highlight w:val="white"/>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შედეგად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ვიღებთ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ისეთ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აბსურდულ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სიტუაციას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კონსტიტუციური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უფლების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განხორციელების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სავალი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ნაწილის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გადაკეტვა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ისჯება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ხუთჯერ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მეტი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ჯარიმით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ვიდრე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ნებისმიერი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თუნდაც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პირადი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მიზნებით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ჩაკეტვა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სატრანსპორტო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საშუალების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გამოყენებით</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სამართალდარღვევათა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კოდექსის</w:t>
            </w:r>
            <w:r w:rsidRPr="009C0D18">
              <w:rPr>
                <w:rFonts w:ascii="Times New Roman" w:eastAsia="Times New Roman" w:hAnsi="Times New Roman" w:cs="Times New Roman"/>
                <w:color w:val="000000" w:themeColor="text1"/>
                <w:highlight w:val="white"/>
              </w:rPr>
              <w:t xml:space="preserve"> 33-</w:t>
            </w:r>
            <w:r w:rsidRPr="009C0D18">
              <w:rPr>
                <w:rFonts w:ascii="Arial Unicode MS" w:eastAsia="Arial Unicode MS" w:hAnsi="Arial Unicode MS" w:cs="Arial Unicode MS"/>
                <w:color w:val="000000" w:themeColor="text1"/>
                <w:highlight w:val="white"/>
              </w:rPr>
              <w:t>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მუხლის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თანახმად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rPr>
              <w:t>სახდელის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დადებისას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მხედველობაში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მიიღება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ჩადენილი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სამართალდარღვევის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ხასიათი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დამრღვევის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პიროვნება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მისი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ბრალის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ხარისხი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ქონებრივი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მდგომარეობა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პასუხისმგებლობის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შემამსუბუქებელი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დამამძიმებელი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გარემოებანი</w:t>
            </w:r>
            <w:r w:rsidRPr="009C0D18">
              <w:rPr>
                <w:rFonts w:ascii="Times New Roman" w:eastAsia="Times New Roman" w:hAnsi="Times New Roman" w:cs="Times New Roman"/>
                <w:color w:val="000000" w:themeColor="text1"/>
              </w:rPr>
              <w:t>.</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lastRenderedPageBreak/>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სამართალდარღვევათა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კოდექსის</w:t>
            </w:r>
            <w:r w:rsidRPr="009C0D18">
              <w:rPr>
                <w:rFonts w:ascii="Times New Roman" w:eastAsia="Times New Roman" w:hAnsi="Times New Roman" w:cs="Times New Roman"/>
                <w:color w:val="000000" w:themeColor="text1"/>
                <w:highlight w:val="white"/>
              </w:rPr>
              <w:t xml:space="preserve"> 174¹ </w:t>
            </w:r>
            <w:r w:rsidRPr="009C0D18">
              <w:rPr>
                <w:rFonts w:ascii="Arial Unicode MS" w:eastAsia="Arial Unicode MS" w:hAnsi="Arial Unicode MS" w:cs="Arial Unicode MS"/>
                <w:color w:val="000000" w:themeColor="text1"/>
                <w:highlight w:val="white"/>
              </w:rPr>
              <w:t>მუხლის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w:t>
            </w:r>
            <w:r w:rsidRPr="009C0D18">
              <w:rPr>
                <w:rFonts w:ascii="Times New Roman" w:eastAsia="Times New Roman" w:hAnsi="Times New Roman" w:cs="Times New Roman"/>
                <w:color w:val="000000" w:themeColor="text1"/>
                <w:highlight w:val="white"/>
              </w:rPr>
              <w:t xml:space="preserve">-5 </w:t>
            </w:r>
            <w:r w:rsidRPr="009C0D18">
              <w:rPr>
                <w:rFonts w:ascii="Arial Unicode MS" w:eastAsia="Arial Unicode MS" w:hAnsi="Arial Unicode MS" w:cs="Arial Unicode MS"/>
                <w:color w:val="000000" w:themeColor="text1"/>
                <w:highlight w:val="white"/>
              </w:rPr>
              <w:t>პუნქტი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არანაირი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ინდივიდუალიზაციის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საშუალებას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იძლევა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განსაზღვრულია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მხოლოდ</w:t>
            </w:r>
            <w:r w:rsidRPr="009C0D18">
              <w:rPr>
                <w:rFonts w:ascii="Times New Roman" w:eastAsia="Times New Roman" w:hAnsi="Times New Roman" w:cs="Times New Roman"/>
                <w:color w:val="000000" w:themeColor="text1"/>
                <w:highlight w:val="white"/>
              </w:rPr>
              <w:t xml:space="preserve"> 2 </w:t>
            </w:r>
            <w:r w:rsidRPr="009C0D18">
              <w:rPr>
                <w:rFonts w:ascii="Arial Unicode MS" w:eastAsia="Arial Unicode MS" w:hAnsi="Arial Unicode MS" w:cs="Arial Unicode MS"/>
                <w:color w:val="000000" w:themeColor="text1"/>
                <w:highlight w:val="white"/>
              </w:rPr>
              <w:t>სახის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სანქცია</w:t>
            </w:r>
            <w:r w:rsidRPr="009C0D18">
              <w:rPr>
                <w:rFonts w:ascii="Times New Roman" w:eastAsia="Times New Roman" w:hAnsi="Times New Roman" w:cs="Times New Roman"/>
                <w:color w:val="000000" w:themeColor="text1"/>
                <w:highlight w:val="white"/>
              </w:rPr>
              <w:t xml:space="preserve"> -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5000 </w:t>
            </w:r>
            <w:r w:rsidRPr="009C0D18">
              <w:rPr>
                <w:rFonts w:ascii="Arial Unicode MS" w:eastAsia="Arial Unicode MS" w:hAnsi="Arial Unicode MS" w:cs="Arial Unicode MS"/>
                <w:color w:val="000000" w:themeColor="text1"/>
                <w:highlight w:val="white"/>
              </w:rPr>
              <w:t>ლარიანი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ჯარიმა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w:t>
            </w:r>
            <w:r w:rsidRPr="009C0D18">
              <w:rPr>
                <w:rFonts w:ascii="Times New Roman" w:eastAsia="Times New Roman" w:hAnsi="Times New Roman" w:cs="Times New Roman"/>
                <w:color w:val="000000" w:themeColor="text1"/>
                <w:highlight w:val="white"/>
              </w:rPr>
              <w:t xml:space="preserve"> 15 </w:t>
            </w:r>
            <w:r w:rsidRPr="009C0D18">
              <w:rPr>
                <w:rFonts w:ascii="Arial Unicode MS" w:eastAsia="Arial Unicode MS" w:hAnsi="Arial Unicode MS" w:cs="Arial Unicode MS"/>
                <w:color w:val="000000" w:themeColor="text1"/>
                <w:highlight w:val="white"/>
              </w:rPr>
              <w:t>დღიანი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პატიმრობა</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რაც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შეეხება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სანქციის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სიმკაცრეს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მხედველობაშია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მისაღები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უნდა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გავითვალისწინოთ</w:t>
            </w:r>
            <w:r w:rsidRPr="009C0D18">
              <w:rPr>
                <w:rFonts w:ascii="Times New Roman" w:eastAsia="Times New Roman" w:hAnsi="Times New Roman" w:cs="Times New Roman"/>
                <w:color w:val="000000" w:themeColor="text1"/>
                <w:highlight w:val="white"/>
              </w:rPr>
              <w:t xml:space="preserve"> 5000 </w:t>
            </w:r>
            <w:r w:rsidRPr="009C0D18">
              <w:rPr>
                <w:rFonts w:ascii="Arial Unicode MS" w:eastAsia="Arial Unicode MS" w:hAnsi="Arial Unicode MS" w:cs="Arial Unicode MS"/>
                <w:color w:val="000000" w:themeColor="text1"/>
                <w:highlight w:val="white"/>
              </w:rPr>
              <w:t>ლარიანი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ჯარიმა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ფინანსურ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ტვირთს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წარმოადგენს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საქართველოს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მოსახლეობის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უმრავლესობისთვის</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საქართველოში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საარსებო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შემწეობას</w:t>
            </w:r>
            <w:r w:rsidRPr="009C0D18">
              <w:rPr>
                <w:rFonts w:ascii="Times New Roman" w:eastAsia="Times New Roman" w:hAnsi="Times New Roman" w:cs="Times New Roman"/>
                <w:color w:val="000000" w:themeColor="text1"/>
                <w:highlight w:val="white"/>
              </w:rPr>
              <w:t xml:space="preserve"> 466 506 </w:t>
            </w:r>
            <w:r w:rsidRPr="009C0D18">
              <w:rPr>
                <w:rFonts w:ascii="Arial Unicode MS" w:eastAsia="Arial Unicode MS" w:hAnsi="Arial Unicode MS" w:cs="Arial Unicode MS"/>
                <w:color w:val="000000" w:themeColor="text1"/>
                <w:highlight w:val="white"/>
              </w:rPr>
              <w:t>ადამიანი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იღებს</w:t>
            </w:r>
            <w:r w:rsidRPr="009C0D18">
              <w:rPr>
                <w:rFonts w:ascii="Merriweather" w:eastAsia="Merriweather" w:hAnsi="Merriweather" w:cs="Merriweather"/>
                <w:color w:val="000000" w:themeColor="text1"/>
                <w:highlight w:val="white"/>
                <w:vertAlign w:val="superscript"/>
              </w:rPr>
              <w:footnoteReference w:id="13"/>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ხოლო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დაქირავებით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დასაქმებულთა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საშუალო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ნომინალური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ხელფასი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არის</w:t>
            </w:r>
            <w:r w:rsidRPr="009C0D18">
              <w:rPr>
                <w:rFonts w:ascii="Times New Roman" w:eastAsia="Times New Roman" w:hAnsi="Times New Roman" w:cs="Times New Roman"/>
                <w:color w:val="000000" w:themeColor="text1"/>
                <w:highlight w:val="white"/>
              </w:rPr>
              <w:t xml:space="preserve"> 2170 </w:t>
            </w:r>
            <w:r w:rsidRPr="009C0D18">
              <w:rPr>
                <w:rFonts w:ascii="Arial Unicode MS" w:eastAsia="Arial Unicode MS" w:hAnsi="Arial Unicode MS" w:cs="Arial Unicode MS"/>
                <w:color w:val="000000" w:themeColor="text1"/>
                <w:highlight w:val="white"/>
              </w:rPr>
              <w:t>ლარი.</w:t>
            </w:r>
            <w:r w:rsidRPr="009C0D18">
              <w:rPr>
                <w:rFonts w:ascii="Merriweather" w:eastAsia="Merriweather" w:hAnsi="Merriweather" w:cs="Merriweather"/>
                <w:color w:val="000000" w:themeColor="text1"/>
                <w:highlight w:val="white"/>
                <w:vertAlign w:val="superscript"/>
              </w:rPr>
              <w:footnoteReference w:id="14"/>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სანქციის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სიმძიმის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შეფასებისთვის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მნიშვნელოვანია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მისი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შედარება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სამართალდარღვევათა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კოდექსში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გათვალისწინებულ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დარღვევებთან</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შედარებისთვის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სამართალდარღვევათა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კოდექსი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წყლის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ობიექტის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თვითნებური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დაკავება</w:t>
            </w:r>
            <w:r w:rsidRPr="009C0D18">
              <w:rPr>
                <w:rFonts w:ascii="Times New Roman" w:eastAsia="Times New Roman" w:hAnsi="Times New Roman" w:cs="Times New Roman"/>
                <w:color w:val="000000" w:themeColor="text1"/>
                <w:highlight w:val="white"/>
              </w:rPr>
              <w:t xml:space="preserve"> – </w:t>
            </w:r>
            <w:r w:rsidRPr="009C0D18">
              <w:rPr>
                <w:rFonts w:ascii="Arial Unicode MS" w:eastAsia="Arial Unicode MS" w:hAnsi="Arial Unicode MS" w:cs="Arial Unicode MS"/>
                <w:color w:val="000000" w:themeColor="text1"/>
                <w:highlight w:val="white"/>
              </w:rPr>
              <w:t>იწვევს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დაჯარიმებას</w:t>
            </w:r>
            <w:r w:rsidRPr="009C0D18">
              <w:rPr>
                <w:rFonts w:ascii="Times New Roman" w:eastAsia="Times New Roman" w:hAnsi="Times New Roman" w:cs="Times New Roman"/>
                <w:color w:val="000000" w:themeColor="text1"/>
                <w:highlight w:val="white"/>
              </w:rPr>
              <w:t xml:space="preserve"> 200 </w:t>
            </w:r>
            <w:r w:rsidRPr="009C0D18">
              <w:rPr>
                <w:rFonts w:ascii="Arial Unicode MS" w:eastAsia="Arial Unicode MS" w:hAnsi="Arial Unicode MS" w:cs="Arial Unicode MS"/>
                <w:color w:val="000000" w:themeColor="text1"/>
                <w:highlight w:val="white"/>
              </w:rPr>
              <w:t>ლარის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ოდენობით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მუხ</w:t>
            </w:r>
            <w:r w:rsidRPr="009C0D18">
              <w:rPr>
                <w:rFonts w:ascii="Times New Roman" w:eastAsia="Times New Roman" w:hAnsi="Times New Roman" w:cs="Times New Roman"/>
                <w:color w:val="000000" w:themeColor="text1"/>
                <w:highlight w:val="white"/>
              </w:rPr>
              <w:t>. 48), </w:t>
            </w:r>
          </w:p>
          <w:p w:rsidR="002D3215" w:rsidRPr="009C0D18" w:rsidRDefault="000A68FB">
            <w:pP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წყლის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ობიექტების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დაბინძურება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დანაგვიანება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წყლის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ობიექტებში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ნარჩენებისა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სხვაგვარი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ნაყარის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ჩაყრა</w:t>
            </w:r>
            <w:r w:rsidRPr="009C0D18">
              <w:rPr>
                <w:rFonts w:ascii="Times New Roman" w:eastAsia="Times New Roman" w:hAnsi="Times New Roman" w:cs="Times New Roman"/>
                <w:color w:val="000000" w:themeColor="text1"/>
              </w:rPr>
              <w:t xml:space="preserve">, – </w:t>
            </w:r>
            <w:r w:rsidRPr="009C0D18">
              <w:rPr>
                <w:rFonts w:ascii="Arial Unicode MS" w:eastAsia="Arial Unicode MS" w:hAnsi="Arial Unicode MS" w:cs="Arial Unicode MS"/>
                <w:color w:val="000000" w:themeColor="text1"/>
              </w:rPr>
              <w:t>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ორასიდან</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სამას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ლარამდე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w:t>
            </w:r>
            <w:r w:rsidRPr="009C0D18">
              <w:rPr>
                <w:rFonts w:ascii="Times New Roman" w:eastAsia="Times New Roman" w:hAnsi="Times New Roman" w:cs="Times New Roman"/>
                <w:color w:val="000000" w:themeColor="text1"/>
              </w:rPr>
              <w:t>. 58)</w:t>
            </w:r>
          </w:p>
          <w:p w:rsidR="002D3215" w:rsidRPr="009C0D18" w:rsidRDefault="002D3215">
            <w:pPr>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სატრანსპორტო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მართვა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მიერ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რომელსაც</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აქვს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სატრანსპორტო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საშუალების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მართვის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უფლება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დაჯარიმებას</w:t>
            </w:r>
            <w:r w:rsidRPr="009C0D18">
              <w:rPr>
                <w:rFonts w:ascii="Times New Roman" w:eastAsia="Times New Roman" w:hAnsi="Times New Roman" w:cs="Times New Roman"/>
                <w:color w:val="000000" w:themeColor="text1"/>
              </w:rPr>
              <w:t xml:space="preserve"> 500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w:t>
            </w:r>
          </w:p>
          <w:p w:rsidR="002D3215" w:rsidRPr="009C0D18" w:rsidRDefault="002D3215">
            <w:pPr>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rPr>
              <w:t>მატარებლის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თვითნებური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გაჩერება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იწვევს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პირის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დაჯარიმებას</w:t>
            </w:r>
            <w:r w:rsidRPr="009C0D18">
              <w:rPr>
                <w:rFonts w:ascii="Times New Roman" w:eastAsia="Times New Roman" w:hAnsi="Times New Roman" w:cs="Times New Roman"/>
                <w:color w:val="000000" w:themeColor="text1"/>
              </w:rPr>
              <w:t xml:space="preserve"> 40 </w:t>
            </w:r>
            <w:r w:rsidRPr="009C0D18">
              <w:rPr>
                <w:rFonts w:ascii="Arial Unicode MS" w:eastAsia="Arial Unicode MS" w:hAnsi="Arial Unicode MS" w:cs="Arial Unicode MS"/>
                <w:color w:val="000000" w:themeColor="text1"/>
              </w:rPr>
              <w:t>ლარის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ოდენობით</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w:t>
            </w:r>
            <w:r w:rsidRPr="009C0D18">
              <w:rPr>
                <w:rFonts w:ascii="Times New Roman" w:eastAsia="Times New Roman" w:hAnsi="Times New Roman" w:cs="Times New Roman"/>
                <w:color w:val="000000" w:themeColor="text1"/>
              </w:rPr>
              <w:t>. 107)</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საკონსტიტუციო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სასამართლოს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გადაწყვეტილებაში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ბექა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წიქარიშვილი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საქართველოს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პარლამენტის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წინააღმდეგ</w:t>
            </w:r>
            <w:r w:rsidRPr="009C0D18">
              <w:rPr>
                <w:rFonts w:ascii="Times New Roman" w:eastAsia="Times New Roman" w:hAnsi="Times New Roman" w:cs="Times New Roman"/>
                <w:color w:val="000000" w:themeColor="text1"/>
                <w:highlight w:val="white"/>
              </w:rPr>
              <w:t xml:space="preserve"> N1/4/592 (2015 </w:t>
            </w:r>
            <w:r w:rsidRPr="009C0D18">
              <w:rPr>
                <w:rFonts w:ascii="Arial Unicode MS" w:eastAsia="Arial Unicode MS" w:hAnsi="Arial Unicode MS" w:cs="Arial Unicode MS"/>
                <w:color w:val="000000" w:themeColor="text1"/>
                <w:highlight w:val="white"/>
              </w:rPr>
              <w:t>წლის</w:t>
            </w:r>
            <w:r w:rsidRPr="009C0D18">
              <w:rPr>
                <w:rFonts w:ascii="Times New Roman" w:eastAsia="Times New Roman" w:hAnsi="Times New Roman" w:cs="Times New Roman"/>
                <w:color w:val="000000" w:themeColor="text1"/>
                <w:highlight w:val="white"/>
              </w:rPr>
              <w:t xml:space="preserve"> 24 </w:t>
            </w:r>
            <w:r w:rsidRPr="009C0D18">
              <w:rPr>
                <w:rFonts w:ascii="Arial Unicode MS" w:eastAsia="Arial Unicode MS" w:hAnsi="Arial Unicode MS" w:cs="Arial Unicode MS"/>
                <w:color w:val="000000" w:themeColor="text1"/>
                <w:highlight w:val="white"/>
              </w:rPr>
              <w:t>ოქტომბერი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სასამართლომ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ასევე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მიუთითა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შემდეგი</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სახელმწიფომ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შეიძლება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პირი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დასაჯოს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მხოლოდ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ჩაიდინოს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იგივე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ქმედება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შეიძლება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პირის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დასჯის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იყოს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მხოლოდ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მხოლოდ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პირების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დაშინება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გაფრთხილება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გზით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სხვების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მიერ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იგივე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დანაშულის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ჩადენის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რისკების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მინიმალიზება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ანუ</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მხოლოდ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ზოგადი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პრევენცია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ვერ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იქნება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საკმარისი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თვითკმარი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პირის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მიმართ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ნებისმიერი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სასჯელის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გამოყენებისთვის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რადგან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ასეთი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მიდგომით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ადამიანი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გადაიქცევა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სახელმწიფოს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ხელში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lastRenderedPageBreak/>
              <w:t>საზოგადოების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დაშინების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იარაღად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იძულების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ღონისძიების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გამოყენების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მუქარის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შიშველ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ობიექტად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გამორიცხულია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დაუშვებელი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სამართლებრივ</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სახელმწიფოში</w:t>
            </w:r>
            <w:r w:rsidRPr="009C0D18">
              <w:rPr>
                <w:rFonts w:ascii="Times New Roman" w:eastAsia="Times New Roman" w:hAnsi="Times New Roman" w:cs="Times New Roman"/>
                <w:color w:val="000000" w:themeColor="text1"/>
                <w:highlight w:val="white"/>
              </w:rPr>
              <w:t>". </w:t>
            </w:r>
          </w:p>
          <w:p w:rsidR="002D3215" w:rsidRPr="009C0D18" w:rsidRDefault="000A68FB">
            <w:pPr>
              <w:spacing w:before="240" w:after="240"/>
              <w:ind w:right="300"/>
              <w:jc w:val="both"/>
              <w:rPr>
                <w:rFonts w:ascii="Times New Roman" w:eastAsia="Times New Roman" w:hAnsi="Times New Roman" w:cs="Times New Roman"/>
                <w:color w:val="000000" w:themeColor="text1"/>
              </w:rPr>
            </w:pPr>
            <w:r w:rsidRPr="009C0D18">
              <w:rPr>
                <w:rFonts w:ascii="Arial Unicode MS" w:eastAsia="Arial Unicode MS" w:hAnsi="Arial Unicode MS" w:cs="Arial Unicode MS"/>
                <w:color w:val="000000" w:themeColor="text1"/>
                <w:highlight w:val="white"/>
              </w:rPr>
              <w:t>მიგვაჩნია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სამართალდარღვევათა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კოდექსის</w:t>
            </w:r>
            <w:r w:rsidRPr="009C0D18">
              <w:rPr>
                <w:rFonts w:ascii="Times New Roman" w:eastAsia="Times New Roman" w:hAnsi="Times New Roman" w:cs="Times New Roman"/>
                <w:color w:val="000000" w:themeColor="text1"/>
                <w:highlight w:val="white"/>
              </w:rPr>
              <w:t xml:space="preserve"> 174¹ </w:t>
            </w:r>
            <w:r w:rsidRPr="009C0D18">
              <w:rPr>
                <w:rFonts w:ascii="Arial Unicode MS" w:eastAsia="Arial Unicode MS" w:hAnsi="Arial Unicode MS" w:cs="Arial Unicode MS"/>
                <w:color w:val="000000" w:themeColor="text1"/>
                <w:highlight w:val="white"/>
              </w:rPr>
              <w:t>მუხლში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განსაზღვრული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სანქციები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მიზნად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ისახავს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სწორედ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ადამიანების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დაშინებას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მათ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არ</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განახორციელონ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შეკრების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კონსტიტუციური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უფლება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სწორედ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ამას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მოწმობს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აღნიშნული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სახდელების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გამოყენების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პრაქტიკა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მხედველობაში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მიღებით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2024 </w:t>
            </w:r>
            <w:r w:rsidRPr="009C0D18">
              <w:rPr>
                <w:rFonts w:ascii="Arial Unicode MS" w:eastAsia="Arial Unicode MS" w:hAnsi="Arial Unicode MS" w:cs="Arial Unicode MS"/>
                <w:color w:val="000000" w:themeColor="text1"/>
                <w:highlight w:val="white"/>
              </w:rPr>
              <w:t>წლის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ნოემბრის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თვიდან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მოყოლებული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საპროტესტო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აქციებში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მონაწილეობდა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ასეულობით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ათასი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ადამიანი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ადმინისტრაციულ</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სახდელებს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იყენებენ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შერჩევით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პირთა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მიმართ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რომლებიც</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განგრძობითად</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მონაწილეობენ</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საპროტესტო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აქციებში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ასევე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ცნობილი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ადამიანების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მიმართ</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რათა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ფართო</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საზოგადოებამდე</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მიტანილი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იქნას</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მესიჯი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რომ</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პროტესტში</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მონაწილეობა</w:t>
            </w:r>
            <w:r w:rsidRPr="009C0D18">
              <w:rPr>
                <w:rFonts w:ascii="Times New Roman" w:eastAsia="Times New Roman" w:hAnsi="Times New Roman" w:cs="Times New Roman"/>
                <w:color w:val="000000" w:themeColor="text1"/>
                <w:highlight w:val="white"/>
              </w:rPr>
              <w:t xml:space="preserve"> </w:t>
            </w:r>
            <w:r w:rsidRPr="009C0D18">
              <w:rPr>
                <w:rFonts w:ascii="Arial Unicode MS" w:eastAsia="Arial Unicode MS" w:hAnsi="Arial Unicode MS" w:cs="Arial Unicode MS"/>
                <w:color w:val="000000" w:themeColor="text1"/>
                <w:highlight w:val="white"/>
              </w:rPr>
              <w:t>დასჯადია</w:t>
            </w:r>
            <w:r w:rsidRPr="009C0D18">
              <w:rPr>
                <w:rFonts w:ascii="Times New Roman" w:eastAsia="Times New Roman" w:hAnsi="Times New Roman" w:cs="Times New Roman"/>
                <w:color w:val="000000" w:themeColor="text1"/>
                <w:highlight w:val="white"/>
              </w:rPr>
              <w:t>.</w:t>
            </w:r>
          </w:p>
          <w:p w:rsidR="002D3215" w:rsidRPr="009C0D18" w:rsidRDefault="000A68FB">
            <w:pPr>
              <w:pStyle w:val="2"/>
              <w:outlineLvl w:val="1"/>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4 .</w:t>
            </w: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ნორმები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კონსტიტუციის</w:t>
            </w:r>
            <w:r w:rsidRPr="009C0D18">
              <w:rPr>
                <w:rFonts w:ascii="Times New Roman" w:eastAsia="Times New Roman" w:hAnsi="Times New Roman" w:cs="Times New Roman"/>
                <w:color w:val="000000" w:themeColor="text1"/>
              </w:rPr>
              <w:t xml:space="preserve"> 21-</w:t>
            </w:r>
            <w:r w:rsidRPr="009C0D18">
              <w:rPr>
                <w:rFonts w:ascii="Arial Unicode MS" w:eastAsia="Arial Unicode MS" w:hAnsi="Arial Unicode MS" w:cs="Arial Unicode MS"/>
                <w:color w:val="000000" w:themeColor="text1"/>
              </w:rPr>
              <w:t>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მუხლის ჭრილში</w:t>
            </w:r>
          </w:p>
          <w:p w:rsidR="002D3215" w:rsidRPr="009C0D18" w:rsidRDefault="002D3215">
            <w:pPr>
              <w:jc w:val="both"/>
              <w:rPr>
                <w:rFonts w:ascii="Merriweather" w:eastAsia="Merriweather" w:hAnsi="Merriweather" w:cs="Merriweather"/>
                <w:b/>
                <w:bCs/>
                <w:color w:val="000000" w:themeColor="text1"/>
              </w:rPr>
            </w:pP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საქართველოს კონსტიტუციის 21-ე მუხლით დაცული უფლება, შეკრების თავისუფლება, დემოკრატიული, სამართლის უზენაესობითა და სამართლებრივი სახელმწიფოს პრინციპებით მართული საზოგადოების ერთ-ერთ მთავარ საფუძველს წარმოადგენს. როგორც საკონსტიტუციო სასამართლო აღნიშნავს: „... შეკრების თავისუფლების ეფექტიანი რეალიზება ფუნდამენტური მნიშვნელობის მატარებელია დემოკრატიული საზოგადოების ფორმირებისა და სიცოცხლისუნარიანობისათვის, რამდენადაც ეს არის ინსტრუმენტული უფლება, რომელიც ამ უფლებით მოსარგებლე პირს (მისი პოლიტიკური, სოციალური, არტისტული, რელიგიური და ა.შ.) გრძნობებისა და შეხედულებების საჯაროდ გამოხატვის შესაძლებლობას აძლევს. იმავდროულად, ამ უფლებით თანაბარი და სრულფასოვანი სარგებლობის შესაძლებლობა საზოგადოების ღიაობის და დემოკრატიულობის ხარისხს განსაზღვრავს.”</w:t>
            </w:r>
            <w:r w:rsidRPr="009C0D18">
              <w:rPr>
                <w:rFonts w:ascii="Merriweather" w:eastAsia="Merriweather" w:hAnsi="Merriweather" w:cs="Merriweather"/>
                <w:color w:val="000000" w:themeColor="text1"/>
                <w:sz w:val="24"/>
                <w:szCs w:val="24"/>
                <w:vertAlign w:val="superscript"/>
              </w:rPr>
              <w:footnoteReference w:id="15"/>
            </w:r>
            <w:r w:rsidRPr="009C0D18">
              <w:rPr>
                <w:rFonts w:ascii="Merriweather" w:eastAsia="Merriweather" w:hAnsi="Merriweather" w:cs="Merriweather"/>
                <w:color w:val="000000" w:themeColor="text1"/>
                <w:sz w:val="24"/>
                <w:szCs w:val="24"/>
              </w:rPr>
              <w:t xml:space="preserve">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შეკრების თავისუფლება განსაკუთრებული მნიშვნელობისაა ქართულ კონტექსტში, როგორც ისტორიული, ისე თანამედროვე თვალსაზრისით, რამდენადაც ამ უფლების რეალიზებით ხდებოდა იმ უმნიშვნელოვანესი ღირებულებების დაცვა, რომლებიც თვითმყოფადობისა თუ სახელმწიფოებრიობის შენარჩუნებასა თუ განმტკიცებას უზრუნველყოფდა. საკონსტიტუციო სასამართლო სწორედ ამაზე ამახვილებს ყურადღებას, </w:t>
            </w:r>
            <w:r w:rsidRPr="009C0D18">
              <w:rPr>
                <w:rFonts w:ascii="Arial Unicode MS" w:eastAsia="Arial Unicode MS" w:hAnsi="Arial Unicode MS" w:cs="Arial Unicode MS"/>
                <w:color w:val="000000" w:themeColor="text1"/>
                <w:sz w:val="24"/>
                <w:szCs w:val="24"/>
              </w:rPr>
              <w:lastRenderedPageBreak/>
              <w:t>როდესაც ამბობს: „საქართველოს ისტორიული გამოცდილება ცხადყოფს, რომ, საზოგადოდ, შეკრებისა და მანიფესტაციების უფლება ქართული საზოგადოებისთვის განსაკუთრებული მნიშვნელობისაა. ათწლეულების მანძილზე სწორედ საჯარო შეკრება წარმოადგენდა სახელმწიფოებრივი ინტერესების დაცვის, საზოგადოებრივი აზრის ფორმირების, პროტესტის გამოხატვის, იდეების, ღირებულებების გარშემო გაერთიანებისა თუ ბრძოლის ეფექტიან და ძალზე ხშირად გამოყენებულ საშუალებას.“</w:t>
            </w:r>
            <w:r w:rsidRPr="009C0D18">
              <w:rPr>
                <w:rFonts w:ascii="Merriweather" w:eastAsia="Merriweather" w:hAnsi="Merriweather" w:cs="Merriweather"/>
                <w:color w:val="000000" w:themeColor="text1"/>
                <w:sz w:val="24"/>
                <w:szCs w:val="24"/>
                <w:vertAlign w:val="superscript"/>
              </w:rPr>
              <w:footnoteReference w:id="16"/>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შეკრების თავისუფლების მნიშვნელობას ასევე ხაზს უსვამს სისხლის სამართლის კოდექსის 161-ე მუხლი, რომლის პირველი ნაწილის თანახმად, „შეკრების ან მანიფესტაციის მოწყობის ან/და მასში მონაწილეობის უფლების განხორციელებისათვის უკანონოდ ხელის შეშლა ძალადობით, ძალადობის მუქარით ან სამსახურებრივი მდგომარეობის გამოყენებით, – ისჯება ჯარიმით ან გამასწორებელი სამუშაოთი ვადით ერთ წლამდე ან/და თავისუფლების აღკვეთით ვადით ორ წლამდე, თანამდებობის დაკავების ან საქმიანობის უფლების ჩამორთმევით ვადით სამ წლამდე.“</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შეკრებისა და მანიფესტაციის გაუმართლებელი შეზღუდვა არა მხოლოდ იმ კონკრეტული საჭიროებისა თუ მასზე საჯარო კომუნიკაციის დათრგუნვას იწვევს, რომლის გამოც შეკრება ან მანიფესტაცია იმართება, არამედ გავლენას ახდენს საზოგადოებაში მიმდინარე სოციალურ, კულტურულ, ეკონომიკურ, პოლიტიკურ პროცესებზე: „შეკრება ან მანიფესტაცია, ჯანსაღი პოლიტიკური და საზოგადოებრივი პროცესის შემადგენელი ნაწილი, მის ერთ-ერთ მახასიათებელია.“</w:t>
            </w:r>
            <w:r w:rsidRPr="009C0D18">
              <w:rPr>
                <w:rFonts w:ascii="Merriweather" w:eastAsia="Merriweather" w:hAnsi="Merriweather" w:cs="Merriweather"/>
                <w:color w:val="000000" w:themeColor="text1"/>
                <w:sz w:val="24"/>
                <w:szCs w:val="24"/>
                <w:vertAlign w:val="superscript"/>
              </w:rPr>
              <w:footnoteReference w:id="17"/>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შეკრების თავისუფლების უფლების რეალიზება არ არის აბსოლუტური ხასიათის და იგი ხშირად წინააღმდეგობაში მოდის სხვათა უფლებებთან ან საზოგადოების ინტერესებთან, როგორიცაა, მაგალითად, საზოგადოებრივი წესრიგი და უსაფრთხოება. საგზაო მოძრაობის შეფერხებით, შესაძლოა, შეიზღუდოს სხვათა უფლება თავისუფალ მიმოსვლაზე, პროფესიული საქმიანობის განხორციელებაზე და ასეთი უთანხმოების შემთხვევაში სახელმწიფო უფლებამოსილია, ჩაერიოს უფლების განხორციელებაში, თუმცა ჩარევა უნდა იყოს გონივრული და მიზნის პროპორციული.</w:t>
            </w:r>
            <w:r w:rsidRPr="009C0D18">
              <w:rPr>
                <w:rFonts w:ascii="Merriweather" w:eastAsia="Merriweather" w:hAnsi="Merriweather" w:cs="Merriweather"/>
                <w:color w:val="000000" w:themeColor="text1"/>
                <w:sz w:val="24"/>
                <w:szCs w:val="24"/>
                <w:vertAlign w:val="superscript"/>
              </w:rPr>
              <w:footnoteReference w:id="18"/>
            </w:r>
            <w:r w:rsidRPr="009C0D18">
              <w:rPr>
                <w:rFonts w:ascii="Arial Unicode MS" w:eastAsia="Arial Unicode MS" w:hAnsi="Arial Unicode MS" w:cs="Arial Unicode MS"/>
                <w:color w:val="000000" w:themeColor="text1"/>
                <w:sz w:val="24"/>
                <w:szCs w:val="24"/>
              </w:rPr>
              <w:t xml:space="preserve"> როგორც საკონსტიტუციო </w:t>
            </w:r>
            <w:r w:rsidRPr="009C0D18">
              <w:rPr>
                <w:rFonts w:ascii="Arial Unicode MS" w:eastAsia="Arial Unicode MS" w:hAnsi="Arial Unicode MS" w:cs="Arial Unicode MS"/>
                <w:color w:val="000000" w:themeColor="text1"/>
                <w:sz w:val="24"/>
                <w:szCs w:val="24"/>
              </w:rPr>
              <w:lastRenderedPageBreak/>
              <w:t>სასამართლო აღნიშნავს: „იმის გათვალისწინებით, რომ ბუნებრივად არსებობს რისკი, ხელისუფლებამ შეკრების თავისუფლება შეზღუდოს, რათა თავიდან აირიდოს არაპოპულარული აზრის, კრიტიკის საჯაროდ გაჟღერება, დათრგუნოს მისი მოწინააღმდეგეებისა თუ უმცირესობების ხმა, აუცილებელია უფლების მზღუდავი ნებისმიერი რეგულირების მკაცრი კონსტიტუციური კონტროლი. სხვა უფლებების მსგავსად, შეკრებისა და მანიფესტაციის თავისუფლების ძირითადი უფლების შეზღუდვა მარტოოდენ თანაზომიერების პრინციპის განუხრელი დაცვითაა შესაძლებელი.“</w:t>
            </w:r>
            <w:r w:rsidRPr="009C0D18">
              <w:rPr>
                <w:rFonts w:ascii="Merriweather" w:eastAsia="Merriweather" w:hAnsi="Merriweather" w:cs="Merriweather"/>
                <w:color w:val="000000" w:themeColor="text1"/>
                <w:sz w:val="24"/>
                <w:szCs w:val="24"/>
                <w:vertAlign w:val="superscript"/>
              </w:rPr>
              <w:footnoteReference w:id="19"/>
            </w:r>
          </w:p>
          <w:p w:rsidR="00570A8F" w:rsidRPr="009C0D18" w:rsidRDefault="00570A8F" w:rsidP="00570A8F">
            <w:pPr>
              <w:ind w:firstLine="720"/>
              <w:jc w:val="both"/>
              <w:rPr>
                <w:rFonts w:ascii="Sylfaen" w:eastAsia="Arial Unicode MS" w:hAnsi="Sylfaen" w:cs="Arial Unicode MS"/>
                <w:color w:val="000000" w:themeColor="text1"/>
                <w:sz w:val="24"/>
                <w:szCs w:val="24"/>
              </w:rPr>
            </w:pPr>
            <w:r w:rsidRPr="009C0D18">
              <w:rPr>
                <w:rFonts w:ascii="Sylfaen" w:eastAsia="Arial Unicode MS" w:hAnsi="Sylfaen" w:cs="Arial Unicode MS"/>
                <w:color w:val="000000" w:themeColor="text1"/>
                <w:sz w:val="24"/>
                <w:szCs w:val="24"/>
                <w:lang w:val="ka-GE"/>
              </w:rPr>
              <w:t>ერთის მხრივ, საქართველოს კონსტიტუციის 21-ე მუხლის პირველი პუნქტი ამბობს, რომ შეიძლება</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კანონით</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შეიძლება</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დაწესდეს</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ხელისუფლების</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წინასწარი</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გაფრთხილების</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აუცილებლობა</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თუ</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შეკრება</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ხალხის</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ან</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ტრანსპორტის</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სამოძრაო</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ადგილას</w:t>
            </w:r>
            <w:r w:rsidRPr="009C0D18">
              <w:rPr>
                <w:rFonts w:ascii="Arial Unicode MS" w:eastAsia="Arial Unicode MS" w:hAnsi="Arial Unicode MS" w:cs="Arial Unicode MS"/>
                <w:color w:val="000000" w:themeColor="text1"/>
                <w:sz w:val="24"/>
                <w:szCs w:val="24"/>
              </w:rPr>
              <w:t xml:space="preserve"> </w:t>
            </w:r>
            <w:r w:rsidRPr="009C0D18">
              <w:rPr>
                <w:rFonts w:ascii="Sylfaen" w:eastAsia="Arial Unicode MS" w:hAnsi="Sylfaen" w:cs="Sylfaen"/>
                <w:color w:val="000000" w:themeColor="text1"/>
                <w:sz w:val="24"/>
                <w:szCs w:val="24"/>
              </w:rPr>
              <w:t>იმართება</w:t>
            </w:r>
            <w:r w:rsidRPr="009C0D18">
              <w:rPr>
                <w:rFonts w:ascii="Arial Unicode MS" w:eastAsia="Arial Unicode MS" w:hAnsi="Arial Unicode MS" w:cs="Arial Unicode MS"/>
                <w:color w:val="000000" w:themeColor="text1"/>
                <w:sz w:val="24"/>
                <w:szCs w:val="24"/>
              </w:rPr>
              <w:t>.</w:t>
            </w:r>
          </w:p>
          <w:p w:rsidR="00570A8F" w:rsidRPr="009C0D18" w:rsidRDefault="00570A8F" w:rsidP="00570A8F">
            <w:pPr>
              <w:ind w:firstLine="720"/>
              <w:jc w:val="both"/>
              <w:rPr>
                <w:rFonts w:ascii="Sylfaen" w:eastAsia="Arial Unicode MS" w:hAnsi="Sylfaen" w:cs="Arial Unicode MS"/>
                <w:color w:val="000000" w:themeColor="text1"/>
                <w:sz w:val="24"/>
                <w:szCs w:val="24"/>
              </w:rPr>
            </w:pPr>
          </w:p>
          <w:p w:rsidR="002E2E6D" w:rsidRPr="009C0D18" w:rsidRDefault="00570A8F" w:rsidP="00570A8F">
            <w:pPr>
              <w:ind w:firstLine="720"/>
              <w:jc w:val="both"/>
              <w:rPr>
                <w:rFonts w:ascii="Sylfaen" w:eastAsia="Arial Unicode MS" w:hAnsi="Sylfaen" w:cs="Sylfaen"/>
                <w:color w:val="000000" w:themeColor="text1"/>
                <w:sz w:val="24"/>
                <w:szCs w:val="24"/>
                <w:lang w:val="ka-GE"/>
              </w:rPr>
            </w:pPr>
            <w:r w:rsidRPr="009C0D18">
              <w:rPr>
                <w:rFonts w:ascii="Sylfaen" w:eastAsia="Arial Unicode MS" w:hAnsi="Sylfaen" w:cs="Arial Unicode MS"/>
                <w:color w:val="000000" w:themeColor="text1"/>
                <w:sz w:val="24"/>
                <w:szCs w:val="24"/>
                <w:lang w:val="ka-GE"/>
              </w:rPr>
              <w:t xml:space="preserve">საქართველოს კონსტიტუციის 21-ე მუხლი არაფერს არ ამბობს შეკრებისა და მანიფესტაციის მონაწილეთა რაოდენობის თაობაზე. შეკრებებისა და მანიფესტაციების შესახებ საქართველოს კანონის </w:t>
            </w:r>
            <w:r w:rsidRPr="009C0D18">
              <w:rPr>
                <w:rFonts w:ascii="Sylfaen" w:eastAsia="Arial Unicode MS" w:hAnsi="Sylfaen" w:cs="Sylfaen"/>
                <w:color w:val="000000" w:themeColor="text1"/>
                <w:sz w:val="24"/>
                <w:szCs w:val="24"/>
              </w:rPr>
              <w:t>კანონის</w:t>
            </w:r>
            <w:r w:rsidRPr="009C0D18">
              <w:rPr>
                <w:rFonts w:ascii="Arial Unicode MS" w:eastAsia="Arial Unicode MS" w:hAnsi="Arial Unicode MS" w:cs="Arial Unicode MS"/>
                <w:color w:val="000000" w:themeColor="text1"/>
                <w:sz w:val="24"/>
                <w:szCs w:val="24"/>
              </w:rPr>
              <w:t xml:space="preserve"> 11¹ </w:t>
            </w:r>
            <w:r w:rsidRPr="009C0D18">
              <w:rPr>
                <w:rFonts w:ascii="Sylfaen" w:eastAsia="Arial Unicode MS" w:hAnsi="Sylfaen" w:cs="Sylfaen"/>
                <w:color w:val="000000" w:themeColor="text1"/>
                <w:sz w:val="24"/>
                <w:szCs w:val="24"/>
              </w:rPr>
              <w:t>მუხლის</w:t>
            </w:r>
            <w:r w:rsidRPr="009C0D18">
              <w:rPr>
                <w:rFonts w:ascii="Sylfaen" w:eastAsia="Arial Unicode MS" w:hAnsi="Sylfaen" w:cs="Sylfaen"/>
                <w:color w:val="000000" w:themeColor="text1"/>
                <w:sz w:val="24"/>
                <w:szCs w:val="24"/>
                <w:lang w:val="ka-GE"/>
              </w:rPr>
              <w:t xml:space="preserve"> მე-4 ნაწილის ის ნორმატიული შინაარსი, </w:t>
            </w:r>
            <w:r w:rsidR="00AD2934" w:rsidRPr="009C0D18">
              <w:rPr>
                <w:rFonts w:ascii="Sylfaen" w:eastAsia="Arial Unicode MS" w:hAnsi="Sylfaen" w:cs="Sylfaen"/>
                <w:color w:val="000000" w:themeColor="text1"/>
                <w:sz w:val="24"/>
                <w:szCs w:val="24"/>
                <w:lang w:val="ka-GE"/>
              </w:rPr>
              <w:t>რომლითაც გზის ჩაკეტვა შეიძლება მხოლოდ მაშინ, თუ შეკრების მონაწილეები გზის პირას</w:t>
            </w:r>
            <w:r w:rsidRPr="009C0D18">
              <w:rPr>
                <w:rFonts w:ascii="Sylfaen" w:eastAsia="Arial Unicode MS" w:hAnsi="Sylfaen" w:cs="Sylfaen"/>
                <w:color w:val="000000" w:themeColor="text1"/>
                <w:sz w:val="24"/>
                <w:szCs w:val="24"/>
                <w:lang w:val="ka-GE"/>
              </w:rPr>
              <w:t xml:space="preserve"> აღარ ეტევიან ეწინააღმდეგება კონსტიტუციის 21-ე მუხლის არსს. შესაძლოა დავუშვათ ისეთი შემთხვევა როდესაც შეიკრიბა მილიონი ადამიანი რომელსაც სურს პროტესტი გამოხატოს გზის სავალი ნაწილის ჩაკეტვით. თუ გზა გაშლილ მინდორში გადის მაშინ ისინი ვერასდროს ვერ შეძლებენ გზის ჩაკეტვას, ვინაიდან გაშლილ მინდორში ეტევა მილიონი ადამიანი.  </w:t>
            </w:r>
          </w:p>
          <w:p w:rsidR="009C0D18" w:rsidRPr="009C0D18" w:rsidRDefault="009C0D18" w:rsidP="00570A8F">
            <w:pPr>
              <w:ind w:firstLine="720"/>
              <w:jc w:val="both"/>
              <w:rPr>
                <w:rFonts w:ascii="Sylfaen" w:eastAsia="Arial Unicode MS" w:hAnsi="Sylfaen" w:cs="Arial Unicode MS"/>
                <w:color w:val="000000" w:themeColor="text1"/>
                <w:sz w:val="24"/>
                <w:szCs w:val="24"/>
              </w:rPr>
            </w:pPr>
          </w:p>
          <w:p w:rsidR="002D3215" w:rsidRPr="009C0D18" w:rsidRDefault="00570A8F">
            <w:pPr>
              <w:ind w:firstLine="720"/>
              <w:jc w:val="both"/>
              <w:rPr>
                <w:rFonts w:ascii="Merriweather" w:eastAsia="Merriweather" w:hAnsi="Merriweather" w:cs="Merriweather"/>
                <w:color w:val="000000" w:themeColor="text1"/>
                <w:sz w:val="24"/>
                <w:szCs w:val="24"/>
              </w:rPr>
            </w:pPr>
            <w:r w:rsidRPr="009C0D18">
              <w:rPr>
                <w:rFonts w:ascii="Sylfaen" w:eastAsia="Arial Unicode MS" w:hAnsi="Sylfaen" w:cs="Arial Unicode MS"/>
                <w:color w:val="000000" w:themeColor="text1"/>
                <w:sz w:val="24"/>
                <w:szCs w:val="24"/>
                <w:lang w:val="ka-GE"/>
              </w:rPr>
              <w:t xml:space="preserve">მეორე მხრივ, </w:t>
            </w:r>
            <w:r w:rsidR="000A68FB" w:rsidRPr="009C0D18">
              <w:rPr>
                <w:rFonts w:ascii="Arial Unicode MS" w:eastAsia="Arial Unicode MS" w:hAnsi="Arial Unicode MS" w:cs="Arial Unicode MS"/>
                <w:color w:val="000000" w:themeColor="text1"/>
                <w:sz w:val="24"/>
                <w:szCs w:val="24"/>
              </w:rPr>
              <w:t xml:space="preserve">„შეკრებებისა და მანიფესტაციების შესახებ“ საქართველოს კანონის 11¹ მუხლის მე-4 ნაწილის პირველი წინადადება იძლევა სხვადასხვანაირი წაკითხვის შესაძლებლობას, ხოლო იმ განმარტების შინაარსი, რომელსაც ბოლო თვეებში შსს და საერთო სასამართლო იძლევა, აცდენილია ნორმის კონსტიტუციური შინაარსისგან, იგი არ წარმოადგენს ნორმის ავთენტურ ნორმატიული შინაარსს. საკონსტიტუციო სასამართლო ნორმატიულ შინაარსთან დაკავშირებით ამბობს: „საერთო სასამართლოები, თავისი კომპეტენციის ფარგლებში, იღებენ საბოლოო გადაწყვეტილებას კანონის ნორმატიულ შინაარსთან, მის პრაქტიკულ გამოყენებასთან და, შესაბამისად, მის აღსრულებასთან </w:t>
            </w:r>
            <w:r w:rsidR="000A68FB" w:rsidRPr="009C0D18">
              <w:rPr>
                <w:rFonts w:ascii="Arial Unicode MS" w:eastAsia="Arial Unicode MS" w:hAnsi="Arial Unicode MS" w:cs="Arial Unicode MS"/>
                <w:color w:val="000000" w:themeColor="text1"/>
                <w:sz w:val="24"/>
                <w:szCs w:val="24"/>
              </w:rPr>
              <w:lastRenderedPageBreak/>
              <w:t>დაკავშირებით. აღნიშნულიდან გამომდინარე, საერთო სასამართლოების მიერ გაკეთებულ განმარტებას აქვს დიდი მნიშვნელობა კანონის რეალური შინაარსის განსაზღვრისას. საკონსტიტუციო სასამართლო, როგორც წესი, იღებს და იხილავს საკანონმდებლო ნორმას სწორედ იმ ნორმატიული შინაარსით, რომლითაც იგი საერთო სასამართლომ გამოიყენა.“</w:t>
            </w:r>
            <w:r w:rsidR="000A68FB" w:rsidRPr="009C0D18">
              <w:rPr>
                <w:rFonts w:ascii="Merriweather" w:eastAsia="Merriweather" w:hAnsi="Merriweather" w:cs="Merriweather"/>
                <w:color w:val="000000" w:themeColor="text1"/>
                <w:sz w:val="24"/>
                <w:szCs w:val="24"/>
                <w:vertAlign w:val="superscript"/>
              </w:rPr>
              <w:footnoteReference w:id="20"/>
            </w:r>
          </w:p>
          <w:p w:rsidR="00223A0C" w:rsidRDefault="000A68FB">
            <w:pPr>
              <w:ind w:firstLine="720"/>
              <w:jc w:val="both"/>
              <w:rPr>
                <w:rFonts w:ascii="Sylfaen" w:eastAsia="Arial Unicode MS" w:hAnsi="Sylfaen" w:cs="Arial Unicode MS"/>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კანონის ნორმაში გამოყენებული სიტყვები „ხელოვნური“ და „თუ ამას არ მოითხოვს ... რაოდენობა“ წარმოადგენს წმინდა შეფასებით და არა დესკრიფციულ, ობიექტურად დათვლად კატეგორიებს. ამდენად, შესაძლებელია აღნიშნული სიტყვების ძალზე ფართო ინტერპრეტაცია, რომელიც სამართალაღმასრულებლისა თუ სამართალშემფარდებლის მიერ ნორმის ბოროტად გამოყენების შესაძლებლობას ზრდის.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დავეთანხმებით ადამიანის უფლებათა ევროპული სასამართლოს მსჯელობას, რომ მე-11 მუხლის კონტექსტში კანონების აბსოლუტური სიზუსტით ფორმულირების მიღწევა შეუძლებელია, განსაკუთრებით კი ისეთ სფეროებში, სადაც სიტუაცია საზოგადოებაში გაბატონებული შეხედულებების მიხედვით იცვლება.</w:t>
            </w:r>
            <w:r w:rsidRPr="009C0D18">
              <w:rPr>
                <w:rFonts w:ascii="Merriweather" w:eastAsia="Merriweather" w:hAnsi="Merriweather" w:cs="Merriweather"/>
                <w:color w:val="000000" w:themeColor="text1"/>
                <w:sz w:val="24"/>
                <w:szCs w:val="24"/>
                <w:vertAlign w:val="superscript"/>
              </w:rPr>
              <w:footnoteReference w:id="21"/>
            </w:r>
            <w:r w:rsidRPr="009C0D18">
              <w:rPr>
                <w:rFonts w:ascii="Arial Unicode MS" w:eastAsia="Arial Unicode MS" w:hAnsi="Arial Unicode MS" w:cs="Arial Unicode MS"/>
                <w:color w:val="000000" w:themeColor="text1"/>
                <w:sz w:val="24"/>
                <w:szCs w:val="24"/>
              </w:rPr>
              <w:t xml:space="preserve"> ამავე შინაარსს იმეორებს საქართველოს საკონსტიტუციო სასამართლო: „ზოგადად, კანონმდებელს მოეთხოვება, რაც შეიძლება კონკრეტულად და ცხადად მოახდინოს ნებისმიერი უფლების შეზღუდვის რეგლამენტაცია, თუმცა ეს, რა თქმა უნდა, არ გამორიცხავს ზოგადი ნორმების არსებობის საჭიროებას. ადამიანთა ყოფა-ცხოვრების დინამიკურმა ხასიათმა შეიძლება განაპირობოს ახალი, წინასწარ განუჭვრეტადი საფრთხის წარმოშობა ან გააქროს გარკვეული რისკები, რომლებიც წარსულში არსებობდა.“</w:t>
            </w:r>
            <w:r w:rsidRPr="009C0D18">
              <w:rPr>
                <w:rFonts w:ascii="Merriweather" w:eastAsia="Merriweather" w:hAnsi="Merriweather" w:cs="Merriweather"/>
                <w:color w:val="000000" w:themeColor="text1"/>
                <w:sz w:val="24"/>
                <w:szCs w:val="24"/>
                <w:vertAlign w:val="superscript"/>
              </w:rPr>
              <w:footnoteReference w:id="22"/>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კანონი გარდაუვლადაა ისეთი ტერმინებით ფორმულირებული, რომლებიც მეტ-ნაკლებად ბუნდოვანია და რომელთა ინტერპრეტაციასა და გამოყენებას მათი პრაქტიკული განხორციელება განსაზღვრავს.</w:t>
            </w:r>
            <w:r w:rsidRPr="009C0D18">
              <w:rPr>
                <w:rFonts w:ascii="Merriweather" w:eastAsia="Merriweather" w:hAnsi="Merriweather" w:cs="Merriweather"/>
                <w:color w:val="000000" w:themeColor="text1"/>
                <w:sz w:val="24"/>
                <w:szCs w:val="24"/>
                <w:vertAlign w:val="superscript"/>
              </w:rPr>
              <w:footnoteReference w:id="23"/>
            </w:r>
            <w:r w:rsidRPr="009C0D18">
              <w:rPr>
                <w:rFonts w:ascii="Arial Unicode MS" w:eastAsia="Arial Unicode MS" w:hAnsi="Arial Unicode MS" w:cs="Arial Unicode MS"/>
                <w:color w:val="000000" w:themeColor="text1"/>
                <w:sz w:val="24"/>
                <w:szCs w:val="24"/>
              </w:rPr>
              <w:t xml:space="preserve"> ამ შემთხვევაში, გადაწყვეტილების მიღების ფუნქცია, </w:t>
            </w:r>
            <w:r w:rsidRPr="009C0D18">
              <w:rPr>
                <w:rFonts w:ascii="Arial Unicode MS" w:eastAsia="Arial Unicode MS" w:hAnsi="Arial Unicode MS" w:cs="Arial Unicode MS"/>
                <w:color w:val="000000" w:themeColor="text1"/>
                <w:sz w:val="24"/>
                <w:szCs w:val="24"/>
              </w:rPr>
              <w:lastRenderedPageBreak/>
              <w:t>რომელიც ეროვნულ სასამართლოებს აკისრიათ, ინტერპრეტაციის კუთხით არსებული ნებისმიერი ეჭვის გაფანტვასაც ითვალისწინებს.</w:t>
            </w:r>
            <w:r w:rsidRPr="009C0D18">
              <w:rPr>
                <w:rFonts w:ascii="Merriweather" w:eastAsia="Merriweather" w:hAnsi="Merriweather" w:cs="Merriweather"/>
                <w:color w:val="000000" w:themeColor="text1"/>
                <w:sz w:val="24"/>
                <w:szCs w:val="24"/>
                <w:vertAlign w:val="superscript"/>
              </w:rPr>
              <w:footnoteReference w:id="24"/>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ამდენად, უნდა შეფასდეს, ფანტავს თუ არა ნებისმიერ ეჭვს საერთო სასამართლოს გადაწყვეტილებები, ანუ მათ მიერ შემოთავაზებული ნორმატიული შინაარსი რამდენადაა ნორმის ავთენტური, კონსტიტუციური შინაარსის გამამყარებელი და ხომ არ იწვევს იგი უფრო მეტ ბუნდოვანებასა და გაუგებრობას.</w:t>
            </w:r>
          </w:p>
          <w:p w:rsidR="002D3215" w:rsidRPr="009C0D18" w:rsidRDefault="000A68FB">
            <w:pPr>
              <w:ind w:firstLine="720"/>
              <w:jc w:val="both"/>
              <w:rPr>
                <w:rFonts w:ascii="Merriweather" w:eastAsia="Merriweather" w:hAnsi="Merriweather" w:cs="Merriweather"/>
                <w:color w:val="000000" w:themeColor="text1"/>
              </w:rPr>
            </w:pPr>
            <w:r w:rsidRPr="009C0D18">
              <w:rPr>
                <w:rFonts w:ascii="Arial Unicode MS" w:eastAsia="Arial Unicode MS" w:hAnsi="Arial Unicode MS" w:cs="Arial Unicode MS"/>
                <w:color w:val="000000" w:themeColor="text1"/>
                <w:sz w:val="24"/>
                <w:szCs w:val="24"/>
              </w:rPr>
              <w:t>როგორც ევროპული სასამართლო შენიშნავს: „სასამართლოს პრეცედენტული სამართლის თანახმად, ნორმა ვერ მიიჩნევა „კანონად“, თუკი ის არ არის ფორმულირებული საკმარისი სიზუსტით, რათა შესაძლებლობა მისცეს მოქალაქეს, საჭიროების შემთხვევაში სათანადო კონსულტაციის საფუძველზე, მოცემულ გარემოებებში გონივრული ხარისხით განჭვრიტოს შედეგები, რაც შესაძლოა მოჰყვეს მოცემულ ქმედებას.“</w:t>
            </w:r>
            <w:r w:rsidRPr="009C0D18">
              <w:rPr>
                <w:rFonts w:ascii="Merriweather" w:eastAsia="Merriweather" w:hAnsi="Merriweather" w:cs="Merriweather"/>
                <w:color w:val="000000" w:themeColor="text1"/>
                <w:sz w:val="24"/>
                <w:szCs w:val="24"/>
                <w:vertAlign w:val="superscript"/>
              </w:rPr>
              <w:footnoteReference w:id="25"/>
            </w:r>
            <w:r w:rsidRPr="009C0D18">
              <w:rPr>
                <w:rFonts w:ascii="Arial Unicode MS" w:eastAsia="Arial Unicode MS" w:hAnsi="Arial Unicode MS" w:cs="Arial Unicode MS"/>
                <w:color w:val="000000" w:themeColor="text1"/>
                <w:sz w:val="24"/>
                <w:szCs w:val="24"/>
              </w:rPr>
              <w:t xml:space="preserve"> „სასამართლო კიდევ ერთხელ აღნიშნავს, რომ კონვენციის მე-11 მუხლში გამოთქმული „კანონით გათვალისწინებული“ არა მხოლოდ იმას მოითხოვს, რომ სადავო ზომას გარკვეული საფუძველი ჰქონდეს შიდა კანონმდებლობაში, არამედ მიუთითებს შესაბამისი კანონის ხარისხზეც.“</w:t>
            </w:r>
            <w:r w:rsidRPr="009C0D18">
              <w:rPr>
                <w:rFonts w:ascii="Merriweather" w:eastAsia="Merriweather" w:hAnsi="Merriweather" w:cs="Merriweather"/>
                <w:color w:val="000000" w:themeColor="text1"/>
                <w:sz w:val="24"/>
                <w:szCs w:val="24"/>
                <w:vertAlign w:val="superscript"/>
              </w:rPr>
              <w:footnoteReference w:id="26"/>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მოქალაქეებს ადმინისტრაციულ სამართალდამრღვევებად ცნობენ იმ ფაქტის მიუხედავად, </w:t>
            </w:r>
            <w:r w:rsidRPr="009C0D18">
              <w:rPr>
                <w:rFonts w:ascii="Arial Unicode MS" w:eastAsia="Arial Unicode MS" w:hAnsi="Arial Unicode MS" w:cs="Arial Unicode MS"/>
                <w:b/>
                <w:bCs/>
                <w:color w:val="000000" w:themeColor="text1"/>
                <w:sz w:val="24"/>
                <w:szCs w:val="24"/>
              </w:rPr>
              <w:t>რომ ტრანსპორტის სავალი ნაწილის გადაკეტვის ადგილას, ანუ რუსთაველის გამზიზრზე, იმყოფება პოლიცია (</w:t>
            </w:r>
            <w:r w:rsidR="0018298E">
              <w:rPr>
                <w:rFonts w:ascii="Sylfaen" w:eastAsia="Arial Unicode MS" w:hAnsi="Sylfaen" w:cs="Arial Unicode MS"/>
                <w:b/>
                <w:bCs/>
                <w:color w:val="000000" w:themeColor="text1"/>
                <w:sz w:val="24"/>
                <w:szCs w:val="24"/>
                <w:lang w:val="ka-GE"/>
              </w:rPr>
              <w:t xml:space="preserve">რომელიც წინასწარ გაფრთხილებულია </w:t>
            </w:r>
            <w:r w:rsidR="005401D3">
              <w:rPr>
                <w:rFonts w:ascii="Sylfaen" w:eastAsia="Arial Unicode MS" w:hAnsi="Sylfaen" w:cs="Arial Unicode MS"/>
                <w:b/>
                <w:bCs/>
                <w:color w:val="000000" w:themeColor="text1"/>
                <w:sz w:val="24"/>
                <w:szCs w:val="24"/>
                <w:lang w:val="ka-GE"/>
              </w:rPr>
              <w:t xml:space="preserve">ადგილობრივი </w:t>
            </w:r>
            <w:r w:rsidR="0018298E">
              <w:rPr>
                <w:rFonts w:ascii="Sylfaen" w:eastAsia="Arial Unicode MS" w:hAnsi="Sylfaen" w:cs="Arial Unicode MS"/>
                <w:b/>
                <w:bCs/>
                <w:color w:val="000000" w:themeColor="text1"/>
                <w:sz w:val="24"/>
                <w:szCs w:val="24"/>
                <w:lang w:val="ka-GE"/>
              </w:rPr>
              <w:t xml:space="preserve">თვითმმართველობის ორგანოში შეტანილი განცხადებით ან </w:t>
            </w:r>
            <w:r w:rsidRPr="009C0D18">
              <w:rPr>
                <w:rFonts w:ascii="Arial Unicode MS" w:eastAsia="Arial Unicode MS" w:hAnsi="Arial Unicode MS" w:cs="Arial Unicode MS"/>
                <w:b/>
                <w:bCs/>
                <w:color w:val="000000" w:themeColor="text1"/>
                <w:sz w:val="24"/>
                <w:szCs w:val="24"/>
              </w:rPr>
              <w:t>მათთვის მინიმუმ წინა დღითაა ცნობილი აქციის გამართვის შესახებ, რამდენადაც აღნიშნული ინფორმაცია ბევრ პლატფორმაზე ქვეყნდება, როგორც სატელევიზიო თუ ბეჭდურ სივრცეში, ისე სოციალურ ქსელებში), რომელიც არ ახორციელებს გაფრთხილებას აქციის მონაწილეების მიმართ, რომ მათი რაოდენობა არ არის საკმარისი ტრანსპორტის სავალი ნაწილის დაკავებისთვის.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მართალია, უმეტეს შემთხვევებში შეკრების გამართვის ადგილი იყო რუსთაველის გამზირი, რომელიც კონკრეტული ლოკაციაა და, ზოგადად, შეკრების თავისუფლებაზე მსჯელობა ვერ დაუკავშირდება კონკრეტულ ადგილს, თუმცა ნორმის განმარტების </w:t>
            </w:r>
            <w:r w:rsidRPr="009C0D18">
              <w:rPr>
                <w:rFonts w:ascii="Arial Unicode MS" w:eastAsia="Arial Unicode MS" w:hAnsi="Arial Unicode MS" w:cs="Arial Unicode MS"/>
                <w:color w:val="000000" w:themeColor="text1"/>
                <w:sz w:val="24"/>
                <w:szCs w:val="24"/>
              </w:rPr>
              <w:lastRenderedPageBreak/>
              <w:t xml:space="preserve">არაკონსტიტუციურობაზე ერთეული შემთხვევის მოყვანაც კი საკმარისია, რამდენადაც ნორმა არ გამორიცხავს აღნიშნულ ინტერპრეტაციას და ვერ უზრუნველყოფს თუნდაც ამ ლოკაციაზე მისი განხორციელების კონსტიტუციური სტანდარტის დაკმაყოფილებას.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საკონსტიტუციო სასამართლომ „... უნდა შეაფასოს, ნორმის განსაზღვრულობა არის კი იმ ხარისხის, რომ მისი გამოყენების საფუძველზე, ცალსახად გამოირიცხოს კონსტიტუციური უფლების დარღვევის თუნდაც ერთეული შემთხვევა.“</w:t>
            </w:r>
            <w:r w:rsidRPr="009C0D18">
              <w:rPr>
                <w:rFonts w:ascii="Merriweather" w:eastAsia="Merriweather" w:hAnsi="Merriweather" w:cs="Merriweather"/>
                <w:color w:val="000000" w:themeColor="text1"/>
                <w:sz w:val="24"/>
                <w:szCs w:val="24"/>
                <w:vertAlign w:val="superscript"/>
              </w:rPr>
              <w:footnoteReference w:id="27"/>
            </w:r>
            <w:r w:rsidRPr="009C0D18">
              <w:rPr>
                <w:rFonts w:ascii="Arial Unicode MS" w:eastAsia="Arial Unicode MS" w:hAnsi="Arial Unicode MS" w:cs="Arial Unicode MS"/>
                <w:color w:val="000000" w:themeColor="text1"/>
                <w:sz w:val="24"/>
                <w:szCs w:val="24"/>
              </w:rPr>
              <w:t xml:space="preserve"> შეფასებისთვის განმსაზღვრელია, თუ როგორ ხდება ნორმის გამოყენება: „არაერთ კანონში გვხვდება მეტნაკლები ხარისხით არამკაფიო ფორმულირებები, რომელთა განმარტება და გამოყენება ხშირად პრაქტიკაზეა დამოკიდებული. ამიტომ, ბუნებრივია, ნორმის ბუნდოვანებისას, მისი კონსტიტუციურობის გარკვევისთვის, დიდი მნიშვნელობა აქვს ნორმის გამოყენების პრაქტიკას“.</w:t>
            </w:r>
            <w:r w:rsidRPr="009C0D18">
              <w:rPr>
                <w:rFonts w:ascii="Merriweather" w:eastAsia="Merriweather" w:hAnsi="Merriweather" w:cs="Merriweather"/>
                <w:color w:val="000000" w:themeColor="text1"/>
                <w:sz w:val="24"/>
                <w:szCs w:val="24"/>
                <w:vertAlign w:val="superscript"/>
              </w:rPr>
              <w:footnoteReference w:id="28"/>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რუსთაველის გამზირს განსაკუთრებული მნიშვნელობა ქვეყნის ისტორიული წარსულიდან გამომდინარეც აქვს. იგი ასრულებს „საკრალური ადგილის“ როლს, სადაც მრავალი ათწლეულის განმავლობაში იკრიბებიან მოქალაქეები, გამოხატავენ პროტესტს, უზიარებენ აზრებს, სახავენ გეგმებს. საკონსტიტუციო სასამართლოს მსჯელობით: „შეკრების/მანიფესტაციის მიზნების რეალიზება ზოგჯერ იმაზეა დამოკიდებული, თუ ტერიტორიულად რამდენად ახლოსაა ის პროტესტის ადრესატთან, რამდენად მოსახერხებელია იმ კონკრეტულ ადგილზე ადამიანთა შეკრება ანდა რამდენად დიდი რეზონანსის გამოწვევა შეუძლია მას სწორედ იმ ადგილიდან. ძალზე ხშირად, შეკრება/მანიფესტაცია, მისი მიზნებიდან გამომდინარე, კონკრეტულ ადგილთანაა დაკავშირებული და გულისხმობს მის ჩატარებას ტრანსპორტის სამოძრაო ტერიტორიაზე და, ბუნებრივია, იწვევს ტრანსპორტის მოძრაობის შეფერხებას.“</w:t>
            </w:r>
            <w:r w:rsidRPr="009C0D18">
              <w:rPr>
                <w:rFonts w:ascii="Merriweather" w:eastAsia="Merriweather" w:hAnsi="Merriweather" w:cs="Merriweather"/>
                <w:color w:val="000000" w:themeColor="text1"/>
                <w:sz w:val="24"/>
                <w:szCs w:val="24"/>
                <w:vertAlign w:val="superscript"/>
              </w:rPr>
              <w:footnoteReference w:id="29"/>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2011 წელს საკონსტიტუციო სასამართლომ იმსჯელა შეკრების ან მანიფესტაციის დაუყოვნებლივ შეწყვეტის საფუძველზე და განაცხადა, რომ „... ხელისუფლების ქმედება არ იქნება პროპორციული, თუ ის შეკრების (მანიფესტაციის) შეწყვეტას დაუყოვნებლივ, „შეკრებებისა და მანიფესტაციების შესახებ“ საქართველოს კანონის 11</w:t>
            </w:r>
            <w:r w:rsidRPr="009C0D18">
              <w:rPr>
                <w:rFonts w:ascii="Merriweather" w:eastAsia="Merriweather" w:hAnsi="Merriweather" w:cs="Merriweather"/>
                <w:color w:val="000000" w:themeColor="text1"/>
                <w:sz w:val="24"/>
                <w:szCs w:val="24"/>
                <w:vertAlign w:val="superscript"/>
              </w:rPr>
              <w:t>1</w:t>
            </w:r>
            <w:r w:rsidRPr="009C0D18">
              <w:rPr>
                <w:rFonts w:ascii="Arial Unicode MS" w:eastAsia="Arial Unicode MS" w:hAnsi="Arial Unicode MS" w:cs="Arial Unicode MS"/>
                <w:color w:val="000000" w:themeColor="text1"/>
                <w:sz w:val="24"/>
                <w:szCs w:val="24"/>
              </w:rPr>
              <w:t xml:space="preserve"> მუხლის პირველი, მე-</w:t>
            </w:r>
            <w:r w:rsidRPr="009C0D18">
              <w:rPr>
                <w:rFonts w:ascii="Arial Unicode MS" w:eastAsia="Arial Unicode MS" w:hAnsi="Arial Unicode MS" w:cs="Arial Unicode MS"/>
                <w:color w:val="000000" w:themeColor="text1"/>
                <w:sz w:val="24"/>
                <w:szCs w:val="24"/>
              </w:rPr>
              <w:lastRenderedPageBreak/>
              <w:t xml:space="preserve">2 ან/და მე-3 პუნქტების დარღვევისთანავე მოითხოვს. შეკრებაში (მანიფესტაციაში) მონაწილეთა მიერ გზის სავალი ნაწილის კანონის მოთხოვნათა უგულებელყოფით დაკავება ან ბლოკირება, </w:t>
            </w:r>
            <w:r w:rsidRPr="009C0D18">
              <w:rPr>
                <w:rFonts w:ascii="Arial Unicode MS" w:eastAsia="Arial Unicode MS" w:hAnsi="Arial Unicode MS" w:cs="Arial Unicode MS"/>
                <w:b/>
                <w:bCs/>
                <w:color w:val="000000" w:themeColor="text1"/>
                <w:sz w:val="24"/>
                <w:szCs w:val="24"/>
              </w:rPr>
              <w:t>შეკრების კანონთან შესაბამისობაში მოყვანის და არა დაუყოვნებლივ მისი შეწყვეტის საფუძველი უნდა გახდეს.</w:t>
            </w:r>
            <w:r w:rsidRPr="009C0D18">
              <w:rPr>
                <w:rFonts w:ascii="Merriweather" w:eastAsia="Merriweather" w:hAnsi="Merriweather" w:cs="Merriweather"/>
                <w:color w:val="000000" w:themeColor="text1"/>
                <w:sz w:val="24"/>
                <w:szCs w:val="24"/>
              </w:rPr>
              <w:t>“</w:t>
            </w:r>
            <w:r w:rsidRPr="009C0D18">
              <w:rPr>
                <w:rFonts w:ascii="Merriweather" w:eastAsia="Merriweather" w:hAnsi="Merriweather" w:cs="Merriweather"/>
                <w:color w:val="000000" w:themeColor="text1"/>
                <w:sz w:val="24"/>
                <w:szCs w:val="24"/>
                <w:vertAlign w:val="superscript"/>
              </w:rPr>
              <w:footnoteReference w:id="30"/>
            </w:r>
            <w:r w:rsidRPr="009C0D18">
              <w:rPr>
                <w:rFonts w:ascii="Merriweather" w:eastAsia="Merriweather" w:hAnsi="Merriweather" w:cs="Merriweather"/>
                <w:color w:val="000000" w:themeColor="text1"/>
                <w:sz w:val="24"/>
                <w:szCs w:val="24"/>
              </w:rPr>
              <w:t xml:space="preserve">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მაშასადამე, საკონსტიტუციო სასამართლოს მსჯელობა განვითარებულია ისე, რომ უფლებაში შემდგომი ჩარევის მზღუდავი საშუალებების გამოყენების აუცილებელ წინაპირობად მოიაზრებს გაფრთხილებას. ამ ლოგიკის გათვალისწინებით, უნდა დავსვათ შეკითხვა: უტოლდება თუ არა აქციის დაშლას ის მდგომარეობა, როდესაც აქციის მრავალი მონაწილე რამდენიმე დღისა თუ თვის შემდეგ დაჯარიმდება ადმინისტრაციულ სამართალდარღვევათა კოდექსის კონკრეტულ ნორმაზე მითითებით? (განსაკუთრებით მაშინ, როდესაც ჯარიმის ოდენობა ძალზე მაღალია). მართალია, აქციის დაშლას შედეგად მოჰყვება იმ კონკრეტულ დღეს მისი დასრულება, რაც ხელისუფლების მოქმედების პირდაპირი შედეგია, მაგრამ განა იგივე და უფრო მძიმე შედეგი არ შეიძლება მოჰყვეს იმას, როდესაც აქციის მონაწილეები შემდგომ შეიტყობენ, რომ ადმინისტრაციულ სამართალდამრღვევებად არიან ცნობილი? ამ შემთხვევაში შიში უჩნდება იმ ადამიანსაც, რომელიც არ იქნა ცნობილი სამართალდამრღვევად იმ შემთხვევითი ფაქტის გამო, რომ იგი ვიდეოკამერამ არ დააფიქსირა ან სხვა სუბიექტური ან ობიექტური ფაქტორების გამო არ დაჯარიმდა. მაშასადამე, პოტენციურად, აქციის ყველა მონაწილე ექცევა ერთი „სამართალდარღვევის ქოლგის ქვეშ“, რაც უფრო მეტი ზიანის მომტანი შეიძლება იყოს უფლების განხორციელებისთვის, ვიდრე ერთ კონკრეტულ დღეს აქციის შეწყვეტა. ამასთან, გასათვალისწინებელია ის „უსამართლობის შეგრძნება“ რაც ადმინისტრაციულ სამართალდამრღვევად ცნობილ პირს უჩნდება, რადგან მას მცირეოდენი შანსიც კი არ დაუტოვეს იმისა, რომ არ დაჯარიმებულიყო. შესაძლოა, პოლიციელის ერთ გაფრთხილებას, რაც ძალიან მარტივად შესასრულებელი საქმეა, მისთვის სამართალდამრღვევის სტატუსი აერიდებინა.</w:t>
            </w:r>
          </w:p>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0A68FB">
            <w:pPr>
              <w:jc w:val="both"/>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b/>
                <w:bCs/>
                <w:color w:val="000000" w:themeColor="text1"/>
                <w:sz w:val="24"/>
                <w:szCs w:val="24"/>
              </w:rPr>
              <w:t>2.სადავო ნორმასთან კავშირში მყოფი ნორმების ანალიზი</w:t>
            </w:r>
          </w:p>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ზემომოყვანილ მსჯელობასთან კავშირში გასათვალისწინებელია პოლიციელის მოქმედება თუ უმოქმედობა, როგორც სამართალდარღვევის გამომრიცხავი გარემოება. „პოლიციის შესახებ“ საქართველოს კანონის მე-17 მუხლის პირველი ნაწილის „ა“ ქვეპუნქტის თანახმად, „პოლიცია პრევენციული ფუნქციების შესრულების უზრუნველსაყოფად თავისი კომპეტენციის ფარგლებში ახორციელებს შემდეგ უფლებამოსილებებს: ა) სამართალდარღვევათა თავიდან ასაცილებლად საპოლიციო ღონისძიებების განხორციელება;“ ხოლო ამავე კანონის მე-18 მუხლის პირველი ნაწილის „ზ“ ქვეპუნქტი ადგენს, რომ „პოლიცია საზოგადოებრივი უსაფრთხოებისა და მართლწესრიგისათვის საფრთხის თავიდან აცილების ან მათი დარღვევის აღკვეთის მიზნით თავისი კომპეტენციის ფარგლებში ახორციელებს შემდეგ პრევენციულ ღონისძიებებს: ადგილის დატოვების მოთხოვნა და კონკრეტულ ტერიტორიაზე შესვლის აკრძალვა;“ აღნიშნულთან კავშირში უნდა განვიხილოთ ადმინისტრაციულ სამართალდარღვევათა კოდექსის მე-7 მუხლი, რომელიც ადმინისტრაციულ სამართალდარღვევათა თავიდან აცილებას შეეხება: „1. სახელმწიფო ორგანოები, საზოგადოებრივი ორგანიზაციები, შრომითი კოლექტივები შეიმუშავებენ და განახორციელებენ ადმინისტრაციულ სამართალდარღვევათა თავიდან აცილების, მათი ჩადენის ხელშემწყობი მიზეზებისა და პირობების გამოვლენისა და აღკვეთის, მოქალაქეთა მაღალი შეგნებულობისა და დისციპლინის, კანონების მკაცრი დაცვის სულისკვეთებით აღზრდის ღონისძიებებს. 2. სახელმწიფო ხელისუფლების ორგანოები და მუნიციპალიტეტები, რომლებიც საქართველოს კონსტიტუციის შესაბამისად უზრუნველყოფენ კანონების შესრულებას, სახელმწიფო და საზოგადოებრივი წესრიგის, მოქალაქეთა უფლებების დაცვას, თავიანთ ტერიტორიებზე კოორდინაციას უწევენ ყველა სახელმწიფო და საზოგადოებრივი ორგანოს მუშაობას ადმინისტრაციულ სამართალდარღვევათა თავიდან ასაცილებლად, ხელმძღვანელობენ შინაგან საქმეთა ორგანოების საქმიანობას, რომელთა მოვალეობაა ებრძოლონ ადმინისტრაციულ სამართალდარღვევებს.“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საქმეში „მაქარაშვილი და სხვები საქართველოს წინააღმდეგ“ ადამიანის უფლებათა ევროპული სასამართლო ციტირებს თბილისის საქალაქო სასამართლოს 2019 წლის 21 ნოემბრის გადაწყვეტილებას, რომელშიც სასამართლო საუბრობს აქციის მშვიდობიანად წარმართვასა და მოქალაქეთა კონსტიტუციური უფლებების დაცვაზე, რისი უზრუნველყოფაც იმ მომენტში პოლიციელების ვალდებულება იყო. თბილისის საქალაქო სასამართლო ასკვნის, რომ ეს „ქმნის საკმარის საფუძველს [ვიფიქროთ, რომ] </w:t>
            </w:r>
            <w:r w:rsidRPr="009C0D18">
              <w:rPr>
                <w:rFonts w:ascii="Arial Unicode MS" w:eastAsia="Arial Unicode MS" w:hAnsi="Arial Unicode MS" w:cs="Arial Unicode MS"/>
                <w:b/>
                <w:bCs/>
                <w:color w:val="000000" w:themeColor="text1"/>
                <w:sz w:val="24"/>
                <w:szCs w:val="24"/>
              </w:rPr>
              <w:t xml:space="preserve">პოლიციელებმა, </w:t>
            </w:r>
            <w:r w:rsidRPr="009C0D18">
              <w:rPr>
                <w:rFonts w:ascii="Arial Unicode MS" w:eastAsia="Arial Unicode MS" w:hAnsi="Arial Unicode MS" w:cs="Arial Unicode MS"/>
                <w:b/>
                <w:bCs/>
                <w:color w:val="000000" w:themeColor="text1"/>
                <w:sz w:val="24"/>
                <w:szCs w:val="24"/>
              </w:rPr>
              <w:lastRenderedPageBreak/>
              <w:t>რომლებიც ვალდებული იყვნენ, წინასწარ გაეფრთხილებინათ კანონის დარღვევის შესახებ და აღმოეფხვრათ კანონდარღვევები</w:t>
            </w:r>
            <w:r w:rsidRPr="009C0D18">
              <w:rPr>
                <w:rFonts w:ascii="Arial Unicode MS" w:eastAsia="Arial Unicode MS" w:hAnsi="Arial Unicode MS" w:cs="Arial Unicode MS"/>
                <w:color w:val="000000" w:themeColor="text1"/>
                <w:sz w:val="24"/>
                <w:szCs w:val="24"/>
              </w:rPr>
              <w:t xml:space="preserve"> ... საქმესთან დაკავშირებით წარმოდგენილი მტკიცებულებები, მხარეთა ახსნა-განმარტებები, მოწმეების ჩვენებები და ვიდეოჩანაწერები ადასტურებს </w:t>
            </w:r>
            <w:r w:rsidRPr="009C0D18">
              <w:rPr>
                <w:rFonts w:ascii="Arial Unicode MS" w:eastAsia="Arial Unicode MS" w:hAnsi="Arial Unicode MS" w:cs="Arial Unicode MS"/>
                <w:b/>
                <w:bCs/>
                <w:color w:val="000000" w:themeColor="text1"/>
                <w:sz w:val="24"/>
                <w:szCs w:val="24"/>
              </w:rPr>
              <w:t>პოლიციელების მიერ მოწოდებას</w:t>
            </w:r>
            <w:r w:rsidRPr="009C0D18">
              <w:rPr>
                <w:rFonts w:ascii="Arial Unicode MS" w:eastAsia="Arial Unicode MS" w:hAnsi="Arial Unicode MS" w:cs="Arial Unicode MS"/>
                <w:color w:val="000000" w:themeColor="text1"/>
                <w:sz w:val="24"/>
                <w:szCs w:val="24"/>
              </w:rPr>
              <w:t xml:space="preserve"> და [შემდგომ] დაუმორჩილებლობას  [შესაბამის] ადმინისტრაციულ სამართალდარღვევაში ბრალდებული ინდივიდების მიერ. </w:t>
            </w:r>
            <w:r w:rsidRPr="009C0D18">
              <w:rPr>
                <w:rFonts w:ascii="Arial Unicode MS" w:eastAsia="Arial Unicode MS" w:hAnsi="Arial Unicode MS" w:cs="Arial Unicode MS"/>
                <w:b/>
                <w:bCs/>
                <w:color w:val="000000" w:themeColor="text1"/>
                <w:sz w:val="24"/>
                <w:szCs w:val="24"/>
              </w:rPr>
              <w:t>კერძოდ, სამართალდამცავი ორგანოს წარმომადგენლებმა მიმართეს სამართალდამრღვევებს, გაეთავისუფლებინათ გზა</w:t>
            </w:r>
            <w:r w:rsidRPr="009C0D18">
              <w:rPr>
                <w:rFonts w:ascii="Arial Unicode MS" w:eastAsia="Arial Unicode MS" w:hAnsi="Arial Unicode MS" w:cs="Arial Unicode MS"/>
                <w:color w:val="000000" w:themeColor="text1"/>
                <w:sz w:val="24"/>
                <w:szCs w:val="24"/>
              </w:rPr>
              <w:t xml:space="preserve">, რომ მანქანებს თავისუფლად გადაადგილება შესძლებოდათ;“ სასამართლო აგრძელებს: „ ... პოლიციის შესახებ კანონის მიზნებიდან გამომდინარე, პოლიციელების მიერ [ამ ტერიტორიის] </w:t>
            </w:r>
            <w:r w:rsidRPr="009C0D18">
              <w:rPr>
                <w:rFonts w:ascii="Arial Unicode MS" w:eastAsia="Arial Unicode MS" w:hAnsi="Arial Unicode MS" w:cs="Arial Unicode MS"/>
                <w:b/>
                <w:bCs/>
                <w:color w:val="000000" w:themeColor="text1"/>
                <w:sz w:val="24"/>
                <w:szCs w:val="24"/>
              </w:rPr>
              <w:t>გათავისუფლების მრავალჯერადი მოთხოვნა,</w:t>
            </w:r>
            <w:r w:rsidRPr="009C0D18">
              <w:rPr>
                <w:rFonts w:ascii="Arial Unicode MS" w:eastAsia="Arial Unicode MS" w:hAnsi="Arial Unicode MS" w:cs="Arial Unicode MS"/>
                <w:color w:val="000000" w:themeColor="text1"/>
                <w:sz w:val="24"/>
                <w:szCs w:val="24"/>
              </w:rPr>
              <w:t xml:space="preserve"> რათა მანქანებს მისცემოდათ თავისუფლად გადაადგილების საშუალება ...“</w:t>
            </w:r>
            <w:r w:rsidRPr="009C0D18">
              <w:rPr>
                <w:rFonts w:ascii="Merriweather" w:eastAsia="Merriweather" w:hAnsi="Merriweather" w:cs="Merriweather"/>
                <w:color w:val="000000" w:themeColor="text1"/>
                <w:sz w:val="24"/>
                <w:szCs w:val="24"/>
                <w:vertAlign w:val="superscript"/>
              </w:rPr>
              <w:footnoteReference w:id="31"/>
            </w:r>
            <w:r w:rsidRPr="009C0D18">
              <w:rPr>
                <w:rFonts w:ascii="Arial Unicode MS" w:eastAsia="Arial Unicode MS" w:hAnsi="Arial Unicode MS" w:cs="Arial Unicode MS"/>
                <w:color w:val="000000" w:themeColor="text1"/>
                <w:sz w:val="24"/>
                <w:szCs w:val="24"/>
              </w:rPr>
              <w:t xml:space="preserve"> აქვე აღნიშნულია, რომ </w:t>
            </w:r>
            <w:r w:rsidRPr="009C0D18">
              <w:rPr>
                <w:rFonts w:ascii="Arial Unicode MS" w:eastAsia="Arial Unicode MS" w:hAnsi="Arial Unicode MS" w:cs="Arial Unicode MS"/>
                <w:b/>
                <w:bCs/>
                <w:color w:val="000000" w:themeColor="text1"/>
                <w:sz w:val="24"/>
                <w:szCs w:val="24"/>
              </w:rPr>
              <w:t>„რაც შეეხება ხელისუფლების ქმედებას, პოლიციელებმა აწარმოეს მოლაპარაკებები პროტესტანტებთან, ... აცნობეს და გააფრთხილეს ისინი რელევანტური წესების და რეგულაციების შესახებ, რაც უკავშირდებოდა აქციის მონაწილეების მოქმედებას. ... სადავო არ ყოფილა, რომ პოლიციელების ბრძანებები იყო ბუნდოვანი ან რთულად გასაგები</w:t>
            </w:r>
            <w:r w:rsidRPr="009C0D18">
              <w:rPr>
                <w:rFonts w:ascii="Merriweather" w:eastAsia="Merriweather" w:hAnsi="Merriweather" w:cs="Merriweather"/>
                <w:color w:val="000000" w:themeColor="text1"/>
                <w:sz w:val="24"/>
                <w:szCs w:val="24"/>
              </w:rPr>
              <w:t xml:space="preserve"> ...“ </w:t>
            </w:r>
            <w:r w:rsidRPr="009C0D18">
              <w:rPr>
                <w:rFonts w:ascii="Merriweather" w:eastAsia="Merriweather" w:hAnsi="Merriweather" w:cs="Merriweather"/>
                <w:color w:val="000000" w:themeColor="text1"/>
                <w:sz w:val="24"/>
                <w:szCs w:val="24"/>
                <w:vertAlign w:val="superscript"/>
              </w:rPr>
              <w:footnoteReference w:id="32"/>
            </w:r>
            <w:r w:rsidRPr="009C0D18">
              <w:rPr>
                <w:rFonts w:ascii="Arial Unicode MS" w:eastAsia="Arial Unicode MS" w:hAnsi="Arial Unicode MS" w:cs="Arial Unicode MS"/>
                <w:color w:val="000000" w:themeColor="text1"/>
                <w:sz w:val="24"/>
                <w:szCs w:val="24"/>
              </w:rPr>
              <w:t xml:space="preserve"> ამდენად, სასამართლო მნიშვნელოვან მოქმედებად მოიაზრებს საჯარო ორგანოების მიერ სამართალდარღვევის პრევენციის აქტიურ სახეს.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ზემოთ მოყვანილი ნორმები (ადმინისტრაციულ სამართალდარღვევათა კოდექსისა და „პოლიციის შესახებ“ საქართველოს კანონის) კავშირშია ტრანსპორტის სავალი ნაწილის გადაკეტვის ქმედებასა და ამ ქმედებაზე ოფიციალური ორგანოს წარმომადგენლების პასუხთან, რაც, მთლიანობაში, ქმნის ქმედების სამართალდარღვევად კვალიფიკაციის მთლიან სურათს. „საკონსტიტუციო სასამართლოს მიერ დამკვიდრებული პრაქტიკის შესაბამისად, ნორმის სრულყოფილი განმარტებისათვის იგი უნდა განიმარტოს როგორც სიტყვასიტყვითი მნიშვნელობით, ასევე სხვა ნორმებთან კონტექსტში, მისი მიზნისა და შინაარსის გათვალისწინებით. ნორმის კონსტიტუციურობის შეფასებისას მისი გონივრული განმარტება მოითხოვს, რომ „...სადავო ნორმა არ [უნდა] იქნეს განხილული სხვა, მასთან </w:t>
            </w:r>
            <w:r w:rsidRPr="009C0D18">
              <w:rPr>
                <w:rFonts w:ascii="Arial Unicode MS" w:eastAsia="Arial Unicode MS" w:hAnsi="Arial Unicode MS" w:cs="Arial Unicode MS"/>
                <w:color w:val="000000" w:themeColor="text1"/>
                <w:sz w:val="24"/>
                <w:szCs w:val="24"/>
              </w:rPr>
              <w:lastRenderedPageBreak/>
              <w:t>კავშირში მყოფი ნორმებისგან იზოლირებულად, რადგანაც ამგვარმა მიდგომამ საკონსტიტუციო სასამართლო შეიძლება მიიყვანოს მცდარ დასკვნებამდე...“</w:t>
            </w:r>
            <w:r w:rsidRPr="009C0D18">
              <w:rPr>
                <w:rFonts w:ascii="Merriweather" w:eastAsia="Merriweather" w:hAnsi="Merriweather" w:cs="Merriweather"/>
                <w:color w:val="000000" w:themeColor="text1"/>
                <w:sz w:val="24"/>
                <w:szCs w:val="24"/>
                <w:vertAlign w:val="superscript"/>
              </w:rPr>
              <w:footnoteReference w:id="33"/>
            </w:r>
            <w:r w:rsidRPr="009C0D18">
              <w:rPr>
                <w:rFonts w:ascii="Merriweather" w:eastAsia="Merriweather" w:hAnsi="Merriweather" w:cs="Merriweather"/>
                <w:color w:val="000000" w:themeColor="text1"/>
                <w:sz w:val="24"/>
                <w:szCs w:val="24"/>
              </w:rPr>
              <w:t xml:space="preserve"> </w:t>
            </w:r>
          </w:p>
          <w:p w:rsidR="002D3215" w:rsidRPr="009C0D18" w:rsidRDefault="00DA407B">
            <w:pPr>
              <w:ind w:firstLine="720"/>
              <w:jc w:val="both"/>
              <w:rPr>
                <w:rFonts w:ascii="Merriweather" w:eastAsia="Merriweather" w:hAnsi="Merriweather" w:cs="Merriweather"/>
                <w:color w:val="000000" w:themeColor="text1"/>
                <w:sz w:val="24"/>
                <w:szCs w:val="24"/>
              </w:rPr>
            </w:pPr>
            <w:r>
              <w:rPr>
                <w:rFonts w:ascii="Sylfaen" w:eastAsia="Arial Unicode MS" w:hAnsi="Sylfaen" w:cs="Arial Unicode MS"/>
                <w:color w:val="000000" w:themeColor="text1"/>
                <w:sz w:val="24"/>
                <w:szCs w:val="24"/>
                <w:lang w:val="ka-GE"/>
              </w:rPr>
              <w:t xml:space="preserve">გზის გადაკეტვის გამო მოქალაქეების დაჯარიმებასთან დაკავშირებულ </w:t>
            </w:r>
            <w:r w:rsidR="000A68FB" w:rsidRPr="009C0D18">
              <w:rPr>
                <w:rFonts w:ascii="Arial Unicode MS" w:eastAsia="Arial Unicode MS" w:hAnsi="Arial Unicode MS" w:cs="Arial Unicode MS"/>
                <w:color w:val="000000" w:themeColor="text1"/>
                <w:sz w:val="24"/>
                <w:szCs w:val="24"/>
              </w:rPr>
              <w:t>სასამართლო პროცესებზე ეჭვქვეშ არ დამდგარა ფაქტი, რომ პოლიციელები ადგილზე იყვნენ ტრანსპორტის სავალი ნაწილის გადაკეტვის მომენტში და შემდეგ, რომ მათ არ განუხორციელებიათ გაფრთხილება (სასამართლოსა და შსს-ს შეფასებით, ეს არც ევალებოდათ) და  რომ მათ წინასწარ იცოდნენ შეკრების ჩატარების შესახებ. ამასთან, ყველა შემთხვევაში აქცია იყო მშვიდობიანი, რაც სახელმწიფოს მხრიდან მეტი შემწყნარებლობის გამოვლენის ვალდებულებას აჩენს აქციის მონაწილეების მიმართ.</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საკითხის არსის გასაგებად აუცილებელია მივყვეთ კანონის ლოგიკას, თუ როგორ უნდა მიმდინარეობდეს კომუნიკაცია მოქალაქესა და სახელმწიფოს შორის შეკრება/მანიფესტაციის დროს გზის გადაკეტვასთან დაკავშირებით; კერძოდ. 1. „შეკრებებისა და მანიფესტაციების შესახებ“ კანონის თანახმად, თუ შეკრება ან მანიფესტაცია ტრანსპორტის მოძრაობის ადგილას იმართება ან ტრანსპორტის მოძრაობას აფერხებს (გარდა იმ შემთხვევისა, როცა ტრანსპორტის მოძრაობა უკვე გადაკეტილია სხვა მიზეზის გამო), შეკრება-მანიფესტაციის ორგანიზატორს შეაქვს სათანადო ხელმოწერილი გაფრთხილება მუნიციპალიტეტის აღმასრულებელ ორგანოში (კანონის მე-5 მუხლის მე-2 პუნქტი). გაფრთხილებაში აღინიშნება ა) შეკრების ან მანიფესტაციის ფორმა, მიზანი, ჩატარების ადგილი ან სვლაგეზი, დაწყების დრო, დამთავრების დრო, თარიღი, მონაწილეთა სავარაუდო რაოდენობა; ბ) პასუხისმგებელი პირის ვინაობა, საცხოვრებელი ადგილი (მისამართი), საკონტაქტო ტელეფონის ნომერი, გაფრთხილების შეტანის თარიღი და დრო (მე-8 მუხლის მე-2 პუნქტი).  2. მუნიციპალიტეტის აღმასრულებელი ორგანო გაფრთხილების მიღებისთანავე მის ასლზე ადასტურებს გაფრთხილების მიღების თარიღსა და დროს (მე-8 მუხლის მე-7 ნაწილი) 3. გაფრთხილების მიმღები თანამდებობის პირები ვალდებულნი არიან, განუმარტონ შეკრების ან მანიფესტაციის ორგანიზაციისა და ჩატარებისათვის პასუხისმგებელ პირებს ამ კანონის მოთხოვნები და გააფრთხილონ ისინი დადგენილი მოთხოვნების შეუსრულებლობის შემთხვევაში მოსალოდნელი პასუხისმგებლობის შესახებ (მე-8 მუხლის მე-8 ნაწილი). 4. თუკი შეკრება ან მანიფესტაცია რეალურ საფრთხეს უქმნის საწარმოების, დაწესებულებებისა და ორგანიზაციების ნორმალურ ფუნქციონირებას, ან სხვა </w:t>
            </w:r>
            <w:r w:rsidRPr="009C0D18">
              <w:rPr>
                <w:rFonts w:ascii="Arial Unicode MS" w:eastAsia="Arial Unicode MS" w:hAnsi="Arial Unicode MS" w:cs="Arial Unicode MS"/>
                <w:color w:val="000000" w:themeColor="text1"/>
                <w:sz w:val="24"/>
                <w:szCs w:val="24"/>
              </w:rPr>
              <w:lastRenderedPageBreak/>
              <w:t xml:space="preserve">აქციის (რომელზედაც გაფრთხილება უფრო ადრე იქნა შეტანილი მუნიციპალიტეტის აღმასრულებელ ორგანოში) ჩატარება დაგეგმილია იმავე ადგილზე და იმავე დროს, მუნიციპალიტეტის აღმასრულებელი ორგანო გაფრთხილების მიღებიდან 3 დღის განმავლობაში, შეკრების ან მანიფესტაციის ორგანიზებისა და ჩატარებისთვის პასუხისმგებელი პირების თანდასწრებით იხილავს შეკრების ან მანიფესტაციის ჩატარების ადგილისა და დროის შეცვლის მიზანშეწონილობის საკითხს და წერილობით გადასცემს მათ რეკომენდაციას ( მე-10 მუხლი).  5. იმისათვის, რათა დაცული იქნეს ბალანსი შეკრების ან მანიფესტაციის თავისუფლებასა და იმ პირთა უფლებებს შორის, რომლებიც ცხოვრობენ, მუშაობენ, სამეწარმეო საქმიანობას ახორციელებენ იმ ადგილებში, სადაც შეკრება ან მანიფესტაცია მიმდინარეობს, შინაგან საქმეთა სამინისტრო უფლებამოსილია, დააწესოს დროისა და ადგილის შეზღუდვა და მოხდეს ალტერნატიული ვარიანტების შეთავაზება (მუხლი 11² 1, 2 ); ამასთან, შეზღუდვა არ წესდება, თუ ზემოთ ჩამოთვლილ პირთა უფლებები დროის მცირე მონაკვეთში იზღუდება ( 11² მუხლის მე-4 ნაწილი). 6. შეკრების ან მანიფესტაციის მონაწილეთა მიერ ტრანსპორტის სავალი ნაწილის ნაწილობრივ ან სრულად გადაკეტვის შემთხვევაში, საქართველოს შინაგან საქმეთა სამინისტრო უფლებამოსილია, მიიღოს გადაწყვეტილება ტრანსპორტის სავალი ნაწილის გახსნის ან/და ტრანსპორტის მოძრაობის აღდგენის შესახებ, თუ შეკრების ან მანიფესტაციის მონაწილეთა რაოდენობის გათვალისწინებით, შეკრების ან მანიფესტაციის ჩატარება სხვაგვარად შესაძლებელია (11¹ მუხლის პირველი ნაწილი) 7. აღნიშნული გადაწყვეტილება ეცნობება ორგანიზატორს, რომელიც გაფრთხილებიდან უახლოესი 15 წუთის განმავლობაში ვალდებულია, მოუწოდოს შეკრების ან მანიფესტაციის მონაწილეებს და მიმართოს ყველა გონივრულ ქმედებას, რათა გაიხსნას ტრანსპორტის სავალი ნაწილი, აღდგეს ტრანსპორტის მოძრაობა (კანონის მე-13 მუხლის მე-3 პუნქტი).  8. თუ ორგანიზატორმა ვერ მოახერხა ტრანსპორტის სავალი ნაწილის გახსნა და ტრანსპორტის მოძრაობის აღდგენა, პოლიცია გამოიყენებს საერთაშორისო სამართლითა და საქართველოს კანონმდებლობით გათვალისწინებულ ზომებს ტრანსპორტის სავალი ნაწილის გასახსნელად, ტრანსპორტის მოძრაობის აღსადგენად (მე-13 მუხლის მე-6 პუნქტი).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2025 წლის 6 თებერვლიდან შეკრებებისა და მანიფესტაციების შესახებ კანონში შესული ცვლილებებით, სავალდებულო გახდა ხელისუფლების წინასწარი გაფრთხილება გზის სავალი ნაწილის ნებისმიერი გადაკეტვის, მათ შორის, სპონტანური შეკრების შემთხვევაში, გარდა იმ შემთხვევისა, როცა გზის სავალი ნაწილი ჩაკეტილია შეკრება-</w:t>
            </w:r>
            <w:r w:rsidRPr="009C0D18">
              <w:rPr>
                <w:rFonts w:ascii="Arial Unicode MS" w:eastAsia="Arial Unicode MS" w:hAnsi="Arial Unicode MS" w:cs="Arial Unicode MS"/>
                <w:color w:val="000000" w:themeColor="text1"/>
                <w:sz w:val="24"/>
                <w:szCs w:val="24"/>
              </w:rPr>
              <w:lastRenderedPageBreak/>
              <w:t>მანიფესტაციისგან დამოუკიდებელი მიზეზების გამო (იხ. მე-5 მუხლის მე-2 ნაწილი და მე-8 მუხლის 1¹ ნაწილი).</w:t>
            </w:r>
          </w:p>
          <w:p w:rsidR="002D3215" w:rsidRPr="009C0D18" w:rsidRDefault="000A68FB">
            <w:pPr>
              <w:ind w:firstLine="720"/>
              <w:jc w:val="both"/>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შესაბამისად, როგორც ვხედავთ, შეკრება/მანიფესტაციის მონაწილეებსა და ხელისუფლებას შორის კომუნიკაციის თანმიმდევრობა და ეტაპები გაწერილია კანონით. თუმცა ერთია თუ რას ამბობს კანონი და მეორე თუ რა ხდება პრაქტიკაში. 2024 წლის ნოემბრიდან საქართველოს მასშტაბით ყოველდღიურად მიმდინარეობს საპროტესტო აქციები, რომელთა დროსაც ხშირად ადგილი აქვს ტრანსპორტის სავალი ნაწილის გადაკეტვას. 1. </w:t>
            </w:r>
            <w:r w:rsidRPr="009C0D18">
              <w:rPr>
                <w:rFonts w:ascii="Arial Unicode MS" w:eastAsia="Arial Unicode MS" w:hAnsi="Arial Unicode MS" w:cs="Arial Unicode MS"/>
                <w:b/>
                <w:bCs/>
                <w:color w:val="000000" w:themeColor="text1"/>
                <w:sz w:val="24"/>
                <w:szCs w:val="24"/>
              </w:rPr>
              <w:t>2025 წლის 6 თებერვლიდან აგვისტოს ჩათვლით, 14-20 რიცხვის შუალედში, თბილისის მუნიციპალიტეტში შედის ხელმოწერილი განცხადება საღამოს 19:00-დან 24:00-მდე ოპერიდან თავისუფლების მოედნამდე რუსთაველის გამზირის გადაკეტვის თაობაზე.</w:t>
            </w:r>
            <w:r w:rsidRPr="009C0D18">
              <w:rPr>
                <w:rFonts w:ascii="Arial Unicode MS" w:eastAsia="Arial Unicode MS" w:hAnsi="Arial Unicode MS" w:cs="Arial Unicode MS"/>
                <w:color w:val="000000" w:themeColor="text1"/>
                <w:sz w:val="24"/>
                <w:szCs w:val="24"/>
              </w:rPr>
              <w:t xml:space="preserve"> გაფთხილება შეიტანება ძირითადად 1 თვიანი მოქმედების ვადით. 2. მუნიციპალიტეტის აღმასრულებელი ორგანო გაფრთხილების მიღებისთანავე მის ასლზე ადასტურებს გაფრთხილების მიღების თარიღსა და დროს (მე-8 მუხლის მე-7 ნაწილი) 3. მუნიციპალიტეტის აღმასრულებელი ორგანო არ განუმარტავს შეკრების ან მანიფესტაციის ორგანიზაციისა და ჩატარებისათვის პასუხისმგებელ პირს კანონის მოთხოვნებს და არ აფრთხილებს ამ მოთხოვნების შეუსრულებლობის შემთხვევაში მოსალოდნელი პასუხისმგებლობის შესახებ. 4. მუნიციპალიტეტის აღმასრულებელ ორგანოს შეკრების ან მანიფესტაციის ორგანიზებისა და ჩატარებისთვის პასუხისმგებელი პირების თანდასწრებით არასდროს განუხილავს შეკრების ან მანიფესტაციის ჩატარების ადგილისა და დროის შეცვლის მიზანშეწონილობის საკითხი და წერილობით არ გაუცია რაიმე რეკომენდაცია. 5. 2024 წლის ნოემბრიდან მრავალი თვის განმავლობაში,  ყოველ დღე, დაახლოებით 20:30 დან 21:30 შორის მონაკვეთში რუსთაველის გამზირის კეტავდა პოლიცია მომიტინგეებთან ერთად. </w:t>
            </w:r>
            <w:r w:rsidRPr="009C0D18">
              <w:rPr>
                <w:rFonts w:ascii="Arial Unicode MS" w:eastAsia="Arial Unicode MS" w:hAnsi="Arial Unicode MS" w:cs="Arial Unicode MS"/>
                <w:b/>
                <w:bCs/>
                <w:color w:val="000000" w:themeColor="text1"/>
                <w:sz w:val="24"/>
                <w:szCs w:val="24"/>
              </w:rPr>
              <w:t>პოლიცია განარიდებდა ავტომანქანების ნაკადს და მოძრაობას აწესებდა რუსთაველის გამზირის შემოვლითი გზებით. პოლიციის მანქანები კეტავდნენ რუსთაველის გამზირის შენაკად ყველა გზას.</w:t>
            </w:r>
            <w:r w:rsidRPr="009C0D18">
              <w:rPr>
                <w:rFonts w:ascii="Merriweather" w:eastAsia="Merriweather" w:hAnsi="Merriweather" w:cs="Merriweather"/>
                <w:color w:val="000000" w:themeColor="text1"/>
                <w:sz w:val="24"/>
                <w:szCs w:val="24"/>
              </w:rPr>
              <w:t xml:space="preserve"> 6. </w:t>
            </w:r>
            <w:r w:rsidRPr="009C0D18">
              <w:rPr>
                <w:rFonts w:ascii="Arial Unicode MS" w:eastAsia="Arial Unicode MS" w:hAnsi="Arial Unicode MS" w:cs="Arial Unicode MS"/>
                <w:b/>
                <w:bCs/>
                <w:color w:val="000000" w:themeColor="text1"/>
                <w:sz w:val="24"/>
                <w:szCs w:val="24"/>
              </w:rPr>
              <w:t>რუსთაველის გამზირის გადაკეტვა გრძელდებოდა ყოველდღიურად, დაახლოებით 23:30-მდე, რის შემდეგაც პოლიციის ავტომანქანები ხმის გამაძლიერებლის მეშვეობით მომიტინგეებს მოუწოდებდნენ გადაკეტილი გამზირის გათავისუფლების შესახებ. მომიტინგეები გზას ათავისუფლებდნენ და ხდებოდა ტრანსპორტის მოძრაობის აღდგენა.</w:t>
            </w:r>
            <w:r w:rsidRPr="009C0D18">
              <w:rPr>
                <w:rFonts w:ascii="Merriweather" w:eastAsia="Merriweather" w:hAnsi="Merriweather" w:cs="Merriweather"/>
                <w:color w:val="000000" w:themeColor="text1"/>
                <w:sz w:val="24"/>
                <w:szCs w:val="24"/>
              </w:rPr>
              <w:t xml:space="preserve"> 7. </w:t>
            </w:r>
            <w:r w:rsidRPr="009C0D18">
              <w:rPr>
                <w:rFonts w:ascii="Arial Unicode MS" w:eastAsia="Arial Unicode MS" w:hAnsi="Arial Unicode MS" w:cs="Arial Unicode MS"/>
                <w:b/>
                <w:bCs/>
                <w:color w:val="000000" w:themeColor="text1"/>
                <w:sz w:val="24"/>
                <w:szCs w:val="24"/>
              </w:rPr>
              <w:t>აღნიშნული პერიოდის განმავლობაში პოლიცია არასოდროს ახდენდა კომუნიკაციას შეკრება/მანიფესტაციის ინიციატორთან (ორგანიზატორთან) გზის გახსნის თაობაზე.</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საკონსტიტუციო სასამართლო, იმის გათვალისწინებით, რომ მოქალაქეებთან შედარებით ხელისუფლების პასუხისმგებელ ორგანოებს აქვთ სისტემური და უფრო ფართო </w:t>
            </w:r>
            <w:r w:rsidRPr="009C0D18">
              <w:rPr>
                <w:rFonts w:ascii="Arial Unicode MS" w:eastAsia="Arial Unicode MS" w:hAnsi="Arial Unicode MS" w:cs="Arial Unicode MS"/>
                <w:color w:val="000000" w:themeColor="text1"/>
                <w:sz w:val="24"/>
                <w:szCs w:val="24"/>
              </w:rPr>
              <w:lastRenderedPageBreak/>
              <w:t>ცოდნა შეკრებებისა და მანიფესტაციების ჩატარებასთან დაკავშირებით, სწორად უსვამს ხაზს, „რომ შეკრებისა და მანიფესტაციის თავისუფლების სასიცოცხლო დატვირთვა აქტიური სამოქალაქო საზოგადოების ფორმირებისა და ეფექტიანი დემოკრატიული მმართველობის ჩამოყალიბებისთვის სახელმწიფოს ავალდებულებს, შესაბამისი ორგანოების/პერსონალის ადეკვატური მომზადებისა და მათთვის ქცევის სათანადო ინსტრუქციის წინასწარ განსაზღვრას, რათა შეძლებისდაგვარად, შედეგიანად გაუმკლავდნენ სპონტანური შეკრების/მანიფესტაციის თანმდევ რისკებს.“</w:t>
            </w:r>
            <w:r w:rsidRPr="009C0D18">
              <w:rPr>
                <w:rFonts w:ascii="Merriweather" w:eastAsia="Merriweather" w:hAnsi="Merriweather" w:cs="Merriweather"/>
                <w:color w:val="000000" w:themeColor="text1"/>
                <w:sz w:val="24"/>
                <w:szCs w:val="24"/>
                <w:vertAlign w:val="superscript"/>
              </w:rPr>
              <w:footnoteReference w:id="34"/>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ამასთან, ტრანსპორტის სავალი ნაწილის სრულად ან ნაწილობრივ გადაკეტვა არ არის „ძალზე მარტივად ორგანიზებადი“ ქმედება</w:t>
            </w:r>
            <w:r w:rsidR="00223A0C">
              <w:rPr>
                <w:rFonts w:ascii="Sylfaen" w:eastAsia="Arial Unicode MS" w:hAnsi="Sylfaen" w:cs="Arial Unicode MS"/>
                <w:color w:val="000000" w:themeColor="text1"/>
                <w:sz w:val="24"/>
                <w:szCs w:val="24"/>
                <w:lang w:val="ka-GE"/>
              </w:rPr>
              <w:t xml:space="preserve">. </w:t>
            </w:r>
            <w:r w:rsidRPr="009C0D18">
              <w:rPr>
                <w:rFonts w:ascii="Arial Unicode MS" w:eastAsia="Arial Unicode MS" w:hAnsi="Arial Unicode MS" w:cs="Arial Unicode MS"/>
                <w:color w:val="000000" w:themeColor="text1"/>
                <w:sz w:val="24"/>
                <w:szCs w:val="24"/>
              </w:rPr>
              <w:t xml:space="preserve">აღნიშნული ქმედება მოითხოვს ორგანიზების მაღალ ხარისხს. ამასთან, იმის გათვალისწინებით რომ თანამედროვე ეპოქაში საავტომობილო ტრანსპორტი საკმაოდ მაღალ სიჩქარეს ავითარებს, მოქალაქეთა მიერ გზის გადაკეტვა მომეტებულ რისკებთან არის დაკავშირებული. ამიტომ, როგორც წესი, შეკრება მანიფესტაციების დროს გზის გადაკეტვა უნდა მოხდეს სწორედ შესაბამისი ორგანოების ჩართულობით. ამ მსჯელობასთან თანხვედრაშია „შეკრებებისა და მანიფესტაციების შესახებ“ საქართველოს კანონის საკონსტიტუციო სასამართლოსეული განმარტება, რომელიც ამბობს: „... </w:t>
            </w:r>
            <w:r w:rsidRPr="009C0D18">
              <w:rPr>
                <w:rFonts w:ascii="Arial Unicode MS" w:eastAsia="Arial Unicode MS" w:hAnsi="Arial Unicode MS" w:cs="Arial Unicode MS"/>
                <w:b/>
                <w:bCs/>
                <w:color w:val="000000" w:themeColor="text1"/>
                <w:sz w:val="24"/>
                <w:szCs w:val="24"/>
              </w:rPr>
              <w:t>შესაბამისი უფლებამოსილებით აღჭურვილი პირი, ყოველ კონკრეტულ შემთხვევაში, შეაფასებს შეკრების (მანიფესტაციის) კანონის მოთხოვნებთან შესაბამისობას.</w:t>
            </w:r>
            <w:r w:rsidRPr="009C0D18">
              <w:rPr>
                <w:rFonts w:ascii="Merriweather" w:eastAsia="Merriweather" w:hAnsi="Merriweather" w:cs="Merriweather"/>
                <w:color w:val="000000" w:themeColor="text1"/>
                <w:sz w:val="24"/>
                <w:szCs w:val="24"/>
              </w:rPr>
              <w:t>“</w:t>
            </w:r>
            <w:r w:rsidRPr="009C0D18">
              <w:rPr>
                <w:rFonts w:ascii="Merriweather" w:eastAsia="Merriweather" w:hAnsi="Merriweather" w:cs="Merriweather"/>
                <w:color w:val="000000" w:themeColor="text1"/>
                <w:sz w:val="24"/>
                <w:szCs w:val="24"/>
                <w:vertAlign w:val="superscript"/>
              </w:rPr>
              <w:footnoteReference w:id="35"/>
            </w:r>
            <w:r w:rsidRPr="009C0D18">
              <w:rPr>
                <w:rFonts w:ascii="Arial Unicode MS" w:eastAsia="Arial Unicode MS" w:hAnsi="Arial Unicode MS" w:cs="Arial Unicode MS"/>
                <w:color w:val="000000" w:themeColor="text1"/>
                <w:sz w:val="24"/>
                <w:szCs w:val="24"/>
              </w:rPr>
              <w:t xml:space="preserve"> მაშასადამე, იმ ქმედების განხორციელებას (საკმარისი რაოდენობის შეფასებას), რომელსაც საერთო სასამართლოები მოქალაქეებს აკისრებენ, საკონსტიტუციო სასამართლო საჯარო უფლებამოსილებით აღჭურვილ პირს უკავშირებს. </w:t>
            </w:r>
          </w:p>
          <w:p w:rsidR="002D3215" w:rsidRPr="009C0D18" w:rsidRDefault="002D3215">
            <w:pPr>
              <w:ind w:firstLine="720"/>
              <w:jc w:val="both"/>
              <w:rPr>
                <w:rFonts w:ascii="Merriweather" w:eastAsia="Merriweather" w:hAnsi="Merriweather" w:cs="Merriweather"/>
                <w:color w:val="000000" w:themeColor="text1"/>
                <w:sz w:val="24"/>
                <w:szCs w:val="24"/>
              </w:rPr>
            </w:pPr>
          </w:p>
          <w:p w:rsidR="002D3215" w:rsidRPr="009C0D18" w:rsidRDefault="000A68FB">
            <w:pPr>
              <w:jc w:val="both"/>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b/>
                <w:bCs/>
                <w:color w:val="000000" w:themeColor="text1"/>
                <w:sz w:val="24"/>
                <w:szCs w:val="24"/>
              </w:rPr>
              <w:t>3.სამართლებრივი უსაფრთხოება და კანონის განსაზღვრულობა</w:t>
            </w:r>
          </w:p>
          <w:p w:rsidR="002D3215" w:rsidRPr="009C0D18" w:rsidRDefault="002D3215">
            <w:pPr>
              <w:jc w:val="both"/>
              <w:rPr>
                <w:rFonts w:ascii="Merriweather" w:eastAsia="Merriweather" w:hAnsi="Merriweather" w:cs="Merriweather"/>
                <w:b/>
                <w:bCs/>
                <w:color w:val="000000" w:themeColor="text1"/>
                <w:sz w:val="24"/>
                <w:szCs w:val="24"/>
              </w:rPr>
            </w:pP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b/>
                <w:bCs/>
                <w:color w:val="000000" w:themeColor="text1"/>
                <w:sz w:val="24"/>
                <w:szCs w:val="24"/>
              </w:rPr>
              <w:t>შეკრების შემდგომ დაკისრებულ სანქციებთან დაკავშირებით ადამიანის უფლებათა ევროპული სასამართლო აღნიშნავს, რომ მე-11 მუხლის მე-2 პუნქტში მითითებული ტერმინი „შეზღუდვები“ შეკრების შემდეგ მიღებულ სადამსჯელო ზომებსაც მოიცავს.</w:t>
            </w:r>
            <w:r w:rsidRPr="009C0D18">
              <w:rPr>
                <w:rFonts w:ascii="Merriweather" w:eastAsia="Merriweather" w:hAnsi="Merriweather" w:cs="Merriweather"/>
                <w:color w:val="000000" w:themeColor="text1"/>
                <w:sz w:val="24"/>
                <w:szCs w:val="24"/>
                <w:vertAlign w:val="superscript"/>
              </w:rPr>
              <w:footnoteReference w:id="36"/>
            </w:r>
            <w:r w:rsidRPr="009C0D18">
              <w:rPr>
                <w:rFonts w:ascii="Arial Unicode MS" w:eastAsia="Arial Unicode MS" w:hAnsi="Arial Unicode MS" w:cs="Arial Unicode MS"/>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lastRenderedPageBreak/>
              <w:t>სასამართლომ დაადგინა, რომ თუ არსებობს მკაფიო და აღიარებული კავშირი მომჩივნის მიერ მშვიდობიანი შეკრების თავისუფლების განხორციელებასა და მის მიმართ მიღებულ ზომებს შორის, მისი დაკავება, დაპატიმრება და მისთვის ადმინისტრაციული ბრალდებების წაყენება კონვენციის მე-11 მუხლით გარანტირებულ უფლებაში ჩარევას წარმოადგენს.</w:t>
            </w:r>
            <w:r w:rsidRPr="009C0D18">
              <w:rPr>
                <w:rFonts w:ascii="Merriweather" w:eastAsia="Merriweather" w:hAnsi="Merriweather" w:cs="Merriweather"/>
                <w:color w:val="000000" w:themeColor="text1"/>
                <w:sz w:val="24"/>
                <w:szCs w:val="24"/>
                <w:vertAlign w:val="superscript"/>
              </w:rPr>
              <w:footnoteReference w:id="37"/>
            </w:r>
            <w:r w:rsidRPr="009C0D18">
              <w:rPr>
                <w:rFonts w:ascii="Merriweather" w:eastAsia="Merriweather" w:hAnsi="Merriweather" w:cs="Merriweather"/>
                <w:color w:val="000000" w:themeColor="text1"/>
                <w:sz w:val="24"/>
                <w:szCs w:val="24"/>
              </w:rPr>
              <w:t xml:space="preserve">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ზემოთ განვითარებული მსჯელობის გათვალისწინებით, უნდა დაისვას მთავარი შეკითხვა: აკმაყოფილებს თუ არა კანონის განსაზღვრულობის მოთხოვნას „შეკრებებისა და მანიფესტაციების შესახებ“ საქართველოს კანონის 11¹ მუხლის მე-4 ნაწილის პირველი წინადადების ის ნორმატიული შინაარსი, რომელიც ტრანსპორტის სავალი ნაწილის ხელოვნურად გადაკეტვად მოიაზრებს იმ პირის ქმედებას, რომლის მიმართაც შესაბამისი პასუხისმგებელი ორგანოს (ორგანოს წარმომადგენლის)</w:t>
            </w:r>
            <w:r w:rsidR="007E634A">
              <w:rPr>
                <w:rFonts w:ascii="Sylfaen" w:eastAsia="Arial Unicode MS" w:hAnsi="Sylfaen" w:cs="Arial Unicode MS"/>
                <w:color w:val="000000" w:themeColor="text1"/>
                <w:sz w:val="24"/>
                <w:szCs w:val="24"/>
                <w:lang w:val="ka-GE"/>
              </w:rPr>
              <w:t xml:space="preserve"> (რომელიც წინასწარ იყო ინფორმირებული აქციის თაობაზე)</w:t>
            </w:r>
            <w:r w:rsidRPr="009C0D18">
              <w:rPr>
                <w:rFonts w:ascii="Arial Unicode MS" w:eastAsia="Arial Unicode MS" w:hAnsi="Arial Unicode MS" w:cs="Arial Unicode MS"/>
                <w:color w:val="000000" w:themeColor="text1"/>
                <w:sz w:val="24"/>
                <w:szCs w:val="24"/>
              </w:rPr>
              <w:t xml:space="preserve"> მიერ არ გაჟღერებულა გაფრთხილება შეკრების ან მანიფესტაციის მონაწილეთა არასაკმარისი რაოდენობის თაობაზე?</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სამართლებრივი სახელმწიფოს პრინციპის ფუნდამენტური მოთხოვნაა, კანონმდებლობა ზოგადად, მით უფრო, ძირითადი უფლებების მზღუდავი და  განსაკუთრებით, პასუხისმგებლობის დამდგენი ნორმები, უპირობოდ შეესაბამებოდეს სამართლებრივი უსაფრთხოებისა და კანონის განსაზღვრულობის პრინციპებს: „“კანონად” შეიძლება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ჩაითვალოს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საკანონმდებლო</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საქმიანობის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მხოლოდ</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პროდუქტი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რომელიც</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პასუხობს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კანონის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ხარისხის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მოთხოვნებს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ეს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უკანასკნელი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გულისხმობს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კანონის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შესაბამისობას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სამართლის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უზენაესობისა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და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სამართლებრივი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უსაფრთხოების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პრინციპებთან</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ამ</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პრინციპების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რეალური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დაცვისთვის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პრაქტიკული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და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გადამწყვეტი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მნიშვნელობა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აქვს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კანონის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ხელმისაწვდომობასა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და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განჭვრეტადობას</w:t>
            </w:r>
            <w:r w:rsidRPr="009C0D18">
              <w:rPr>
                <w:color w:val="000000" w:themeColor="text1"/>
                <w:sz w:val="24"/>
                <w:szCs w:val="24"/>
              </w:rPr>
              <w:t xml:space="preserve">. ... </w:t>
            </w:r>
            <w:r w:rsidRPr="009C0D18">
              <w:rPr>
                <w:rFonts w:ascii="Arial Unicode MS" w:eastAsia="Arial Unicode MS" w:hAnsi="Arial Unicode MS" w:cs="Arial Unicode MS"/>
                <w:b/>
                <w:bCs/>
                <w:color w:val="000000" w:themeColor="text1"/>
                <w:sz w:val="24"/>
                <w:szCs w:val="24"/>
              </w:rPr>
              <w:t>კანონმდებელი</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ვალდებულია</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მიიღოს</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ზუსტი</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მკაფიო</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არაორაზროვანი</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განჭვრეტადი</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კანონმდებლობა</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(ნორმები),</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რომელიც</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პასუხობს</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კანონის</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განსაზღვრულობის</w:t>
            </w:r>
            <w:r w:rsidRPr="009C0D18">
              <w:rPr>
                <w:b/>
                <w:bCs/>
                <w:color w:val="000000" w:themeColor="text1"/>
                <w:sz w:val="24"/>
                <w:szCs w:val="24"/>
              </w:rPr>
              <w:t xml:space="preserve"> </w:t>
            </w:r>
            <w:r w:rsidRPr="009C0D18">
              <w:rPr>
                <w:rFonts w:ascii="Arial Unicode MS" w:eastAsia="Arial Unicode MS" w:hAnsi="Arial Unicode MS" w:cs="Arial Unicode MS"/>
                <w:b/>
                <w:bCs/>
                <w:color w:val="000000" w:themeColor="text1"/>
                <w:sz w:val="24"/>
                <w:szCs w:val="24"/>
              </w:rPr>
              <w:t>მოთხოვნას</w:t>
            </w:r>
            <w:r w:rsidRPr="009C0D18">
              <w:rPr>
                <w:b/>
                <w:bCs/>
                <w:color w:val="000000" w:themeColor="text1"/>
                <w:sz w:val="24"/>
                <w:szCs w:val="24"/>
              </w:rPr>
              <w:t>.</w:t>
            </w:r>
            <w:r w:rsidRPr="009C0D18">
              <w:rPr>
                <w:color w:val="000000" w:themeColor="text1"/>
                <w:sz w:val="24"/>
                <w:szCs w:val="24"/>
              </w:rPr>
              <w:t xml:space="preserve"> ... </w:t>
            </w:r>
            <w:r w:rsidRPr="009C0D18">
              <w:rPr>
                <w:rFonts w:ascii="Arial Unicode MS" w:eastAsia="Arial Unicode MS" w:hAnsi="Arial Unicode MS" w:cs="Arial Unicode MS"/>
                <w:color w:val="000000" w:themeColor="text1"/>
                <w:sz w:val="24"/>
                <w:szCs w:val="24"/>
              </w:rPr>
              <w:t>კანონმდებლის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ასეთი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ვალდებულება</w:t>
            </w:r>
            <w:r w:rsidRPr="009C0D18">
              <w:rPr>
                <w:color w:val="000000" w:themeColor="text1"/>
                <w:sz w:val="24"/>
                <w:szCs w:val="24"/>
              </w:rPr>
              <w:t xml:space="preserve"> </w:t>
            </w:r>
            <w:r w:rsidRPr="009C0D18">
              <w:rPr>
                <w:rFonts w:ascii="Merriweather" w:eastAsia="Merriweather" w:hAnsi="Merriweather" w:cs="Merriweather"/>
                <w:color w:val="000000" w:themeColor="text1"/>
                <w:sz w:val="24"/>
                <w:szCs w:val="24"/>
              </w:rPr>
              <w:t>...</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სამართლებრივი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სახელმწიფოს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პრინციპიდან</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მომდინარეობს“</w:t>
            </w:r>
            <w:r w:rsidRPr="009C0D18">
              <w:rPr>
                <w:rFonts w:ascii="AcadNusx" w:eastAsia="AcadNusx" w:hAnsi="AcadNusx" w:cs="AcadNusx"/>
                <w:color w:val="000000" w:themeColor="text1"/>
                <w:sz w:val="24"/>
                <w:szCs w:val="24"/>
                <w:vertAlign w:val="superscript"/>
              </w:rPr>
              <w:footnoteReference w:id="38"/>
            </w:r>
            <w:r w:rsidRPr="009C0D18">
              <w:rPr>
                <w:rFonts w:ascii="Merriweather" w:eastAsia="Merriweather" w:hAnsi="Merriweather" w:cs="Merriweather"/>
                <w:color w:val="000000" w:themeColor="text1"/>
                <w:sz w:val="24"/>
                <w:szCs w:val="24"/>
              </w:rPr>
              <w:t>.</w:t>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განსაზღვრულობის პრინციპის მთავარი ამოცანა და დანიშნულებაა, ერთი მხრივ, კანონის ადრესატმა შეძლოს მისი სწორი აღქმა და შესაბამისი სამართლებრივი შედეგების განჭვრეტა, ხოლო, მეორე მხრივ, იმგვარი საკანონმდებლო სისტემის შექმნა, რომელიც პირს დაიცავს სამართალშემფარდებლის პოტენციური შეცდომის თუ თვითნებობის, ძალაუფლების ჭარბად, ბოროტად გამოყენების საფრთხისგან: </w:t>
            </w:r>
            <w:r w:rsidRPr="009C0D18">
              <w:rPr>
                <w:b/>
                <w:bCs/>
                <w:color w:val="000000" w:themeColor="text1"/>
                <w:sz w:val="24"/>
                <w:szCs w:val="24"/>
              </w:rPr>
              <w:t xml:space="preserve">„კანონის ხარისხი მოითხოვს, რომ საკანონმდებლო რეგულაცია იყოს იმდენად მკაფიო, რომ პირმა, რომლის უფლებაში ჩარევაც </w:t>
            </w:r>
            <w:r w:rsidRPr="009C0D18">
              <w:rPr>
                <w:b/>
                <w:bCs/>
                <w:color w:val="000000" w:themeColor="text1"/>
                <w:sz w:val="24"/>
                <w:szCs w:val="24"/>
              </w:rPr>
              <w:lastRenderedPageBreak/>
              <w:t>ხდება, შეძლოს სამართლებრივი მდგომარეობის ადეკვატურად შეცნობა და საკუთარი ქმედების შესაბამისად წარმართვა.“</w:t>
            </w:r>
            <w:r w:rsidRPr="009C0D18">
              <w:rPr>
                <w:color w:val="000000" w:themeColor="text1"/>
                <w:sz w:val="24"/>
                <w:szCs w:val="24"/>
                <w:vertAlign w:val="superscript"/>
              </w:rPr>
              <w:footnoteReference w:id="39"/>
            </w:r>
          </w:p>
          <w:p w:rsidR="002D3215" w:rsidRPr="009C0D18" w:rsidRDefault="000A68FB">
            <w:pPr>
              <w:ind w:firstLine="720"/>
              <w:jc w:val="both"/>
              <w:rP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განსაკუთრებული მნიშვნელობა ენიჭება ნორმის გასაგებობას (აქ საქმე არ შეეხება ნორმის შინაარს, ანუ არ ვსაუბრობთ სამართლიანობის მატერიალურ მოთხოვნაზე). ყურადღებას ვამახვილებთ მხოლოდ იმაზე, რომ სამართალს უნდა შეეძლოს ადამიანური ქცევის მართვა და თუ ნორმა ან მისი განმარტება ამ ხარისხს ვერ აკმაყოფილებს, მაშინ მოქალაქისგან სამართალმორჩილების მოთხოვნა სრულიად უსაფუძვლოა, რადგან მორჩილება შეიძლება მხოლოდ იმის, რაც გასაგებია: </w:t>
            </w:r>
            <w:r w:rsidRPr="009C0D18">
              <w:rPr>
                <w:b/>
                <w:bCs/>
                <w:color w:val="000000" w:themeColor="text1"/>
                <w:sz w:val="24"/>
                <w:szCs w:val="24"/>
              </w:rPr>
              <w:t>„აუცილებელია ნორმის შინაარსობრივი სიზუსტე, არაორაზროვნება. ნორმა უნდა იყოს საკმარისად განსაზღვრული არა მხოლოდ შინაარსის, არამედ რეგულირების საგნის, მიზნისა და მასშტაბების მიხედვით, რათა ადრესატმა მოახდინოს კანონის სწორი აღქმა და თავისი ქცევის განხორციელება მის შესაბამისად, განჭვრიტოს ქცევის შედეგები.“</w:t>
            </w:r>
            <w:r w:rsidRPr="009C0D18">
              <w:rPr>
                <w:color w:val="000000" w:themeColor="text1"/>
                <w:sz w:val="24"/>
                <w:szCs w:val="24"/>
                <w:vertAlign w:val="superscript"/>
              </w:rPr>
              <w:footnoteReference w:id="40"/>
            </w:r>
            <w:r w:rsidRPr="009C0D18">
              <w:rPr>
                <w:color w:val="000000" w:themeColor="text1"/>
                <w:sz w:val="24"/>
                <w:szCs w:val="24"/>
              </w:rPr>
              <w:t xml:space="preserve">.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ამა თუ იმ ქმედების დასჯადად მიჩნევა და პასუხისმგებლობის დაწესება ადამიანის თავისუფლებაში ჩარევის ერთ-ერთი ყველაზე ინტენსიური ფორმაა. სამართალდარღვევის ჩადენისათვის სახელმწიფოს პასუხი, უმეტესწილად, რეპრესიული მექანიზმების ამოქმედებაა, ამიტომ „... აუცილებელია, რომ პირის ქცევის კორექტირება, აკრძალვის დაწესება და პასუხისმგებლობის დაკისრება მოხდეს მხოლოდ სათანადო კონსტიტუციური სტანდარტების შესაბამისი კანონის საფუძველზე“</w:t>
            </w:r>
            <w:r w:rsidRPr="009C0D18">
              <w:rPr>
                <w:rFonts w:ascii="Merriweather" w:eastAsia="Merriweather" w:hAnsi="Merriweather" w:cs="Merriweather"/>
                <w:color w:val="000000" w:themeColor="text1"/>
                <w:sz w:val="24"/>
                <w:szCs w:val="24"/>
                <w:vertAlign w:val="superscript"/>
              </w:rPr>
              <w:footnoteReference w:id="41"/>
            </w:r>
            <w:r w:rsidRPr="009C0D18">
              <w:rPr>
                <w:rFonts w:ascii="Arial Unicode MS" w:eastAsia="Arial Unicode MS" w:hAnsi="Arial Unicode MS" w:cs="Arial Unicode MS"/>
                <w:color w:val="000000" w:themeColor="text1"/>
                <w:sz w:val="24"/>
                <w:szCs w:val="24"/>
              </w:rPr>
              <w:t>. პირისათვის პასუხისმგებლობის დაკისრება კონსტიტუციის შესაბამისი შეიძლება იყოს მხოლოდ იმ შემთხვევაში, თუ მან იცოდა ან შეეძლო წინასწარ განესაზღვრა კანონით აკრძალული ქმედების არსი, ფარგლები და სამართალდარღვევის შედეგები.</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ნიშანდობლივია, რომ კანონის განსაზღვრულობის მოთხოვნასთან დაკავშირებით პრაქტიკულად იდენტურია საქართველოს საკონსტიტუციო სასამართლოსა და ადამიანის უფლებათა ევროპული სასამართლოს მიდგომა, რომლის დამკვიდრებული პრაქტიკის თანახმად </w:t>
            </w:r>
            <w:r w:rsidRPr="009C0D18">
              <w:rPr>
                <w:rFonts w:ascii="Arial Unicode MS" w:eastAsia="Arial Unicode MS" w:hAnsi="Arial Unicode MS" w:cs="Arial Unicode MS"/>
                <w:b/>
                <w:bCs/>
                <w:color w:val="000000" w:themeColor="text1"/>
                <w:sz w:val="24"/>
                <w:szCs w:val="24"/>
              </w:rPr>
              <w:t xml:space="preserve">„კონვენციის მე-8, მე-11 მუხლებში აღნიშნული ფრაზები „კანონით დადგენილი“ და „კანონის შესაბამისად“ არა მხოლოდ იმას მოითხოვს, რომ სადავო ზომას ჰქონდეს სამართლებრივი საფუძველი ეროვნულ კანონმდებლობაში, არამედ განსახილველი კანონის </w:t>
            </w:r>
            <w:r w:rsidRPr="009C0D18">
              <w:rPr>
                <w:rFonts w:ascii="Arial Unicode MS" w:eastAsia="Arial Unicode MS" w:hAnsi="Arial Unicode MS" w:cs="Arial Unicode MS"/>
                <w:b/>
                <w:bCs/>
                <w:color w:val="000000" w:themeColor="text1"/>
                <w:sz w:val="24"/>
                <w:szCs w:val="24"/>
              </w:rPr>
              <w:lastRenderedPageBreak/>
              <w:t>ხარისხზეც მიუთითებს, რომელიც ხელმისაწვდომი უნდა იყოს დაინტერესებული პირისთვის და განჭვრეტადი მისი შედეგების მიხედვით.“</w:t>
            </w:r>
            <w:r w:rsidRPr="009C0D18">
              <w:rPr>
                <w:rFonts w:ascii="Merriweather" w:eastAsia="Merriweather" w:hAnsi="Merriweather" w:cs="Merriweather"/>
                <w:color w:val="000000" w:themeColor="text1"/>
                <w:sz w:val="24"/>
                <w:szCs w:val="24"/>
                <w:vertAlign w:val="superscript"/>
              </w:rPr>
              <w:footnoteReference w:id="42"/>
            </w:r>
          </w:p>
          <w:p w:rsidR="0021188B" w:rsidRDefault="000A68FB">
            <w:pPr>
              <w:ind w:firstLine="720"/>
              <w:jc w:val="both"/>
              <w:rPr>
                <w:rFonts w:ascii="Sylfaen" w:eastAsia="Arial Unicode MS" w:hAnsi="Sylfaen" w:cs="Arial Unicode MS"/>
                <w:color w:val="000000" w:themeColor="text1"/>
                <w:sz w:val="24"/>
                <w:szCs w:val="24"/>
                <w:lang w:val="ka-GE"/>
              </w:rPr>
            </w:pPr>
            <w:r w:rsidRPr="009C0D18">
              <w:rPr>
                <w:rFonts w:ascii="Arial Unicode MS" w:eastAsia="Arial Unicode MS" w:hAnsi="Arial Unicode MS" w:cs="Arial Unicode MS"/>
                <w:color w:val="000000" w:themeColor="text1"/>
                <w:sz w:val="24"/>
                <w:szCs w:val="24"/>
              </w:rPr>
              <w:t xml:space="preserve">ბოლო თვეებში განვითარებული ნორმატიული შინაარსის თანახმად, სასამართლო პირს ავტომატურად, ტრანსპორტის სავალ ნაწილზე გადასვლისთანავე ცნობს სამართალდამრღვევად იმ შემთხვევაში, როდესაც ტროტუარზე ადგილი არის. სასამართლოს მიერ პირის ადმინისტრაციულ სამართალდამრღვევად მიჩნევის ტესტი, რომელსაც შეგვიძლია </w:t>
            </w:r>
            <w:r w:rsidRPr="009C0D18">
              <w:rPr>
                <w:rFonts w:ascii="Arial Unicode MS" w:eastAsia="Arial Unicode MS" w:hAnsi="Arial Unicode MS" w:cs="Arial Unicode MS"/>
                <w:b/>
                <w:bCs/>
                <w:color w:val="000000" w:themeColor="text1"/>
                <w:sz w:val="24"/>
                <w:szCs w:val="24"/>
              </w:rPr>
              <w:t xml:space="preserve">„ტროტუარზე ერთი ადგილის ტესტი“ </w:t>
            </w:r>
            <w:r w:rsidRPr="009C0D18">
              <w:rPr>
                <w:rFonts w:ascii="Arial Unicode MS" w:eastAsia="Arial Unicode MS" w:hAnsi="Arial Unicode MS" w:cs="Arial Unicode MS"/>
                <w:color w:val="000000" w:themeColor="text1"/>
                <w:sz w:val="24"/>
                <w:szCs w:val="24"/>
              </w:rPr>
              <w:t>ვუწოდოთ, ვერ ამართლებს გონივრულობის სტანდარტს.</w:t>
            </w:r>
            <w:r w:rsidR="00055B6F">
              <w:rPr>
                <w:rFonts w:ascii="Sylfaen" w:eastAsia="Arial Unicode MS" w:hAnsi="Sylfaen" w:cs="Arial Unicode MS"/>
                <w:color w:val="000000" w:themeColor="text1"/>
                <w:sz w:val="24"/>
                <w:szCs w:val="24"/>
                <w:lang w:val="ka-GE"/>
              </w:rPr>
              <w:t xml:space="preserve"> სხვა სიტყვებით ამ ტესტს „ავტობუსის ტესტიც“ შეიძლება დავარქვათ</w:t>
            </w:r>
            <w:r w:rsidR="0021188B">
              <w:rPr>
                <w:rFonts w:ascii="Sylfaen" w:eastAsia="Arial Unicode MS" w:hAnsi="Sylfaen" w:cs="Arial Unicode MS"/>
                <w:color w:val="000000" w:themeColor="text1"/>
                <w:sz w:val="24"/>
                <w:szCs w:val="24"/>
                <w:lang w:val="ka-GE"/>
              </w:rPr>
              <w:t>,</w:t>
            </w:r>
            <w:r w:rsidR="00055B6F">
              <w:rPr>
                <w:rFonts w:ascii="Sylfaen" w:eastAsia="Arial Unicode MS" w:hAnsi="Sylfaen" w:cs="Arial Unicode MS"/>
                <w:color w:val="000000" w:themeColor="text1"/>
                <w:sz w:val="24"/>
                <w:szCs w:val="24"/>
                <w:lang w:val="ka-GE"/>
              </w:rPr>
              <w:t xml:space="preserve"> რომლის თანახმად ავტობუსში </w:t>
            </w:r>
            <w:r w:rsidR="0021188B">
              <w:rPr>
                <w:rFonts w:ascii="Sylfaen" w:eastAsia="Arial Unicode MS" w:hAnsi="Sylfaen" w:cs="Arial Unicode MS"/>
                <w:color w:val="000000" w:themeColor="text1"/>
                <w:sz w:val="24"/>
                <w:szCs w:val="24"/>
                <w:lang w:val="ka-GE"/>
              </w:rPr>
              <w:t>ამსვლელი</w:t>
            </w:r>
            <w:r w:rsidR="00055B6F">
              <w:rPr>
                <w:rFonts w:ascii="Sylfaen" w:eastAsia="Arial Unicode MS" w:hAnsi="Sylfaen" w:cs="Arial Unicode MS"/>
                <w:color w:val="000000" w:themeColor="text1"/>
                <w:sz w:val="24"/>
                <w:szCs w:val="24"/>
                <w:lang w:val="ka-GE"/>
              </w:rPr>
              <w:t xml:space="preserve"> მგზავრი სხვა მგზავრებს თხოვს შემჭიდროვდნენ და ავტობუსში აუშვან.</w:t>
            </w:r>
            <w:r w:rsidR="0021188B">
              <w:rPr>
                <w:rFonts w:ascii="Sylfaen" w:eastAsia="Arial Unicode MS" w:hAnsi="Sylfaen" w:cs="Arial Unicode MS"/>
                <w:color w:val="000000" w:themeColor="text1"/>
                <w:sz w:val="24"/>
                <w:szCs w:val="24"/>
                <w:lang w:val="ka-GE"/>
              </w:rPr>
              <w:t xml:space="preserve">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სასამართლოს გადაწყვეტილებებში აპელირება კანონის არცოდნაზე ხდება. მათში ვკითხულობთ:</w:t>
            </w:r>
            <w:r w:rsidRPr="009C0D18">
              <w:rPr>
                <w:rFonts w:ascii="Merriweather" w:eastAsia="Merriweather" w:hAnsi="Merriweather" w:cs="Merriweather"/>
                <w:b/>
                <w:bCs/>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„ადმინისტრაციულ პასუხისგებაში მიცემული პირის არგუმენტთნ დაკავშირებით სასამართლო დამატებით მიუთითებს საქართველოს უზენაესი სასამართლოს განმარტებაზე, რომლის თანახმად „სამართლებრივი შეცდომა შეუძლებელია გავაიგივოთ კანონის არცოდნასთან, რომელსაც ადგილი აქვს იმ შემთხვევაში, თუ პირმა საერთოდ არ იცოდა საქართველოს პარლამენტის მიერ მიღებული და კანონით დადგენილი წესით ძალაში შესული კანონის არსებობის შესახებ მაშინ, როდესაც უნდა სცოდნოდა და ობიექტურად შეძლო სცოდნოდა ამის შესახებ.“ (სუსგ 07.10.2014წ. Nბს-222-219(კ-14)). ამდენად, სასამართლო აღნინავს, რომ კანონის არცოდნა არ შეიძლება იყოს კანონის გამოუყენებლობის ან/და ამ კანონით გათვალისწინებული პასუხისმგებლობისგან გათავისუფლების საფუძველი. შესაბამისად, სასამართლო განმარტავს, ადმინისტრაციულ პასუხისგებაში მიცემული პირის განმარტება, რომ მისთვის არ იყო ცნობილი შესაბამისი ქმედების კანონსაწინააღმდეგო ხასიათის შესახებ, აღნიშნულის თაობაზე არ ყოფილან გაფრთხილებული, ... არადამაჯერებელი და საფუძველს მოკლებულია.“</w:t>
            </w:r>
            <w:r w:rsidRPr="009C0D18">
              <w:rPr>
                <w:rFonts w:ascii="Merriweather" w:eastAsia="Merriweather" w:hAnsi="Merriweather" w:cs="Merriweather"/>
                <w:color w:val="000000" w:themeColor="text1"/>
                <w:sz w:val="24"/>
                <w:szCs w:val="24"/>
                <w:vertAlign w:val="superscript"/>
              </w:rPr>
              <w:footnoteReference w:id="43"/>
            </w:r>
          </w:p>
          <w:p w:rsidR="002D3215" w:rsidRPr="009C0D18" w:rsidRDefault="000A68FB">
            <w:pPr>
              <w:ind w:firstLine="720"/>
              <w:jc w:val="both"/>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color w:val="000000" w:themeColor="text1"/>
                <w:sz w:val="24"/>
                <w:szCs w:val="24"/>
              </w:rPr>
              <w:t>თუმცა, აქ საქმე გვაქვს არა კანონის არცოდნასთან (დაჯარიმებულებმა იცოდნენ, რომ ტრანსპორტის სავალი ნაწილის ხელოვნურად გადაკეტვა აკრძალული იყო, თუმცა მთავარი აქცენტი უნდა დაეთმოს „ხელოვნურობის“ შეფასების სტანდარტს) , არამედ</w:t>
            </w:r>
            <w:r w:rsidRPr="009C0D18">
              <w:rPr>
                <w:rFonts w:ascii="Arial Unicode MS" w:eastAsia="Arial Unicode MS" w:hAnsi="Arial Unicode MS" w:cs="Arial Unicode MS"/>
                <w:b/>
                <w:bCs/>
                <w:color w:val="000000" w:themeColor="text1"/>
                <w:sz w:val="24"/>
                <w:szCs w:val="24"/>
              </w:rPr>
              <w:t xml:space="preserve"> კანონის ნორმის </w:t>
            </w:r>
            <w:r w:rsidRPr="009C0D18">
              <w:rPr>
                <w:rFonts w:ascii="Arial Unicode MS" w:eastAsia="Arial Unicode MS" w:hAnsi="Arial Unicode MS" w:cs="Arial Unicode MS"/>
                <w:b/>
                <w:bCs/>
                <w:color w:val="000000" w:themeColor="text1"/>
                <w:sz w:val="24"/>
                <w:szCs w:val="24"/>
              </w:rPr>
              <w:lastRenderedPageBreak/>
              <w:t>იმ ნორმატიული შინაარსის ცოდნის შეუძლებლობასთან, რომელიც პირისგან მოითხოვს იმას, რომ მან ის გარემოებები, რომელთაც ადგილზე ხედავს, შეაფასოს არაგონივრული სტანდარტით. მაგალითად, ის გარემოება, რომ ადგილზე არიან სამართალდამცავი ორგანოს წარმომადგენლები, რომლებიც თავად კეტავენ გზის სატრანსპორტო ნაწილს, შეაფასოს, როგორც მათი მხრიდან იმ ტიპის კომუნიკაციის გამოვლენა, რომელიც სატრანსპორტო ნაწილის კანონის მოთხოვნებთან შეუსაბამო გადაკეტვაზე მეტყველებს.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b/>
                <w:bCs/>
                <w:color w:val="000000" w:themeColor="text1"/>
                <w:sz w:val="24"/>
                <w:szCs w:val="24"/>
              </w:rPr>
              <w:t>სამართლის ნორმა არ შეიძლება მოქალაქისგან მოითხოვდეს, რომ იგი იყოს სივრცის ექსპერტი,</w:t>
            </w:r>
            <w:r w:rsidRPr="009C0D18">
              <w:rPr>
                <w:rFonts w:ascii="Arial Unicode MS" w:eastAsia="Arial Unicode MS" w:hAnsi="Arial Unicode MS" w:cs="Arial Unicode MS"/>
                <w:color w:val="000000" w:themeColor="text1"/>
                <w:sz w:val="24"/>
                <w:szCs w:val="24"/>
              </w:rPr>
              <w:t xml:space="preserve"> რომ მან ზუსტად იცოდეს, თუ მოქალაქეთა რა რაოდენობაა საკმარისი გზის სავალი ნაწილის კანონიერად გადაკეტვისთვის. </w:t>
            </w:r>
            <w:r w:rsidRPr="009C0D18">
              <w:rPr>
                <w:rFonts w:ascii="Arial Unicode MS" w:eastAsia="Arial Unicode MS" w:hAnsi="Arial Unicode MS" w:cs="Arial Unicode MS"/>
                <w:b/>
                <w:bCs/>
                <w:color w:val="000000" w:themeColor="text1"/>
                <w:sz w:val="24"/>
                <w:szCs w:val="24"/>
              </w:rPr>
              <w:t>მისი კანონშესაბამისი ქცევის კონსტრუირებაში დახმარება უნდა გასწიოს სამართალდამცავი ორგანოს წარმომადგენელმა.</w:t>
            </w:r>
            <w:r w:rsidRPr="009C0D18">
              <w:rPr>
                <w:rFonts w:ascii="Merriweather" w:eastAsia="Merriweather" w:hAnsi="Merriweather" w:cs="Merriweather"/>
                <w:color w:val="000000" w:themeColor="text1"/>
                <w:sz w:val="24"/>
                <w:szCs w:val="24"/>
                <w:vertAlign w:val="superscript"/>
              </w:rPr>
              <w:footnoteReference w:id="44"/>
            </w:r>
            <w:r w:rsidRPr="009C0D18">
              <w:rPr>
                <w:rFonts w:ascii="Arial Unicode MS" w:eastAsia="Arial Unicode MS" w:hAnsi="Arial Unicode MS" w:cs="Arial Unicode MS"/>
                <w:color w:val="000000" w:themeColor="text1"/>
                <w:sz w:val="24"/>
                <w:szCs w:val="24"/>
              </w:rPr>
              <w:t xml:space="preserve"> ამასთან, „შეკრებებისა და მანიფესტაციების შესახებ“ კანონის მე-5 მუხლის 1-ლი ნაწილი, რომელიც მუნიციპალიტეტის აღმასრულებელი ორგანოს წინასწარი გაფრთხილების აუცილებლობაზე მიუთითებს, კიდევ უფრო ამარტივებს სამართალდამცავი ორგანოს წარმომადგენლების პროაქტიულ მოქმედებას.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თუმცა, მხოლოდ მუნიციპალიტეტის აღმასრულებელი ორგანოს წინასწარი გაფრთხილების არარსებობა არ უნდა გახდეს სანქციის დადების პირობა. იმ პირობებში, როდესაც ხელისუფლების ორგანოებმა „წინასწარი გაფრთხილების გარეშე“ იცოდნენ შეკრების გამართვის თაობაზე, აპელირება ვერ განხორციელდება „წინასწარი გაფრთხილების მოთხოვნაზე“ და მისი არარსებობის გამო მოქალაქეთა დაჯარიმებაზე.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ვენეციის კომისიისა და ეუთო/ოდირის ერთობლივი სახელმძღვანელო პრინციპები „მშვიდობიანი შეკრების თავისუფლების თაობაზე“ ამბობს: </w:t>
            </w:r>
            <w:r w:rsidRPr="009C0D18">
              <w:rPr>
                <w:rFonts w:ascii="Arial Unicode MS" w:eastAsia="Arial Unicode MS" w:hAnsi="Arial Unicode MS" w:cs="Arial Unicode MS"/>
                <w:b/>
                <w:bCs/>
                <w:color w:val="000000" w:themeColor="text1"/>
                <w:sz w:val="24"/>
                <w:szCs w:val="24"/>
              </w:rPr>
              <w:t>„სამართალდამცავი ორგანოები პროაქტიულები უნდა იყვნენ შეკრების ორგანიზატორებთან ურთიერთობისას:</w:t>
            </w:r>
            <w:r w:rsidRPr="009C0D18">
              <w:rPr>
                <w:rFonts w:ascii="Arial Unicode MS" w:eastAsia="Arial Unicode MS" w:hAnsi="Arial Unicode MS" w:cs="Arial Unicode MS"/>
                <w:color w:val="000000" w:themeColor="text1"/>
                <w:sz w:val="24"/>
                <w:szCs w:val="24"/>
              </w:rPr>
              <w:t xml:space="preserve"> ისინი უნდა ეცადონ, გააგზავნონ მკაფიო შეტყობინებები, რომლებიც ასახავს ხალხის მოლოდინებს და შეამცირებს კონფლიქტის ესკალაციის პოტენციალს. გარდა ამისა, სამართალდამცავ ორგანოში უნდა არსებობდეს საკონტაქტო პირი, რომელთანაც მომიტინგეებს შეეძლებათ ჰქონდეთ კავშირი შეკრებამდე ან შეკრების დროს. ეს საკონტაქტო ინფორმაცია ფართოდ უნდა იყოს ხელმისაწვდომი.“</w:t>
            </w:r>
            <w:r w:rsidRPr="009C0D18">
              <w:rPr>
                <w:rFonts w:ascii="Merriweather" w:eastAsia="Merriweather" w:hAnsi="Merriweather" w:cs="Merriweather"/>
                <w:color w:val="000000" w:themeColor="text1"/>
                <w:sz w:val="24"/>
                <w:szCs w:val="24"/>
                <w:vertAlign w:val="superscript"/>
              </w:rPr>
              <w:footnoteReference w:id="45"/>
            </w:r>
            <w:r w:rsidRPr="009C0D18">
              <w:rPr>
                <w:rFonts w:ascii="Arial Unicode MS" w:eastAsia="Arial Unicode MS" w:hAnsi="Arial Unicode MS" w:cs="Arial Unicode MS"/>
                <w:color w:val="000000" w:themeColor="text1"/>
                <w:sz w:val="24"/>
                <w:szCs w:val="24"/>
              </w:rPr>
              <w:t xml:space="preserve"> ამასთან </w:t>
            </w:r>
            <w:r w:rsidRPr="009C0D18">
              <w:rPr>
                <w:rFonts w:ascii="Arial Unicode MS" w:eastAsia="Arial Unicode MS" w:hAnsi="Arial Unicode MS" w:cs="Arial Unicode MS"/>
                <w:b/>
                <w:bCs/>
                <w:color w:val="000000" w:themeColor="text1"/>
                <w:sz w:val="24"/>
                <w:szCs w:val="24"/>
              </w:rPr>
              <w:t xml:space="preserve">„საპოლიციო მოქმედება უნდა ხასიათდებოდეს „სიურპრიზების არარსებობის“ პოლიტიკით: სამართალდამცავმა ორგანოებმა ხალხში მყოფ </w:t>
            </w:r>
            <w:r w:rsidRPr="009C0D18">
              <w:rPr>
                <w:rFonts w:ascii="Arial Unicode MS" w:eastAsia="Arial Unicode MS" w:hAnsi="Arial Unicode MS" w:cs="Arial Unicode MS"/>
                <w:b/>
                <w:bCs/>
                <w:color w:val="000000" w:themeColor="text1"/>
                <w:sz w:val="24"/>
                <w:szCs w:val="24"/>
              </w:rPr>
              <w:lastRenderedPageBreak/>
              <w:t>ადამიანებს დრო უნდა მისცენ, რათა ინდივიდუალურად უპასუხონ მათ წინაშე არსებულ სიტუაციას, მათ შორის, მათთვის მიცემულ ნებისმიერ გაფრთხილებას ან მითითებას.“</w:t>
            </w:r>
            <w:r w:rsidRPr="009C0D18">
              <w:rPr>
                <w:rFonts w:ascii="Merriweather" w:eastAsia="Merriweather" w:hAnsi="Merriweather" w:cs="Merriweather"/>
                <w:color w:val="000000" w:themeColor="text1"/>
                <w:sz w:val="24"/>
                <w:szCs w:val="24"/>
                <w:vertAlign w:val="superscript"/>
              </w:rPr>
              <w:footnoteReference w:id="46"/>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სწორედ მოულოდნელობაა რამდენიმე დღისა თუ თვის შემდეგ იმის შეტყობა, რომ პირის მიერ სამართალდარღვევა იქნა ჩადენილი, განსაკუთრებით იმ შემთხვევაში, როდესაც ქმედების განხორციელების მომენტში აღნიშნული ქცევა ამ პირის მიერ შეფასებული არ იყო, როგორც სამართალდარღვევა და ამ შეფასების გაკეთებაში „დახმარება“, უპირველეს ყოვლისა, საკუთარი პასიური, თუ ზოგჯერ, აქტიური ქმედებებით, სამართალდამცავმა ორგანომ გასწია.</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„მშვიდობიანი შეკრების თავისუფლებაზე“ გაეროს გენერალური ასამბლეის ადამიანის უფლებათა საბჭოს ანგარიში მიუთითებს, რომ „შეკრებების სათანადო ხელშეწყობა ასევე ყველა შესაბამის მხარეს შორის ეფექტური კომუნიკაციითა და თანამშრომლობით ხასიათდება. ხელისუფლებას (მათ შორის შეტყობინებების მიღებაზე პასუხისმგებელ ორგანოსა და სამართალდამცავ ორგანოებს) და, სადაც იდენტიფიცირებადია, შეკრების ორგანიზატორებს შორის, ღია დიალოგი შეკრებამდე, შეკრების დროს და შეკრების შემდეგ, დამცავი და ხელშემწყობი მიდგომის გამოყენების საშუალებას იძლევა, რაც ხელს უწყობს დაძაბულობის განმუხტვას და ესკალაციის თავიდან აცილებას. სამართალდამცავმა ორგანოებმა და თანამდებობის პირებმა უნდა გადადგან ყველა გონივრული ნაბიჯი შეკრების ორგანიზატორებთან და/ან მონაწილეებთან საპოლიციო ოპერაციისა და ნებისმიერი უსაფრთხოების ზომების შესახებ კომუნიკაციისთვის. </w:t>
            </w:r>
            <w:r w:rsidRPr="009C0D18">
              <w:rPr>
                <w:rFonts w:ascii="Arial Unicode MS" w:eastAsia="Arial Unicode MS" w:hAnsi="Arial Unicode MS" w:cs="Arial Unicode MS"/>
                <w:b/>
                <w:bCs/>
                <w:color w:val="000000" w:themeColor="text1"/>
                <w:sz w:val="24"/>
                <w:szCs w:val="24"/>
              </w:rPr>
              <w:t>კომუნიკაცია არ შემოიფარგლება მხოლოდ ვერბალური კომუნიკაციით და სამართალდამცავი ორგანოების წარმომადგენლები უნდა იყვნენ გაწვრთნილი ნებისმიერი არაპირდაპირი კომუნიკაციის შესაძლო ზეგავლენის შესახებ, რომელიც ორგანიზატორებმა და მონაწილეებმა შეიძლება დაშინებად აღიქვან, მაგალითად, გარკვეული აღჭურვილობის არსებობა ან გამოყენება და თანამდებობის პირების სხეულის ენა.“</w:t>
            </w:r>
            <w:r w:rsidRPr="009C0D18">
              <w:rPr>
                <w:rFonts w:ascii="Merriweather" w:eastAsia="Merriweather" w:hAnsi="Merriweather" w:cs="Merriweather"/>
                <w:color w:val="000000" w:themeColor="text1"/>
                <w:sz w:val="24"/>
                <w:szCs w:val="24"/>
                <w:vertAlign w:val="superscript"/>
              </w:rPr>
              <w:footnoteReference w:id="47"/>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საქართველოს შინაგან საქმეთა მინისტრის 2015 წლის 30 დეკემბრის № 1002 ბრძანებით დამტკიცებულია „შეკრებებისა და მანიფესტაციების დროს საქართველოს შინაგან საქმეთა სამინისტროს მოსამსახურეთა ქცევის სახელმძღვანელო ინსტრუქცია“, რომელშიც „მოლაპარაკება“ განმარტებულია, როგორც სამართალდამცავ ორგანოთა წარმომადგენლებსა </w:t>
            </w:r>
            <w:r w:rsidRPr="009C0D18">
              <w:rPr>
                <w:rFonts w:ascii="Arial Unicode MS" w:eastAsia="Arial Unicode MS" w:hAnsi="Arial Unicode MS" w:cs="Arial Unicode MS"/>
                <w:color w:val="000000" w:themeColor="text1"/>
                <w:sz w:val="24"/>
                <w:szCs w:val="24"/>
              </w:rPr>
              <w:lastRenderedPageBreak/>
              <w:t>და შეკრების/მანიფესტაციის ორგანიზატორებს შორის კომუნიკაცია, რომელიც მიმართულია მხარეთა ურთიერთშეთანხმების მიღწევისა და არსებული ვითარების მშვიდობიანი განმუხტვისაკენ (მუხლი 3, „ზ“ ქვეპუნქტი). ინსტრუქციის თანახმად, მოლაპარაკების საჭიროება განპირობებულია შეკრების/მანიფესტაციის ჩატარების დროს დაძაბულობისა და მოსალოდნელი სამართალდარღვევების თავიდან აცილების მიზნით (მუხლი 6(1)).</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კომუნიკაციად უნდა იქნეს განმარტებული „გაფრთხილების არმიცემა“, ანუ უმოქმედობა. კომუნიკაციად უნდა იქნას განმარტებული პოლიციის მიერ დემონსტრანტებისთვის დახმარების გაწევა გზის ჩაკეტვაში.  ასევე კომუნიკაციად უნდა იქნეს განმარტებული შინაგან საქმეთა სამინისტროს საპატრულო პოლიციის დეპარტამენტის მანქანების ორივე მხრიდან ქუჩის შუა ნაწილებში დგომის ფაქტი.</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ამდენად, მაშინ, როდესაც ადგილზე მყოფი პოლიციის მიერ არ წარმოებს აქტიური მოქმედებები გზის სავალი ნაწილის გახსნისათვის, როდესაც ისინი არ აფრთხილებენ აქციის მონაწილეებს, აღნიშნული მათ [დემონსტრანტებს] აფიქრებინებს, რომ ტრანსპორტის სავალი ნაწილი სრულიად კანონიერად არის გადაკეტილი. მით უმეტეს, იმ დროს, როდესაც, ამ კონკრეტულ შემთხვევებში – რუსთაველის გამზირზე თავად პოლიცია კეტავს მისასვლელ გზებს და განსაზღვრავს ტრანსპორტის ალტერნატიულ მარშრუტს.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ეუთოს დემოკრატიული ინსტიტუტებისა და ადამიანის უფლებების ოფისის მიერ შემუშავდა „ადამიანის უფლებების სახელმძღვანელო შეკრებების დროს პოლიციის მიერ წესრიგის დაცვის შესახებ“, რომლის თანახმად, შეკრების ადამიანის უფლებებზე დაფუძნებული საპოლიციო მართვა ეფუძნება ოთხ ძირითად პრინციპს: 1. ცოდნა შეკრებაში მონაწილე ჯგუფების შესახებ, 2. ფასილიტაცია; 3. კომუნიკაცია; და 4. შეკრების მონაწილეთა დიფერენცირება.</w:t>
            </w:r>
            <w:r w:rsidRPr="009C0D18">
              <w:rPr>
                <w:rFonts w:ascii="Merriweather" w:eastAsia="Merriweather" w:hAnsi="Merriweather" w:cs="Merriweather"/>
                <w:color w:val="000000" w:themeColor="text1"/>
                <w:sz w:val="24"/>
                <w:szCs w:val="24"/>
                <w:vertAlign w:val="superscript"/>
              </w:rPr>
              <w:footnoteReference w:id="48"/>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საერთო სასამართლოების მიერ აქციის მონაწილეთა დაჯარიმების პრაქტიკა ადასტურებს, რომ სახდელის დაკისრებისთვის საკმარისია პირი დააფიქსიროს ვიდეოკამერამ გადაკეტილ გზაზე დგომისას, როდესაც აქციაზე (სასამართლოს შეფასებით) გზის გადაკეტვისთვის არასაკმარისი ხალხის რაოდენობაა. აღნიშნული წარმოშობს ისეთ აბსურდულ ვითარებას, რომელიც </w:t>
            </w:r>
            <w:r w:rsidRPr="009C0D18">
              <w:rPr>
                <w:rFonts w:ascii="Arial Unicode MS" w:eastAsia="Arial Unicode MS" w:hAnsi="Arial Unicode MS" w:cs="Arial Unicode MS"/>
                <w:b/>
                <w:bCs/>
                <w:color w:val="000000" w:themeColor="text1"/>
                <w:sz w:val="24"/>
                <w:szCs w:val="24"/>
              </w:rPr>
              <w:t>ტრანსპორტის სავალ გზაზე მყოფ აქციის მონაწილეს ავალდებულებს, მუდმივად აკონტროლოს ხალხის რაოდენობა, რათა არ აღმოჩნდეს სამართალდამრღვევის მდგომარეობაში.</w:t>
            </w:r>
            <w:r w:rsidRPr="009C0D18">
              <w:rPr>
                <w:rFonts w:ascii="Arial Unicode MS" w:eastAsia="Arial Unicode MS" w:hAnsi="Arial Unicode MS" w:cs="Arial Unicode MS"/>
                <w:color w:val="000000" w:themeColor="text1"/>
                <w:sz w:val="24"/>
                <w:szCs w:val="24"/>
              </w:rPr>
              <w:t xml:space="preserve"> ამასთან, ეს „შეუსრულებელი მისია“ კიდევ უფრო მძაფრია, თუ შეკრების მიმდინარეობის სპეციფიკასა და კონტექსტს გავითვალისწინებთ; </w:t>
            </w:r>
            <w:r w:rsidRPr="009C0D18">
              <w:rPr>
                <w:rFonts w:ascii="Arial Unicode MS" w:eastAsia="Arial Unicode MS" w:hAnsi="Arial Unicode MS" w:cs="Arial Unicode MS"/>
                <w:color w:val="000000" w:themeColor="text1"/>
                <w:sz w:val="24"/>
                <w:szCs w:val="24"/>
              </w:rPr>
              <w:lastRenderedPageBreak/>
              <w:t>შეკრება და მანიფესტაცია „ცოცხალი ორგანიზმია“, რომლის გააზრებაც, მაშასადამე მისი სპეციფიკის გაგება, შეუძლებელია სტატიკური დაკვირვებით. შეკრების დროს ადამიანები გადაადგილდებიან ერთი ადგილიდან მეორემდე, ერთმანეთს უზიარებენ აზრებს, ამყარებენ ერთმანეთთან კომუნიკაციას. ამდენად, შეკრების მიმდინარეობა ყოველთვის ცვალებადია, ხასიათდება ხალხის ნაკადის მომატებითა და კლებით. მაშასადამე, ვიდეოკამერის მიერ პირის დაფიქსირების სტატიკური ფაქტი, რომელიც სასამართლოსთვის საკმარისია ქმედების სამართალდარღვევად მიჩნევისთვის, ქმედების შეფასებისთვის არასრულყოფილი გარემოებაა, რადგან იგი სხვა გარემოებების შეფასებასაც საჭიროებს. ასეთი აუცილებელი ერთ-ერთი გარემოება კი გაფრთხილების ინსტიტუტის გამოყენებაა.</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ამასთან, სიტყვა „ხელოვნური“ (ტრანსპორტის სავალი ნაწილის ხელოვნურად გადაკეტვა) ნორმატიული კატეგორიაა, რომელსაც, შესაძლებელია, ჰქონდეს ჩვეული მნიშვნელობა, თუმცა არსებობს ზღვრული შემთხვევების სიმრავლეც, როდესაც „ხელოვნურობა“ არც ცალსახად გამოსარიცხია და არც ცალსახად ცხადი. ამ დროსაც კი, სასამართლოს მიერ მინიჭებული ნორმატიული შინაარსის ფარგლებში, პირს მოეთხოვება ზუსტად განსაზღვროს „ხელოვნურობის“ ხარისხი.</w:t>
            </w:r>
          </w:p>
          <w:p w:rsidR="002D3215" w:rsidRPr="009C0D18" w:rsidRDefault="002D3215">
            <w:pPr>
              <w:ind w:firstLine="720"/>
              <w:jc w:val="both"/>
              <w:rPr>
                <w:rFonts w:ascii="Merriweather" w:eastAsia="Merriweather" w:hAnsi="Merriweather" w:cs="Merriweather"/>
                <w:b/>
                <w:bCs/>
                <w:color w:val="000000" w:themeColor="text1"/>
                <w:sz w:val="24"/>
                <w:szCs w:val="24"/>
              </w:rPr>
            </w:pPr>
          </w:p>
          <w:p w:rsidR="002D3215" w:rsidRPr="009C0D18" w:rsidRDefault="002D3215">
            <w:pPr>
              <w:jc w:val="both"/>
              <w:rPr>
                <w:rFonts w:ascii="Merriweather" w:eastAsia="Merriweather" w:hAnsi="Merriweather" w:cs="Merriweather"/>
                <w:b/>
                <w:bCs/>
                <w:color w:val="000000" w:themeColor="text1"/>
                <w:sz w:val="24"/>
                <w:szCs w:val="24"/>
              </w:rPr>
            </w:pPr>
          </w:p>
          <w:p w:rsidR="002D3215" w:rsidRPr="009C0D18" w:rsidRDefault="000A68FB">
            <w:pPr>
              <w:jc w:val="both"/>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b/>
                <w:bCs/>
                <w:color w:val="000000" w:themeColor="text1"/>
                <w:sz w:val="24"/>
                <w:szCs w:val="24"/>
              </w:rPr>
              <w:t>2.პოლიციასა და აქციის მონაწილეებს შორის კომუნიკაციის აუცილებლობა</w:t>
            </w:r>
          </w:p>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ადამიანის უფლებათა ევროპული სასამართლო საქმეში </w:t>
            </w:r>
            <w:r w:rsidRPr="009C0D18">
              <w:rPr>
                <w:rFonts w:ascii="Arial Unicode MS" w:eastAsia="Arial Unicode MS" w:hAnsi="Arial Unicode MS" w:cs="Arial Unicode MS"/>
                <w:i/>
                <w:iCs/>
                <w:color w:val="000000" w:themeColor="text1"/>
                <w:sz w:val="24"/>
                <w:szCs w:val="24"/>
              </w:rPr>
              <w:t>ჩერნეგა და სხვები უკრაინის წინააღმდეგ</w:t>
            </w:r>
            <w:r w:rsidRPr="009C0D18">
              <w:rPr>
                <w:rFonts w:ascii="Arial Unicode MS" w:eastAsia="Arial Unicode MS" w:hAnsi="Arial Unicode MS" w:cs="Arial Unicode MS"/>
                <w:color w:val="000000" w:themeColor="text1"/>
                <w:sz w:val="24"/>
                <w:szCs w:val="24"/>
              </w:rPr>
              <w:t xml:space="preserve"> საუბრობს პოლიციის მოქმედებაზე და მსჯელობს: „სასამართლო ყურადღებას ამახვილებს, რომ პოლიციის ბრძანება, როგორც ჩანს, გაცემული იყო ჩვეულებრივი ხმით, გამაძლიერებლის გამოყენების გარეშე, ხმაურიანი გარემოს მიუხედავად. უფრო მეტიც, დაშლის შესახებ საწყისი მოთხოვნა გასცა პოლიციის ნიშნის გარეშე, სავარაუდოდ, სამოქალაქო პირმა ... არსებობს ეჭვი, რომ ბრძანება, როდესაც პოლიციამ გაიმეორა, მაშინვე გასაგონი და გასაგები არ იყო ყველა მომიტინგისთვის. ნებისმიერ შემთხვევაში, ეს გამეორება მოხდა მხოლოდ მაშინ, როდესაც მომიტინგეები უკვე შეზღუდული იყვნენ გადაადგილებაში. უფრო მეტიც, არ შეიძლება ითქვას, რომ ხელისუფლება გადატვირთული იყო ან რომ ოპერატიულმა გარემოებებმა ხელი შეუშალა მათ კომუნიკაციის უფრო მკაფიოდ ჩამოყალიბებაში.“</w:t>
            </w:r>
            <w:r w:rsidRPr="009C0D18">
              <w:rPr>
                <w:rFonts w:ascii="Merriweather" w:eastAsia="Merriweather" w:hAnsi="Merriweather" w:cs="Merriweather"/>
                <w:color w:val="000000" w:themeColor="text1"/>
                <w:sz w:val="24"/>
                <w:szCs w:val="24"/>
                <w:vertAlign w:val="superscript"/>
              </w:rPr>
              <w:footnoteReference w:id="49"/>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სასამართლო სხდომებზე ეჭვქვეშ არ დამდგარა ფაქტი, რომ აქციები იყო მშვიდობიანი და რომ იგი არ იყო აკრძალული. ევროპული სასამართლო საქმეში </w:t>
            </w:r>
            <w:r w:rsidRPr="009C0D18">
              <w:rPr>
                <w:rFonts w:ascii="Arial Unicode MS" w:eastAsia="Arial Unicode MS" w:hAnsi="Arial Unicode MS" w:cs="Arial Unicode MS"/>
                <w:i/>
                <w:iCs/>
                <w:color w:val="000000" w:themeColor="text1"/>
                <w:sz w:val="24"/>
                <w:szCs w:val="24"/>
              </w:rPr>
              <w:t xml:space="preserve">გალსტიანი სომხეთის </w:t>
            </w:r>
            <w:r w:rsidRPr="009C0D18">
              <w:rPr>
                <w:rFonts w:ascii="Arial Unicode MS" w:eastAsia="Arial Unicode MS" w:hAnsi="Arial Unicode MS" w:cs="Arial Unicode MS"/>
                <w:i/>
                <w:iCs/>
                <w:color w:val="000000" w:themeColor="text1"/>
                <w:sz w:val="24"/>
                <w:szCs w:val="24"/>
              </w:rPr>
              <w:lastRenderedPageBreak/>
              <w:t>წინააღმდეგ</w:t>
            </w:r>
            <w:r w:rsidRPr="009C0D18">
              <w:rPr>
                <w:rFonts w:ascii="Arial Unicode MS" w:eastAsia="Arial Unicode MS" w:hAnsi="Arial Unicode MS" w:cs="Arial Unicode MS"/>
                <w:color w:val="000000" w:themeColor="text1"/>
                <w:sz w:val="24"/>
                <w:szCs w:val="24"/>
              </w:rPr>
              <w:t xml:space="preserve"> საუბრობს შეკრებისა თუ მანიფესტაციის შემდეგ გამოყენებულ სანქციებზე: </w:t>
            </w:r>
            <w:r w:rsidRPr="009C0D18">
              <w:rPr>
                <w:rFonts w:ascii="Arial Unicode MS" w:eastAsia="Arial Unicode MS" w:hAnsi="Arial Unicode MS" w:cs="Arial Unicode MS"/>
                <w:b/>
                <w:bCs/>
                <w:color w:val="000000" w:themeColor="text1"/>
                <w:sz w:val="24"/>
                <w:szCs w:val="24"/>
              </w:rPr>
              <w:t>„მშვიდობიან შეკრებაში მონაწილეობის თავისუფლება იმდენად მნიშვნელოვანია, რომ პირს არ შეიძლია დაეკისროს სანქცია – თუნდაც დისციპლინური სახდელის ქვედა ზღვრული – იმ დემონსტრაციაში მონაწილეობისთვის, რომელიც არ იყო აკრძალული, თუ ეს პირი თავად არ ჩაიდენს რაიმე გასაკიცხ ქმედებას ასეთ შემთხვევაში.“</w:t>
            </w:r>
            <w:r w:rsidRPr="009C0D18">
              <w:rPr>
                <w:rFonts w:ascii="Merriweather" w:eastAsia="Merriweather" w:hAnsi="Merriweather" w:cs="Merriweather"/>
                <w:color w:val="000000" w:themeColor="text1"/>
                <w:sz w:val="24"/>
                <w:szCs w:val="24"/>
                <w:vertAlign w:val="superscript"/>
              </w:rPr>
              <w:footnoteReference w:id="50"/>
            </w:r>
            <w:r w:rsidRPr="009C0D18">
              <w:rPr>
                <w:rFonts w:ascii="Arial Unicode MS" w:eastAsia="Arial Unicode MS" w:hAnsi="Arial Unicode MS" w:cs="Arial Unicode MS"/>
                <w:color w:val="000000" w:themeColor="text1"/>
                <w:sz w:val="24"/>
                <w:szCs w:val="24"/>
              </w:rPr>
              <w:t xml:space="preserve"> სასამართლოს მსჯელობა ასე გრძელდება: „... მთავრობას არ უარუყვია, </w:t>
            </w:r>
            <w:r w:rsidRPr="009C0D18">
              <w:rPr>
                <w:rFonts w:ascii="Arial Unicode MS" w:eastAsia="Arial Unicode MS" w:hAnsi="Arial Unicode MS" w:cs="Arial Unicode MS"/>
                <w:b/>
                <w:bCs/>
                <w:color w:val="000000" w:themeColor="text1"/>
                <w:sz w:val="24"/>
                <w:szCs w:val="24"/>
              </w:rPr>
              <w:t>რომ საავტომობილო მოძრაობა შეჩერებული იყო საგზაო პოლიციის მიერ დემონსტრაციის დაწყებამდე. ... ხელისუფლების ორგანოებს არ ჰქონიათ არანაირი მცდელობა დემონსტრაციის მონაწილეების დასაშლელად სავალი გზის არაკანონიერად ბლოკირების გამო. აქედან გამომდინარეობს, რომ „გზის სავალი ნაწილის ბლოკირება“, რაშიც განმცხადებელი სამართალდამრღვევად იქნა ცნობილი, ნიშნავდა მის ფიზიკურ ყოფნას იმ ქუჩაზე გამართულ დემონსტრაციაზე, რომელზეც საავტომობილო მოძრაობა უკვე იყო შეჩერებული ხელისუფლების ორგანოების მიერ იმ მიზნით, რომ ხელი შეეწყოთ კანონიერი დემონსტრაციის გამართვისთვის.“</w:t>
            </w:r>
            <w:r w:rsidRPr="009C0D18">
              <w:rPr>
                <w:rFonts w:ascii="Merriweather" w:eastAsia="Merriweather" w:hAnsi="Merriweather" w:cs="Merriweather"/>
                <w:color w:val="000000" w:themeColor="text1"/>
                <w:sz w:val="24"/>
                <w:szCs w:val="24"/>
                <w:vertAlign w:val="superscript"/>
              </w:rPr>
              <w:footnoteReference w:id="51"/>
            </w:r>
            <w:r w:rsidRPr="009C0D18">
              <w:rPr>
                <w:rFonts w:ascii="Arial Unicode MS" w:eastAsia="Arial Unicode MS" w:hAnsi="Arial Unicode MS" w:cs="Arial Unicode MS"/>
                <w:color w:val="000000" w:themeColor="text1"/>
                <w:sz w:val="24"/>
                <w:szCs w:val="24"/>
              </w:rPr>
              <w:t xml:space="preserve"> საბოლოოდ, სასამართლო ასკვნის, რომ მშვიდობიანი შეკრების თავისუფლების უფლებაში ჩარევა არ იყო „აუცილებელი დემოკრატიულ საზოგადოებაში“: </w:t>
            </w:r>
            <w:r w:rsidRPr="009C0D18">
              <w:rPr>
                <w:rFonts w:ascii="Arial Unicode MS" w:eastAsia="Arial Unicode MS" w:hAnsi="Arial Unicode MS" w:cs="Arial Unicode MS"/>
                <w:b/>
                <w:bCs/>
                <w:color w:val="000000" w:themeColor="text1"/>
                <w:sz w:val="24"/>
                <w:szCs w:val="24"/>
              </w:rPr>
              <w:t>„ამ მხრივ, სასამართლო მიიჩნევს, რომ მშვიდობიანი შეკრების თავისუფლების უფლების არსი შეილახებოდა, თუ სახელმწიფო არ აკრძალავდა დემონსტრაციას, თუმცა შემდგომ დაუწესებდა სანქციებს, განსაკუთრებით ასეთი მკაცრი სახის, მის მონაწილეებს მხოლოდ მასზე [დემონსტრაციაზე] დასწრების ფაქტის გამო ისე, რომ [მონაწილეს] არ ჰქონოდა ჩადენილი რაიმე გასაკიცხი ქმედება</w:t>
            </w:r>
            <w:r w:rsidRPr="009C0D18">
              <w:rPr>
                <w:rFonts w:ascii="Merriweather" w:eastAsia="Merriweather" w:hAnsi="Merriweather" w:cs="Merriweather"/>
                <w:color w:val="000000" w:themeColor="text1"/>
                <w:sz w:val="24"/>
                <w:szCs w:val="24"/>
              </w:rPr>
              <w:t xml:space="preserve"> ...“</w:t>
            </w:r>
            <w:r w:rsidRPr="009C0D18">
              <w:rPr>
                <w:rFonts w:ascii="Merriweather" w:eastAsia="Merriweather" w:hAnsi="Merriweather" w:cs="Merriweather"/>
                <w:color w:val="000000" w:themeColor="text1"/>
                <w:sz w:val="24"/>
                <w:szCs w:val="24"/>
                <w:vertAlign w:val="superscript"/>
              </w:rPr>
              <w:footnoteReference w:id="52"/>
            </w:r>
          </w:p>
          <w:p w:rsidR="002D3215" w:rsidRPr="009C0D18" w:rsidRDefault="002D3215">
            <w:pPr>
              <w:ind w:firstLine="720"/>
              <w:jc w:val="both"/>
              <w:rPr>
                <w:rFonts w:ascii="Merriweather" w:eastAsia="Merriweather" w:hAnsi="Merriweather" w:cs="Merriweather"/>
                <w:color w:val="000000" w:themeColor="text1"/>
                <w:sz w:val="24"/>
                <w:szCs w:val="24"/>
              </w:rPr>
            </w:pPr>
          </w:p>
          <w:p w:rsidR="002D3215" w:rsidRPr="009C0D18" w:rsidRDefault="000A68FB">
            <w:pPr>
              <w:jc w:val="both"/>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b/>
                <w:bCs/>
                <w:color w:val="000000" w:themeColor="text1"/>
                <w:sz w:val="24"/>
                <w:szCs w:val="24"/>
              </w:rPr>
              <w:t>3.პასუხისმგებლობის დამდგენი ნორმების განსაზღვრულობა</w:t>
            </w:r>
          </w:p>
          <w:p w:rsidR="002D3215" w:rsidRPr="009C0D18" w:rsidRDefault="002D3215">
            <w:pPr>
              <w:jc w:val="both"/>
              <w:rPr>
                <w:rFonts w:ascii="Merriweather" w:eastAsia="Merriweather" w:hAnsi="Merriweather" w:cs="Merriweather"/>
                <w:b/>
                <w:bCs/>
                <w:color w:val="000000" w:themeColor="text1"/>
                <w:sz w:val="24"/>
                <w:szCs w:val="24"/>
              </w:rPr>
            </w:pP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პასუხისმგებლობის დამდგენი ნორმების განსაზღვრულობის მოთხოვნა ასევე მჭიდრო კავშირშია ხელისუფლების დანაწილების პრინციპთან. სახელმწიფო</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ხელისუფლების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კონსტიტუციით</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დადგენილ</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ფარგლებში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განხორციელების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უზრუნველყოფისათვის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კანონმდებლობა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იმდენად</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ნათელი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უნდა</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იყოს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რომ</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გამოირიცხოს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მისი</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სურვილისამებრ</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ან</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სუბიექტურად</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განმარტების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ალბათობა</w:t>
            </w:r>
            <w:r w:rsidRPr="009C0D18">
              <w:rPr>
                <w:color w:val="000000" w:themeColor="text1"/>
                <w:sz w:val="24"/>
                <w:szCs w:val="24"/>
              </w:rPr>
              <w:t>.</w:t>
            </w:r>
            <w:r w:rsidRPr="009C0D18">
              <w:rPr>
                <w:rFonts w:ascii="Merriweather" w:eastAsia="Merriweather" w:hAnsi="Merriweather" w:cs="Merriweather"/>
                <w:b/>
                <w:bCs/>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 xml:space="preserve">კანონმდებლის ნების მკაფიოობის არარსებობის პირობებში, იზრდება ცდუნება და რისკი, აღმასრულებელმა და სასმართლო ხელისუფლებებმა თავად დაადგინონ საკუთარ ქმედებათა დიაპაზონი და სათანადო </w:t>
            </w:r>
            <w:r w:rsidRPr="009C0D18">
              <w:rPr>
                <w:rFonts w:ascii="Arial Unicode MS" w:eastAsia="Arial Unicode MS" w:hAnsi="Arial Unicode MS" w:cs="Arial Unicode MS"/>
                <w:color w:val="000000" w:themeColor="text1"/>
                <w:sz w:val="24"/>
                <w:szCs w:val="24"/>
              </w:rPr>
              <w:lastRenderedPageBreak/>
              <w:t>საკანონმდებლო ბოჭვის არარსებობის პირობებში, საკუთარი შეხედულებისამებრ განსაზღვრონ აკრძლული ქმედების შემადგენლობა ან/და პასუხისმგებლობის სახე, შინაარსი თუ ფარგლები.</w:t>
            </w:r>
            <w:r w:rsidRPr="009C0D18">
              <w:rPr>
                <w:rFonts w:ascii="Merriweather" w:eastAsia="Merriweather" w:hAnsi="Merriweather" w:cs="Merriweather"/>
                <w:b/>
                <w:bCs/>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ასეთ შემთხვევაში, „ქმედების დასჯადად გამოცხადების საკითხი წყდება არა კანონმდებლის მიერ, არამედ ყოველ ინდივიდუალურ შემთხვევაში – სამართალშემფარდებლის მიერ, რაც ეწინააღმდეგება ხელისუფლების დანაწილების კონსტიტუციურ პრინციპს. პასუხისმგებლობის მხოლოდ მკაფიო და განსაზღვრული კანონმდებლობით დადგენის კონსტიტუციური მოთხოვნა უზრუნველყოფს ხელისუფლების დანაწილების პრინციპის რეალიზაციასა და ძირითადი უფლებების სათანადოდ დაცვას.“</w:t>
            </w:r>
            <w:r w:rsidRPr="009C0D18">
              <w:rPr>
                <w:rFonts w:ascii="Merriweather" w:eastAsia="Merriweather" w:hAnsi="Merriweather" w:cs="Merriweather"/>
                <w:color w:val="000000" w:themeColor="text1"/>
                <w:sz w:val="24"/>
                <w:szCs w:val="24"/>
                <w:vertAlign w:val="superscript"/>
              </w:rPr>
              <w:footnoteReference w:id="53"/>
            </w:r>
            <w:r w:rsidRPr="009C0D18">
              <w:rPr>
                <w:rFonts w:ascii="Merriweather" w:eastAsia="Merriweather" w:hAnsi="Merriweather" w:cs="Merriweather"/>
                <w:color w:val="000000" w:themeColor="text1"/>
                <w:sz w:val="24"/>
                <w:szCs w:val="24"/>
              </w:rPr>
              <w:t xml:space="preserve"> </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როდესაც კანონის მოთხოვნა არ არის ცხადი, ჩნდება შესაძლებლობა, მას მიეწეროს ის ნორმატიული შინაარსი, რომელიც სცდება ან/და ეწინააღმდეგება ნორმის მიზანს, კანონის შემოღების საფუძვლებს, თუ, ზოგადად, კონსტიტუციურ წესრიგს: „ბუნდოვანი და გაუგებარი კანონმდებლობა ქმნის ნოყიერ ნიადაგს თვითნებობისათვის, შესაბამისად, კანონმდებელმა მაქსიმალურად მკაფიო, განსაზღვრული ნორმატიული რეგულირებით უნდა შეამციროს თვითნებობის რისკები სამართალშეფარდების პროცესში“.</w:t>
            </w:r>
            <w:r w:rsidRPr="009C0D18">
              <w:rPr>
                <w:rFonts w:ascii="Merriweather" w:eastAsia="Merriweather" w:hAnsi="Merriweather" w:cs="Merriweather"/>
                <w:color w:val="000000" w:themeColor="text1"/>
                <w:sz w:val="24"/>
                <w:szCs w:val="24"/>
                <w:vertAlign w:val="superscript"/>
              </w:rPr>
              <w:footnoteReference w:id="54"/>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საკონსტიტუციო სასამართლოს აზრით, „შეკრებაში (მანიფესტაციაში) მონაწილეთა მიერ გზის სავალი ნაწილის კანონის მოთხოვნათა უგულებელყოფით დაკავება ან ბლოკირება, შეკრების კანონთან შესაბამისობაში მოყვანის და არა დაუყოვნებლივ მისი შეწყვეტის საფუძველი უნდა გახდეს.“</w:t>
            </w:r>
            <w:r w:rsidRPr="009C0D18">
              <w:rPr>
                <w:rFonts w:ascii="Merriweather" w:eastAsia="Merriweather" w:hAnsi="Merriweather" w:cs="Merriweather"/>
                <w:color w:val="000000" w:themeColor="text1"/>
                <w:sz w:val="24"/>
                <w:szCs w:val="24"/>
                <w:vertAlign w:val="superscript"/>
              </w:rPr>
              <w:footnoteReference w:id="55"/>
            </w:r>
            <w:r w:rsidRPr="009C0D18">
              <w:rPr>
                <w:rFonts w:ascii="Arial Unicode MS" w:eastAsia="Arial Unicode MS" w:hAnsi="Arial Unicode MS" w:cs="Arial Unicode MS"/>
                <w:color w:val="000000" w:themeColor="text1"/>
                <w:sz w:val="24"/>
                <w:szCs w:val="24"/>
              </w:rPr>
              <w:t xml:space="preserve"> მაშასადამე, შესაბამისი პასუხისმგებელი ორგანოს წარმომადგენლები უნდა ეცადონ, კანონთან შესაბამისობაში მოიყვანონ შეკრება (როდესაც თვლიან, რომ ტრანსპორტის სავალი ნაწილის გადაკეტვა ხელოვნურია), რაც იმითაც არის </w:t>
            </w:r>
            <w:r w:rsidRPr="009C0D18">
              <w:rPr>
                <w:rFonts w:ascii="Arial Unicode MS" w:eastAsia="Arial Unicode MS" w:hAnsi="Arial Unicode MS" w:cs="Arial Unicode MS"/>
                <w:color w:val="000000" w:themeColor="text1"/>
                <w:sz w:val="24"/>
                <w:szCs w:val="24"/>
              </w:rPr>
              <w:lastRenderedPageBreak/>
              <w:t xml:space="preserve">მნიშვნელოვანი, რომ </w:t>
            </w:r>
            <w:r w:rsidRPr="009C0D18">
              <w:rPr>
                <w:rFonts w:ascii="Arial Unicode MS" w:eastAsia="Arial Unicode MS" w:hAnsi="Arial Unicode MS" w:cs="Arial Unicode MS"/>
                <w:b/>
                <w:bCs/>
                <w:color w:val="000000" w:themeColor="text1"/>
                <w:sz w:val="24"/>
                <w:szCs w:val="24"/>
              </w:rPr>
              <w:t>მათი პასიურობა</w:t>
            </w:r>
            <w:r w:rsidR="0061784A">
              <w:rPr>
                <w:rFonts w:ascii="Sylfaen" w:eastAsia="Arial Unicode MS" w:hAnsi="Sylfaen" w:cs="Arial Unicode MS"/>
                <w:b/>
                <w:bCs/>
                <w:color w:val="000000" w:themeColor="text1"/>
                <w:sz w:val="24"/>
                <w:szCs w:val="24"/>
                <w:lang w:val="ka-GE"/>
              </w:rPr>
              <w:t xml:space="preserve"> (ან მათი აქტიური დახმარება გზის გადაკეტვაში)</w:t>
            </w:r>
            <w:r w:rsidRPr="009C0D18">
              <w:rPr>
                <w:rFonts w:ascii="Arial Unicode MS" w:eastAsia="Arial Unicode MS" w:hAnsi="Arial Unicode MS" w:cs="Arial Unicode MS"/>
                <w:b/>
                <w:bCs/>
                <w:color w:val="000000" w:themeColor="text1"/>
                <w:sz w:val="24"/>
                <w:szCs w:val="24"/>
              </w:rPr>
              <w:t xml:space="preserve"> აღქმული </w:t>
            </w:r>
            <w:r w:rsidR="00436236">
              <w:rPr>
                <w:rFonts w:ascii="Sylfaen" w:eastAsia="Arial Unicode MS" w:hAnsi="Sylfaen" w:cs="Arial Unicode MS"/>
                <w:b/>
                <w:bCs/>
                <w:color w:val="000000" w:themeColor="text1"/>
                <w:sz w:val="24"/>
                <w:szCs w:val="24"/>
                <w:lang w:val="ka-GE"/>
              </w:rPr>
              <w:t>შეიძლება იქნას</w:t>
            </w:r>
            <w:r w:rsidR="00BE7552">
              <w:rPr>
                <w:rFonts w:ascii="Sylfaen" w:eastAsia="Arial Unicode MS" w:hAnsi="Sylfaen" w:cs="Arial Unicode MS"/>
                <w:b/>
                <w:bCs/>
                <w:color w:val="000000" w:themeColor="text1"/>
                <w:sz w:val="24"/>
                <w:szCs w:val="24"/>
                <w:lang w:val="ka-GE"/>
              </w:rPr>
              <w:t xml:space="preserve"> </w:t>
            </w:r>
            <w:r w:rsidRPr="009C0D18">
              <w:rPr>
                <w:rFonts w:ascii="Arial Unicode MS" w:eastAsia="Arial Unicode MS" w:hAnsi="Arial Unicode MS" w:cs="Arial Unicode MS"/>
                <w:b/>
                <w:bCs/>
                <w:color w:val="000000" w:themeColor="text1"/>
                <w:sz w:val="24"/>
                <w:szCs w:val="24"/>
              </w:rPr>
              <w:t xml:space="preserve">კანონის შესაბამისად გზის გადაკეტვის მაჩვენებლად. </w:t>
            </w:r>
          </w:p>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0A68FB">
            <w:pPr>
              <w:jc w:val="both"/>
              <w:rPr>
                <w:rFonts w:ascii="Merriweather" w:eastAsia="Merriweather" w:hAnsi="Merriweather" w:cs="Merriweather"/>
                <w:b/>
                <w:bCs/>
                <w:i/>
                <w:iCs/>
                <w:color w:val="000000" w:themeColor="text1"/>
                <w:sz w:val="24"/>
                <w:szCs w:val="24"/>
              </w:rPr>
            </w:pPr>
            <w:r w:rsidRPr="009C0D18">
              <w:rPr>
                <w:rFonts w:ascii="Arial Unicode MS" w:eastAsia="Arial Unicode MS" w:hAnsi="Arial Unicode MS" w:cs="Arial Unicode MS"/>
                <w:b/>
                <w:bCs/>
                <w:i/>
                <w:iCs/>
                <w:color w:val="000000" w:themeColor="text1"/>
                <w:sz w:val="24"/>
                <w:szCs w:val="24"/>
              </w:rPr>
              <w:t xml:space="preserve">საქართველოს კონსტიტუციის 21-ე მუხლის პირველ პუნქტთან მიმართებით საქართველოს ადმინისტრაციულ სამართალდარღვევათა კოდექსის 174¹ მუხლის მე-5 პუნქტის იმ ნაწილის კონსტიტუციურობა, რომელიც „შეკრებებისა და მანიფესტაციების შესახებ“ საქართველოს კანონის 11¹ მუხლის მე-4 ნაწილის პირველი წინადადების მოთხოვნის დარღვევისთვის ადგენს სამართალდამრღვევის დაჯარიმებას 5 000 ლარის ოდენობით. </w:t>
            </w:r>
          </w:p>
          <w:p w:rsidR="002D3215" w:rsidRPr="009C0D18" w:rsidRDefault="002D3215">
            <w:pPr>
              <w:jc w:val="both"/>
              <w:rPr>
                <w:rFonts w:ascii="Merriweather" w:eastAsia="Merriweather" w:hAnsi="Merriweather" w:cs="Merriweather"/>
                <w:b/>
                <w:bCs/>
                <w:i/>
                <w:iCs/>
                <w:color w:val="000000" w:themeColor="text1"/>
                <w:sz w:val="24"/>
                <w:szCs w:val="24"/>
              </w:rPr>
            </w:pPr>
          </w:p>
          <w:p w:rsidR="002D3215" w:rsidRPr="009C0D18" w:rsidRDefault="000A68FB">
            <w:pPr>
              <w:jc w:val="both"/>
              <w:rPr>
                <w:rFonts w:ascii="Merriweather" w:eastAsia="Merriweather" w:hAnsi="Merriweather" w:cs="Merriweather"/>
                <w:b/>
                <w:bCs/>
                <w:i/>
                <w:iCs/>
                <w:color w:val="000000" w:themeColor="text1"/>
                <w:sz w:val="24"/>
                <w:szCs w:val="24"/>
              </w:rPr>
            </w:pPr>
            <w:r w:rsidRPr="009C0D18">
              <w:rPr>
                <w:rFonts w:ascii="Arial Unicode MS" w:eastAsia="Arial Unicode MS" w:hAnsi="Arial Unicode MS" w:cs="Arial Unicode MS"/>
                <w:b/>
                <w:bCs/>
                <w:i/>
                <w:iCs/>
                <w:color w:val="000000" w:themeColor="text1"/>
                <w:sz w:val="24"/>
                <w:szCs w:val="24"/>
              </w:rPr>
              <w:t>საქართველოს ადმინისტრაციულ სამართალდარღვევათა კოდექსის 174¹ მუხლის მე-10 პუნქტის ის ნორმატიული შინაარსი, რომელიც „შეკრებებისა და მანიფესტაციების შესახებ“ საქართველოს კანონის 11¹ მუხლის მე-4 ნაწილის პირველი წინადადების მოთხოვნის დარღვევისთვის საშუალებას იძლევა, სამართალდამრღვევი დაჯარიმდეს 5 000 ლარის ოდენობით (ძველი რედაქციით 174¹ მუხლის მე-5 პუნქტზე მითითებით).</w:t>
            </w:r>
          </w:p>
          <w:p w:rsidR="002D3215" w:rsidRPr="009C0D18" w:rsidRDefault="002D3215">
            <w:pPr>
              <w:rPr>
                <w:rFonts w:ascii="Merriweather" w:eastAsia="Merriweather" w:hAnsi="Merriweather" w:cs="Merriweather"/>
                <w:b/>
                <w:bCs/>
                <w:color w:val="000000" w:themeColor="text1"/>
                <w:sz w:val="24"/>
                <w:szCs w:val="24"/>
              </w:rPr>
            </w:pPr>
          </w:p>
          <w:p w:rsidR="002D3215" w:rsidRPr="009C0D18" w:rsidRDefault="002D3215">
            <w:pPr>
              <w:rPr>
                <w:rFonts w:ascii="Merriweather" w:eastAsia="Merriweather" w:hAnsi="Merriweather" w:cs="Merriweather"/>
                <w:b/>
                <w:bCs/>
                <w:color w:val="000000" w:themeColor="text1"/>
                <w:sz w:val="24"/>
                <w:szCs w:val="24"/>
              </w:rPr>
            </w:pPr>
          </w:p>
          <w:p w:rsidR="002D3215" w:rsidRPr="009C0D18" w:rsidRDefault="002D3215">
            <w:pPr>
              <w:rPr>
                <w:rFonts w:ascii="Merriweather" w:eastAsia="Merriweather" w:hAnsi="Merriweather" w:cs="Merriweather"/>
                <w:b/>
                <w:bCs/>
                <w:color w:val="000000" w:themeColor="text1"/>
                <w:sz w:val="24"/>
                <w:szCs w:val="24"/>
              </w:rPr>
            </w:pPr>
          </w:p>
          <w:p w:rsidR="002D3215" w:rsidRPr="009C0D18" w:rsidRDefault="002D3215">
            <w:pPr>
              <w:rPr>
                <w:rFonts w:ascii="Merriweather" w:eastAsia="Merriweather" w:hAnsi="Merriweather" w:cs="Merriweather"/>
                <w:b/>
                <w:bCs/>
                <w:color w:val="000000" w:themeColor="text1"/>
                <w:sz w:val="24"/>
                <w:szCs w:val="24"/>
              </w:rPr>
            </w:pPr>
          </w:p>
          <w:p w:rsidR="002D3215" w:rsidRPr="009C0D18" w:rsidRDefault="000A68FB">
            <w:pPr>
              <w:rPr>
                <w:rFonts w:ascii="Merriweather" w:eastAsia="Merriweather" w:hAnsi="Merriweather" w:cs="Merriweather"/>
                <w:b/>
                <w:bCs/>
                <w:color w:val="000000" w:themeColor="text1"/>
                <w:sz w:val="24"/>
                <w:szCs w:val="24"/>
              </w:rPr>
            </w:pPr>
            <w:r w:rsidRPr="009C0D18">
              <w:rPr>
                <w:rFonts w:ascii="Arial Unicode MS" w:eastAsia="Arial Unicode MS" w:hAnsi="Arial Unicode MS" w:cs="Arial Unicode MS"/>
                <w:b/>
                <w:bCs/>
                <w:color w:val="000000" w:themeColor="text1"/>
                <w:sz w:val="24"/>
                <w:szCs w:val="24"/>
              </w:rPr>
              <w:t>1.საკანონმდებლო ცვლილებების ქრონოლოგია</w:t>
            </w:r>
          </w:p>
          <w:p w:rsidR="002D3215" w:rsidRPr="009C0D18" w:rsidRDefault="002D3215">
            <w:pPr>
              <w:rPr>
                <w:rFonts w:ascii="Merriweather" w:eastAsia="Merriweather" w:hAnsi="Merriweather" w:cs="Merriweather"/>
                <w:b/>
                <w:bCs/>
                <w:color w:val="000000" w:themeColor="text1"/>
                <w:sz w:val="24"/>
                <w:szCs w:val="24"/>
              </w:rPr>
            </w:pPr>
          </w:p>
          <w:p w:rsidR="002D3215" w:rsidRPr="009C0D18" w:rsidRDefault="000A68FB">
            <w:pPr>
              <w:ind w:firstLine="720"/>
              <w:jc w:val="both"/>
              <w:rPr>
                <w:color w:val="000000" w:themeColor="text1"/>
                <w:sz w:val="24"/>
                <w:szCs w:val="24"/>
              </w:rPr>
            </w:pPr>
            <w:r w:rsidRPr="009C0D18">
              <w:rPr>
                <w:color w:val="000000" w:themeColor="text1"/>
                <w:sz w:val="24"/>
                <w:szCs w:val="24"/>
              </w:rPr>
              <w:t>2024 წლის 13 დეკემბერს საქართველოს პარლამენტმა მესამე მოსმენით მიიღო საქართველოს კანონი „საქართველოს ადმინისტრაციულ სამართალდარღვევათა კოდექსში ცვლილებების შეტანის შესახებ“, რომლის მე-10 პუნქტის თანახმადაც, ადმინისტრაციულ სამართალდარღვევათა კოდექსის 174¹ მუხლის მე-4 ნაწილი ჩამოყალიბდა შემდეგი რედაქციით: „შეკრებებისა და მანიფესტაციების შესახებ“ საქართველოს კანონის მე-9 მუხლით, მე-11 მუხლით (გარდა მე-11 მუხლის მე-2 პუნქტის „ა¹“ და „ა²“ ქვეპუნქტებისა) და 11¹ მუხლით გათვალისწინებული ნორმების დარღვევა – გამოიწვევს სამართალდამრღვევის დაჯარიმებას 5 000 ლარის ოდენობით ან ადმინისტრაციულ პატიმრობას 15 დღემდე ვადით, ხოლო თუ სამართალდამრღვევი ორგანიზატორია – მის დაჯარიმებას 15 000 ლარის ოდენობით ან ადმინისტრაციულ პატიმრობას 15 დღემდე ვადით.“</w:t>
            </w:r>
            <w:r w:rsidRPr="009C0D18">
              <w:rPr>
                <w:color w:val="000000" w:themeColor="text1"/>
                <w:sz w:val="24"/>
                <w:szCs w:val="24"/>
                <w:vertAlign w:val="superscript"/>
              </w:rPr>
              <w:footnoteReference w:id="56"/>
            </w:r>
            <w:r w:rsidRPr="009C0D18">
              <w:rPr>
                <w:color w:val="000000" w:themeColor="text1"/>
                <w:sz w:val="24"/>
                <w:szCs w:val="24"/>
              </w:rPr>
              <w:t xml:space="preserve"> აღნიშნული ცვლილება ამოქმედდა გამოქვეყნებისთანავე – 2024 წლის 29 დეკემბერს. საქართველოს კანონის პროექტზე „საქართველოს ადმინისტრაციულ სამართალდარღვევათა კოდექსში ცვლილების შეტანის შესახებ“ განმარტებით ბარათში</w:t>
            </w:r>
            <w:r w:rsidRPr="009C0D18">
              <w:rPr>
                <w:color w:val="000000" w:themeColor="text1"/>
                <w:sz w:val="24"/>
                <w:szCs w:val="24"/>
                <w:vertAlign w:val="superscript"/>
              </w:rPr>
              <w:footnoteReference w:id="57"/>
            </w:r>
            <w:r w:rsidRPr="009C0D18">
              <w:rPr>
                <w:color w:val="000000" w:themeColor="text1"/>
                <w:sz w:val="24"/>
                <w:szCs w:val="24"/>
              </w:rPr>
              <w:t xml:space="preserve"> არაფერია ნათქვამი 174¹ მუხლის მე-4 ნაწილის თაობაზე – თუ რატომ გახდა საჭირო ნორმით გათვალისწინებული სანქციის ამ რაოდენობით გაზრდა. აღსანიშნავია, რომ ინიცირებულ ვარიანტში</w:t>
            </w:r>
            <w:r w:rsidRPr="009C0D18">
              <w:rPr>
                <w:color w:val="000000" w:themeColor="text1"/>
                <w:sz w:val="24"/>
                <w:szCs w:val="24"/>
                <w:vertAlign w:val="superscript"/>
              </w:rPr>
              <w:footnoteReference w:id="58"/>
            </w:r>
            <w:r w:rsidRPr="009C0D18">
              <w:rPr>
                <w:color w:val="000000" w:themeColor="text1"/>
                <w:sz w:val="24"/>
                <w:szCs w:val="24"/>
              </w:rPr>
              <w:t xml:space="preserve"> საერთოდ არ არის ნახსენები 174¹ მუხლის მე-4 ნაწილი და იგი მხოლოდ I მოსმენის</w:t>
            </w:r>
            <w:r w:rsidRPr="009C0D18">
              <w:rPr>
                <w:color w:val="000000" w:themeColor="text1"/>
                <w:sz w:val="24"/>
                <w:szCs w:val="24"/>
                <w:vertAlign w:val="superscript"/>
              </w:rPr>
              <w:footnoteReference w:id="59"/>
            </w:r>
            <w:r w:rsidRPr="009C0D18">
              <w:rPr>
                <w:color w:val="000000" w:themeColor="text1"/>
                <w:sz w:val="24"/>
                <w:szCs w:val="24"/>
              </w:rPr>
              <w:t xml:space="preserve"> დროს ჩნდება კანონის პროექტში.</w:t>
            </w:r>
          </w:p>
          <w:p w:rsidR="002D3215" w:rsidRPr="009C0D18" w:rsidRDefault="000A68FB">
            <w:pPr>
              <w:pBdr>
                <w:top w:val="nil"/>
                <w:left w:val="nil"/>
                <w:bottom w:val="nil"/>
                <w:right w:val="nil"/>
                <w:between w:val="nil"/>
              </w:pBdr>
              <w:spacing w:line="276" w:lineRule="auto"/>
              <w:ind w:firstLine="720"/>
              <w:jc w:val="both"/>
              <w:rPr>
                <w:rFonts w:ascii="Times New Roman" w:eastAsia="Times New Roman" w:hAnsi="Times New Roman" w:cs="Times New Roman"/>
                <w:color w:val="000000" w:themeColor="text1"/>
                <w:sz w:val="24"/>
                <w:szCs w:val="24"/>
              </w:rPr>
            </w:pPr>
            <w:r w:rsidRPr="009C0D18">
              <w:rPr>
                <w:rFonts w:ascii="Arial Unicode MS" w:eastAsia="Arial Unicode MS" w:hAnsi="Arial Unicode MS" w:cs="Arial Unicode MS"/>
                <w:color w:val="000000" w:themeColor="text1"/>
                <w:sz w:val="24"/>
                <w:szCs w:val="24"/>
              </w:rPr>
              <w:lastRenderedPageBreak/>
              <w:t>2025 წლის 6 თებერვალს აღნიშნული ნორმა კვლავ შეიცვალა, მისი ნუმერაცია მე-4 ნაწილის ნაცვლად გახდა მე-5 და ჩამოყალიბდა შემდეგი რედაქციით: „შეკრებებისა და მანიფესტაციების შესახებ“ საქართველოს კანონის მე-9 მუხლით, მე-11 მუხლით (გარდა მე-11 მუხლის მე-2 პუნქტის „ა¹“, „ა²“ და „ზ“ ქვეპუნქტებისა) და 11¹ მუხლით გათვალისწინებული ნორმების დარღვევა – გამოიწვევს სამართალდამრღვევის დაჯარიმებას 5 000 ლარის ოდენობით ან ადმინისტრაციულ პატიმრობას 15 დღემდე ვადით, სამართალდარღვევის საგნის კონფისკაციით, ხოლო თუ სამართალდამრღვევი ორგანიზატორია − 15 000 ლარის ოდენობით ან ადმინისტრაციულ პატიმრობას 20 დღემდე ვადით, სამართალდარღვევის საგნის კონფისკაციით.“</w:t>
            </w:r>
            <w:r w:rsidRPr="009C0D18">
              <w:rPr>
                <w:rFonts w:ascii="Times New Roman" w:eastAsia="Times New Roman" w:hAnsi="Times New Roman" w:cs="Times New Roman"/>
                <w:color w:val="000000" w:themeColor="text1"/>
                <w:sz w:val="24"/>
                <w:szCs w:val="24"/>
                <w:vertAlign w:val="superscript"/>
              </w:rPr>
              <w:footnoteReference w:id="60"/>
            </w:r>
            <w:r w:rsidRPr="009C0D18">
              <w:rPr>
                <w:rFonts w:ascii="Arial Unicode MS" w:eastAsia="Arial Unicode MS" w:hAnsi="Arial Unicode MS" w:cs="Arial Unicode MS"/>
                <w:color w:val="000000" w:themeColor="text1"/>
                <w:sz w:val="24"/>
                <w:szCs w:val="24"/>
              </w:rPr>
              <w:t xml:space="preserve"> საქართველოს კანონის პროექტზე „საქართველოს ადმინისტრაციულ სამართალდარღვევათა კოდექსში ცვლილების შეტანის შესახებ“ განმარტებით ბარათში ნათქვამია: „შესაბამისი ქმედებისთვის დაწესებულმა სანქციამ პირველ რიგში სამართალდარღვევის შემაკავებელი ფუნქცია უნდა შეასრულოს ... პრაქტიკაში ნორმის ეფექტიან აღსრულებას, ხშირ შემთხვევაში, პასუხისმგებლობის ადეკვატური ზომების არსებობა განაპირობებს. ... ადმინისტრაციულ სამართალდარღვევათა კოდექსი უნდა ითვალისწინებდეს საკმარისი სიმკაცრის მქონე სახდელებსაც, როდესაც საკითხი ეხება პოლიციელისადმი წინააღმდეგობას, წვრილმან ხულიგნობას, შეკრება-მანიფესტაციის წესების განზრახ დარღვევას, რომელიც მიმართულია საწარმოთა, დაწესებულებათა, სახელმწიფო ორგანოთა ნორმალური ფუნქციონირების განზრახი შეფერხებისკენ.“</w:t>
            </w:r>
            <w:r w:rsidRPr="009C0D18">
              <w:rPr>
                <w:rFonts w:ascii="Times New Roman" w:eastAsia="Times New Roman" w:hAnsi="Times New Roman" w:cs="Times New Roman"/>
                <w:color w:val="000000" w:themeColor="text1"/>
                <w:sz w:val="24"/>
                <w:szCs w:val="24"/>
                <w:vertAlign w:val="superscript"/>
              </w:rPr>
              <w:footnoteReference w:id="61"/>
            </w:r>
          </w:p>
          <w:p w:rsidR="002D3215" w:rsidRPr="009C0D18" w:rsidRDefault="000A68FB">
            <w:pPr>
              <w:pBdr>
                <w:top w:val="nil"/>
                <w:left w:val="nil"/>
                <w:bottom w:val="nil"/>
                <w:right w:val="nil"/>
                <w:between w:val="nil"/>
              </w:pBdr>
              <w:spacing w:line="276" w:lineRule="auto"/>
              <w:ind w:firstLine="720"/>
              <w:jc w:val="both"/>
              <w:rPr>
                <w:rFonts w:ascii="Merriweather" w:eastAsia="Merriweather" w:hAnsi="Merriweather" w:cs="Merriweather"/>
                <w:color w:val="000000" w:themeColor="text1"/>
                <w:sz w:val="24"/>
                <w:szCs w:val="24"/>
              </w:rPr>
            </w:pPr>
            <w:r w:rsidRPr="009C0D18">
              <w:rPr>
                <w:rFonts w:ascii="Times New Roman" w:eastAsia="Times New Roman" w:hAnsi="Times New Roman" w:cs="Times New Roman"/>
                <w:color w:val="000000" w:themeColor="text1"/>
                <w:sz w:val="24"/>
                <w:szCs w:val="24"/>
              </w:rPr>
              <w:t xml:space="preserve">2025 </w:t>
            </w:r>
            <w:r w:rsidRPr="009C0D18">
              <w:rPr>
                <w:rFonts w:ascii="Arial Unicode MS" w:eastAsia="Arial Unicode MS" w:hAnsi="Arial Unicode MS" w:cs="Arial Unicode MS"/>
                <w:color w:val="000000" w:themeColor="text1"/>
                <w:sz w:val="24"/>
                <w:szCs w:val="24"/>
              </w:rPr>
              <w:t>წლის 16 ოქტომბერს აღნიშნული ნორმა  კვლავ შეიცვალა, მისი ნუმერაცია მე-5 ნაწილის ნაცვლად გახდა მე-10 და ჩამოყალიბდა შემდეგნაირად: „„შეკრებებისა და მანიფესტაციების შესახებ“ საქართველოს კანონის მე-11 მუხლის მე-2 პუნქტის „ა</w:t>
            </w:r>
            <w:r w:rsidRPr="009C0D18">
              <w:rPr>
                <w:rFonts w:ascii="Times New Roman" w:eastAsia="Times New Roman" w:hAnsi="Times New Roman" w:cs="Times New Roman"/>
                <w:color w:val="000000" w:themeColor="text1"/>
                <w:sz w:val="24"/>
                <w:szCs w:val="24"/>
              </w:rPr>
              <w:t>​</w:t>
            </w:r>
            <w:r w:rsidRPr="009C0D18">
              <w:rPr>
                <w:rFonts w:ascii="2" w:eastAsia="2" w:hAnsi="2" w:cs="2"/>
                <w:color w:val="000000" w:themeColor="text1"/>
                <w:sz w:val="24"/>
                <w:szCs w:val="24"/>
              </w:rPr>
              <w:t>²</w:t>
            </w:r>
            <w:r w:rsidRPr="009C0D18">
              <w:rPr>
                <w:rFonts w:ascii="Arial Unicode MS" w:eastAsia="Arial Unicode MS" w:hAnsi="Arial Unicode MS" w:cs="Arial Unicode MS"/>
                <w:color w:val="000000" w:themeColor="text1"/>
                <w:sz w:val="24"/>
                <w:szCs w:val="24"/>
              </w:rPr>
              <w:t>“, „გ“, „ე“ და „ვ“ ქვეპუნქტებითა და 11</w:t>
            </w:r>
            <w:r w:rsidRPr="009C0D18">
              <w:rPr>
                <w:rFonts w:ascii="Times New Roman" w:eastAsia="Times New Roman" w:hAnsi="Times New Roman" w:cs="Times New Roman"/>
                <w:color w:val="000000" w:themeColor="text1"/>
                <w:sz w:val="24"/>
                <w:szCs w:val="24"/>
              </w:rPr>
              <w:t>¹​</w:t>
            </w:r>
            <w:r w:rsidRPr="009C0D18">
              <w:rPr>
                <w:rFonts w:ascii="Arial Unicode MS" w:eastAsia="Arial Unicode MS" w:hAnsi="Arial Unicode MS" w:cs="Arial Unicode MS"/>
                <w:color w:val="000000" w:themeColor="text1"/>
                <w:sz w:val="24"/>
                <w:szCs w:val="24"/>
              </w:rPr>
              <w:t xml:space="preserve"> მუხლით გათვალისწინებული ნორმების დარღვევა – გამოიწვევს ადმინისტრაციულ პატიმრობას 15 დღემდე ვადით, სამართალდარღვევის საგნის კონფისკაციით, ხოლო თუ სამართალდამრღვევი ორგანიზატორია − ადმინისტრაციულ პატიმრობას 20 დღემდე ვადით, სამართალდარღვევის საგნის კონფისკაციით. ამ კოდექსის </w:t>
            </w:r>
            <w:r w:rsidRPr="009C0D18">
              <w:rPr>
                <w:rFonts w:ascii="Arial Unicode MS" w:eastAsia="Arial Unicode MS" w:hAnsi="Arial Unicode MS" w:cs="Arial Unicode MS"/>
                <w:color w:val="000000" w:themeColor="text1"/>
                <w:sz w:val="24"/>
                <w:szCs w:val="24"/>
              </w:rPr>
              <w:lastRenderedPageBreak/>
              <w:t>32-ე მუხლის მე-3 ნაწილით გათვალისწინებულ შემთხვევაში სამართალდამრღვევს დაეკისრება ჯარიმა 5 000 ლარის ოდენობით, ხოლო თუ იმავე შემთხვევაში სამართალდამრღვევი ორგანიზატორია − 15 000 ლარის ოდენობით.“</w:t>
            </w:r>
          </w:p>
          <w:p w:rsidR="002D3215" w:rsidRPr="009C0D18" w:rsidRDefault="000A68FB">
            <w:pPr>
              <w:pBdr>
                <w:top w:val="nil"/>
                <w:left w:val="nil"/>
                <w:bottom w:val="nil"/>
                <w:right w:val="nil"/>
                <w:between w:val="nil"/>
              </w:pBdr>
              <w:spacing w:line="276" w:lineRule="auto"/>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აღსანიშნავია, რომ დღესაც კი, ანუ 2025 წლის 16 ოქტომბრის შემდგომ, სასამართლო შესაბამისი ნორმის დარღვევისთვის ადმინისტრაციულ სამართალდამრღვევებს (2025 წლის 16 ოქტომბრამდე ჩადენილი ქმედებისთვის) აჯარიმებს (ეთანხმება შსს-ს საჯარიმო ოქმს) 5 000 ლარის ოდენობით. სწორედ ამიტომ, რადგან ქცევის წესი კვლავ ითვალისწინებს სანქციას (თუმცა არა სანქციათა ალტერნატივებს), დღეს მოქმედი ნორმა, ანუ 174¹ მუხლის მე-10 ნაწილი კვლავ იძლევა იმის შესაძლებლობას, რომ პირი დაჯარიმდეს ქმედების განხორციელების მომენტში არსებულ ნორმაზე, ანუ 174¹ მუხლის მე-5 ნაწილზე მითითებით.</w:t>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2024 წლის 29 დეკემბრამდე მოქმედი რედაქციით, ადმინისტრაციულ სამართალდარღვევათა კოდექსის 174¹ მუხლის მე-4 ნაწილის სანქციად გათვალისწინებული იყო სამართალდამრღვევის დაჯარიმება 500 ლარის ოდენობით ან ადმინისტრაციული პატიმრობა 15 დღემდე ვადით, ხოლო სამართალდამრღვევის ორგანიზატორობის შემთხვევაში </w:t>
            </w:r>
            <w:r w:rsidRPr="009C0D18">
              <w:rPr>
                <w:rFonts w:ascii="Merriweather" w:eastAsia="Merriweather" w:hAnsi="Merriweather" w:cs="Merriweather"/>
                <w:color w:val="000000" w:themeColor="text1"/>
                <w:sz w:val="24"/>
                <w:szCs w:val="24"/>
              </w:rPr>
              <w:t>–</w:t>
            </w:r>
            <w:r w:rsidRPr="009C0D18">
              <w:rPr>
                <w:color w:val="000000" w:themeColor="text1"/>
                <w:sz w:val="24"/>
                <w:szCs w:val="24"/>
              </w:rPr>
              <w:t xml:space="preserve"> მისი დაჯარიმება 5 000 ლარის ოდენობით ან ადმინისტრაციული პატიმრობა 15 დღემდე ვადით. ნორმის ახალი რედაქცი</w:t>
            </w:r>
            <w:r w:rsidRPr="009C0D18">
              <w:rPr>
                <w:rFonts w:ascii="Arial Unicode MS" w:eastAsia="Arial Unicode MS" w:hAnsi="Arial Unicode MS" w:cs="Arial Unicode MS"/>
                <w:color w:val="000000" w:themeColor="text1"/>
                <w:sz w:val="24"/>
                <w:szCs w:val="24"/>
              </w:rPr>
              <w:t>ა იძლევა შესაძლებლობას</w:t>
            </w:r>
            <w:r w:rsidRPr="009C0D18">
              <w:rPr>
                <w:color w:val="000000" w:themeColor="text1"/>
                <w:sz w:val="24"/>
                <w:szCs w:val="24"/>
              </w:rPr>
              <w:t xml:space="preserve">, </w:t>
            </w:r>
            <w:r w:rsidRPr="009C0D18">
              <w:rPr>
                <w:rFonts w:ascii="Arial Unicode MS" w:eastAsia="Arial Unicode MS" w:hAnsi="Arial Unicode MS" w:cs="Arial Unicode MS"/>
                <w:color w:val="000000" w:themeColor="text1"/>
                <w:sz w:val="24"/>
                <w:szCs w:val="24"/>
              </w:rPr>
              <w:t>რომ</w:t>
            </w:r>
            <w:r w:rsidRPr="009C0D18">
              <w:rPr>
                <w:color w:val="000000" w:themeColor="text1"/>
                <w:sz w:val="24"/>
                <w:szCs w:val="24"/>
              </w:rPr>
              <w:t xml:space="preserve"> იმ შემთხვევაში, როდესაც  სამართალდამრღვევი არ არის ორგანიზატორი (2025 </w:t>
            </w:r>
            <w:r w:rsidRPr="009C0D18">
              <w:rPr>
                <w:rFonts w:ascii="Arial Unicode MS" w:eastAsia="Arial Unicode MS" w:hAnsi="Arial Unicode MS" w:cs="Arial Unicode MS"/>
                <w:color w:val="000000" w:themeColor="text1"/>
                <w:sz w:val="24"/>
                <w:szCs w:val="24"/>
              </w:rPr>
              <w:t>წლის 16 ოქტომბრამდე არსებულ სამართალდარღვევებზე)</w:t>
            </w:r>
            <w:r w:rsidRPr="009C0D18">
              <w:rPr>
                <w:color w:val="000000" w:themeColor="text1"/>
                <w:sz w:val="24"/>
                <w:szCs w:val="24"/>
              </w:rPr>
              <w:t xml:space="preserve">, ჯარიმა </w:t>
            </w:r>
            <w:r w:rsidRPr="009C0D18">
              <w:rPr>
                <w:rFonts w:ascii="Arial Unicode MS" w:eastAsia="Arial Unicode MS" w:hAnsi="Arial Unicode MS" w:cs="Arial Unicode MS"/>
                <w:color w:val="000000" w:themeColor="text1"/>
                <w:sz w:val="24"/>
                <w:szCs w:val="24"/>
              </w:rPr>
              <w:t xml:space="preserve">იყოს </w:t>
            </w:r>
            <w:r w:rsidRPr="009C0D18">
              <w:rPr>
                <w:color w:val="000000" w:themeColor="text1"/>
                <w:sz w:val="24"/>
                <w:szCs w:val="24"/>
              </w:rPr>
              <w:t xml:space="preserve">10-ჯერ, 4 500 ლარით </w:t>
            </w:r>
            <w:r w:rsidRPr="009C0D18">
              <w:rPr>
                <w:rFonts w:ascii="Arial Unicode MS" w:eastAsia="Arial Unicode MS" w:hAnsi="Arial Unicode MS" w:cs="Arial Unicode MS"/>
                <w:color w:val="000000" w:themeColor="text1"/>
                <w:sz w:val="24"/>
                <w:szCs w:val="24"/>
              </w:rPr>
              <w:t>მეტი</w:t>
            </w:r>
            <w:r w:rsidRPr="009C0D18">
              <w:rPr>
                <w:color w:val="000000" w:themeColor="text1"/>
                <w:sz w:val="24"/>
                <w:szCs w:val="24"/>
              </w:rPr>
              <w:t>. სანქციის უეცარი და ჭარბი ზრდა განხორციელდა ერთი ცვლილებით და არა დროის განმავლობაში.</w:t>
            </w:r>
          </w:p>
          <w:p w:rsidR="002D3215" w:rsidRPr="009C0D18" w:rsidRDefault="002D3215">
            <w:pPr>
              <w:ind w:firstLine="720"/>
              <w:jc w:val="both"/>
              <w:rPr>
                <w:color w:val="000000" w:themeColor="text1"/>
                <w:sz w:val="24"/>
                <w:szCs w:val="24"/>
              </w:rPr>
            </w:pPr>
          </w:p>
          <w:p w:rsidR="002D3215" w:rsidRPr="009C0D18" w:rsidRDefault="000A68FB">
            <w:pPr>
              <w:jc w:val="both"/>
              <w:rPr>
                <w:b/>
                <w:bCs/>
                <w:color w:val="000000" w:themeColor="text1"/>
                <w:sz w:val="24"/>
                <w:szCs w:val="24"/>
              </w:rPr>
            </w:pPr>
            <w:r w:rsidRPr="009C0D18">
              <w:rPr>
                <w:b/>
                <w:bCs/>
                <w:color w:val="000000" w:themeColor="text1"/>
                <w:sz w:val="24"/>
                <w:szCs w:val="24"/>
              </w:rPr>
              <w:t>2.სახდელის დადგენის კომპეტენცია და საერთაშორისო პრაქტიკა</w:t>
            </w:r>
          </w:p>
          <w:p w:rsidR="002D3215" w:rsidRPr="009C0D18" w:rsidRDefault="002D3215">
            <w:pPr>
              <w:jc w:val="both"/>
              <w:rPr>
                <w:b/>
                <w:bCs/>
                <w:color w:val="000000" w:themeColor="text1"/>
                <w:sz w:val="24"/>
                <w:szCs w:val="24"/>
              </w:rPr>
            </w:pPr>
          </w:p>
          <w:p w:rsidR="002D3215" w:rsidRPr="009C0D18" w:rsidRDefault="000A68FB">
            <w:pPr>
              <w:ind w:firstLine="720"/>
              <w:jc w:val="both"/>
              <w:rPr>
                <w:color w:val="000000" w:themeColor="text1"/>
                <w:sz w:val="24"/>
                <w:szCs w:val="24"/>
              </w:rPr>
            </w:pPr>
            <w:r w:rsidRPr="009C0D18">
              <w:rPr>
                <w:color w:val="000000" w:themeColor="text1"/>
                <w:sz w:val="24"/>
                <w:szCs w:val="24"/>
              </w:rPr>
              <w:t>მართალია, ქმედების სამართლებრივი თუ არასამართლებრივი ხასიათის დადგენა სახელმწიფოს უფლებამოსილებაა, მაგრამ სახდელის პროპორციულობა ის განზომილებაა, რომელიც უნდა შეფასდეს კონსტიტუციური სტანდარტით. საკონსტიტუციო სასამართლო აღნიშნავს: „ქმედების სამართალდარღვევად განსაზღვრა, სახდელის დაწესება და მისი სიმძიმის განსაზღვრა სახელმწიფოს (კანონმდებლის) ექსკლუზიურ კომპეტენციას წარმოადგენს ... მიუხედავად იმისა, რომ ადმინისტრაციული სახდელის ზომის, მოცულობისა და სიმძიმის დადგენისას კანონმდებელი ფართო მიხედულებით სარგებლობს, მისი დისკრეციული უფლებამოსილება არ არის უსაზღვრო. კონკრეტული სახის ადმინისტრაციული სახდელის განსაზღვრისას კანონმდებელი ვალდებულია, მოქმედებდეს პროპორციულობის პრინციპის დაცვით. კანონით გათვალისწინებული ადმინისტრაციული სახდელი არ უნდა იყოს აშკარად არაგონივრული და არაპროპორციული საშუალება კანონმდებლის მიერ დასახული მიზნის მიღწევისა და, შესაბამისად, არ უნდა იწვევდეს პირის კონსტიტუციური უფლებებისა და თავისუფლებების დარღვევას.“</w:t>
            </w:r>
            <w:r w:rsidRPr="009C0D18">
              <w:rPr>
                <w:color w:val="000000" w:themeColor="text1"/>
                <w:sz w:val="24"/>
                <w:szCs w:val="24"/>
                <w:vertAlign w:val="superscript"/>
              </w:rPr>
              <w:footnoteReference w:id="62"/>
            </w:r>
          </w:p>
          <w:p w:rsidR="002D3215" w:rsidRPr="009C0D18" w:rsidRDefault="000A68FB">
            <w:pPr>
              <w:ind w:firstLine="720"/>
              <w:jc w:val="both"/>
              <w:rPr>
                <w:color w:val="000000" w:themeColor="text1"/>
                <w:sz w:val="24"/>
                <w:szCs w:val="24"/>
              </w:rPr>
            </w:pPr>
            <w:r w:rsidRPr="009C0D18">
              <w:rPr>
                <w:color w:val="000000" w:themeColor="text1"/>
                <w:sz w:val="24"/>
                <w:szCs w:val="24"/>
              </w:rPr>
              <w:lastRenderedPageBreak/>
              <w:t>ადმინისტრაციული სამართალდარღვევის შემოღებისა თუ სანქციის გამკაცრების საკითხებში სახელმწიფო ფართო მიხედულებით სარგებლობს. თუმცა, სიტყვა „ფართო“ არ უნდა იყოს განმარტებული, როგორც „უსაზღვრო“, წინააღმდეგ შემთხვევაში აზრი დაეკარგებოდა ადმინისტრაციულ სამართალშემოქმედებაზე საკონსტიტუციო კონტროლს. გაუგებარია, თუ რატომ გახდა საჭირო სანქციის ასე გაზრდა, მაშინ როდესაც არალოგიკურია იმის დაშვება, რომ ნორმით გათვალისწინებული ქმედების უარყოფითი ხასიათი უეცრად 10-ჯერ გაიზარდა. საზოგადოება, როგორც წესი, 1 დღეში არ იქცევა „ტოტალურად კანონმორჩილიდან“ „ტოტალურად სამართალდამრღვევად“. საზოგადოებაში რომც გაჩენილიყო სამართალდარღვევის მატების რისკები, საჯარო ხელისუფლების მოვალეობაა, „ამ რისკების“ (რაც საზოგადოების ლეგიტიმური ბრაზიდან შეიძლება მოდიოდეს) შინაარსს ჩაეძიოს და ისე აღმოფხვრას პრობლემა და არა ქმედების არათანაბარზომიერი სანქციით ებრძოლოს მას, რადგან სანქცია მხოლოდ მთრგუნავი საშუალებაა, რომელიც პოლიტიკურ, სოციალურ თუ ეკონომიკურ პრობლემებს და მათთან დაკავშირებულ განწყობებს „ხელოვნურად“ ვერ შეცვლის, არამედ შეუძლია კიდევ უფრო გააღრმავოს იგი.</w:t>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სადავო ნორმით გათვალისწინებულია ადმინისტრაციული სანქცია იმ სამართალდარღვევისთვის, რომელიც ითვალისწინებს ტრანსპორტის სავალი ნაწილის ნაწილობრივ ან სრულად გადაკეტვას მაშინ, როდესაც შეკრების და მანიფესტაციის სხვაგვარად ჩატარება შესაძლებელია, როდესაც ამას არ მოითხოვს შეკრების ან მანიფესტაციის მონაწილეთა რაოდენობა. </w:t>
            </w:r>
          </w:p>
          <w:p w:rsidR="002D3215" w:rsidRPr="009C0D18" w:rsidRDefault="000A68FB">
            <w:pPr>
              <w:ind w:firstLine="720"/>
              <w:jc w:val="both"/>
              <w:rPr>
                <w:color w:val="000000" w:themeColor="text1"/>
                <w:sz w:val="24"/>
                <w:szCs w:val="24"/>
              </w:rPr>
            </w:pPr>
            <w:r w:rsidRPr="009C0D18">
              <w:rPr>
                <w:color w:val="000000" w:themeColor="text1"/>
                <w:sz w:val="24"/>
                <w:szCs w:val="24"/>
              </w:rPr>
              <w:t>შეკრებისა და მანიფესტაციის გამართვის ადგილი, როგორც წესი, ძალზე მნიშვნელოვანია, რადგან მისი შერჩევა განაპირობებს მეტი ადამიანის ყურადღების მიპყრობას, რაც იწვევს დიდ რეზონანსს. სწორედ ამიტომ ხდება ხალხმრავალი ადგილების შერჩევა, რაც მოძრაობის შეფერხებასთანაა დაკავშირებული. შეკრების თავისუფლების თაობაზე ვენეციის კომისიის მოსაზრებათა კრებულის თანახმად, „ადგილმდებარეობა შეკრების თავისუფლების ერთ-ერთი მთავარი ასპექტია. ორგანიზატორის პრივილეგია, გადაწყვიტოს რომელი ადგილი შეესაბამება ყველაზე მეტად შეკრების მიზანს, შეკრების თავისუფლების არსის ნაწილია. ... შეკრების მიზანი ხშირად მჭიდროდაა დაკავშირებული განსაზღვრულ ადგილთან, ხოლო შეკრების თავისუფლება მოიცავს შეკრების იმ უფლებას, რომ იგი ჩატარდეს მისი სამიზნე ობიექტიდან „ხილვადობისა და სმენადობის“ ფარგლებში.“</w:t>
            </w:r>
            <w:r w:rsidRPr="009C0D18">
              <w:rPr>
                <w:color w:val="000000" w:themeColor="text1"/>
                <w:sz w:val="24"/>
                <w:szCs w:val="24"/>
                <w:vertAlign w:val="superscript"/>
              </w:rPr>
              <w:footnoteReference w:id="63"/>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მართალია, ხალხმრავალ ადგილას შეკრება რისკებს წარმოშობს, მაგრამ იგი თავისთავად ვერ იქნება </w:t>
            </w:r>
            <w:r w:rsidRPr="009C0D18">
              <w:rPr>
                <w:rFonts w:ascii="Arial Unicode MS" w:eastAsia="Arial Unicode MS" w:hAnsi="Arial Unicode MS" w:cs="Arial Unicode MS"/>
                <w:color w:val="000000" w:themeColor="text1"/>
                <w:sz w:val="24"/>
                <w:szCs w:val="24"/>
              </w:rPr>
              <w:t xml:space="preserve">შეკრების </w:t>
            </w:r>
            <w:r w:rsidRPr="009C0D18">
              <w:rPr>
                <w:color w:val="000000" w:themeColor="text1"/>
                <w:sz w:val="24"/>
                <w:szCs w:val="24"/>
              </w:rPr>
              <w:t>თავისუფლების შეზღუდვის თვითკმარი საფუძველი. თუ შეკრების თავისუფლების მნიშვნელობას გავითვალისწინებთ, „საზოგადოების ნაწილის უფლებების დაცვა იმ ზიანისაგან, რომელიც შეიძლება მათ განიცადონ გარკვეული დროის განმავლობაში ტრანსპორტის მოძრაობის სრულად ან ნაწილობრივ შეფერხებით, ვერ გადაწონის შეკრების და მანიფესტაციის მრავალრიცხოვან მონაწილეთა უფლებას, ეფექტიანად ისარგებლონ კონსტიტუციით დაცული შეკრებისა და მანიფესტაციების თავისუფლებით, რომელიც თავისუფალი და დემოკრატიული საზოგადოების ფუნქციონირების არსებით წინაპირობას წარმოადგენს.“</w:t>
            </w:r>
            <w:r w:rsidRPr="009C0D18">
              <w:rPr>
                <w:color w:val="000000" w:themeColor="text1"/>
                <w:sz w:val="24"/>
                <w:szCs w:val="24"/>
                <w:vertAlign w:val="superscript"/>
              </w:rPr>
              <w:footnoteReference w:id="64"/>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ვენეციის კომისია ეუთო/ოდირთან ერთად შემუშავებულ სახელმძღვანელო პრინციპების დოკუმენტში აღნიშნავს, რომ „შეკრების კონტექსტში განხორციელებული ქცევისთვის დაწესებული ჯარიმები აუცილებელი და პროპორციული უნდა იყოს, რადგან შეკრების დროს განხორციელებული ქცევისთვის არასაჭირო და არაპროპორციულად მკაცრმა სანქციებმა შეიძლება ხელი შეუშალოს ასეთი ღონისძიების გამართვას და ჰქონდეს მსუსხავი გავლენა, რაც ხელს ააღებინებს მონაწილეებს მასზე დასწრებაზე. ასეთი სანქციები </w:t>
            </w:r>
            <w:r w:rsidRPr="009C0D18">
              <w:rPr>
                <w:color w:val="000000" w:themeColor="text1"/>
                <w:sz w:val="24"/>
                <w:szCs w:val="24"/>
              </w:rPr>
              <w:lastRenderedPageBreak/>
              <w:t>შესაძლოა წარმოადგენდეს მშვიდობიანი შეკრების თავისუფლების ირიბ დარღვევას. ისეთი სამართალდარღვევები, როგორებიცაა შეკრების გამართვის წინასწარი შეუტყობინებლობა, ან შეკრებისთვის დადგენილი მარშრუტის, დროისა და ადგილის შეზღუდვების შეუსრულებლობა, არ უნდა ისჯებოდეს თავისუფლების აღკვეთით ან დიდი ჯარიმებით.“</w:t>
            </w:r>
            <w:r w:rsidRPr="009C0D18">
              <w:rPr>
                <w:color w:val="000000" w:themeColor="text1"/>
                <w:sz w:val="24"/>
                <w:szCs w:val="24"/>
                <w:vertAlign w:val="superscript"/>
              </w:rPr>
              <w:footnoteReference w:id="65"/>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ადამიანის უფლებათა ევროპული სასამართლო არაერთგან აღნიშნავს, </w:t>
            </w:r>
            <w:r w:rsidRPr="009C0D18">
              <w:rPr>
                <w:b/>
                <w:bCs/>
                <w:color w:val="000000" w:themeColor="text1"/>
                <w:sz w:val="24"/>
                <w:szCs w:val="24"/>
              </w:rPr>
              <w:t>რომ როდესაც დემონსტრანტები ძალადობრივ ქმედებებში არ ერთვებიან, საჯარო ხელისუფლების წარმომადგენლებისთვის მნიშვნელოვანია, რომ მათ გამოავლინონ გარკვეული ხარისხის შემწყნარებლობა მშვიდობიანი შეკრების მიმართ, თუკი კონვენციის მე-11 მუხლით გარანტირებული შეკრების თავისუფლება მთელს არსს არ არის მოკლებული.</w:t>
            </w:r>
            <w:r w:rsidRPr="009C0D18">
              <w:rPr>
                <w:color w:val="000000" w:themeColor="text1"/>
                <w:sz w:val="24"/>
                <w:szCs w:val="24"/>
                <w:vertAlign w:val="superscript"/>
              </w:rPr>
              <w:footnoteReference w:id="66"/>
            </w:r>
            <w:r w:rsidRPr="009C0D18">
              <w:rPr>
                <w:color w:val="000000" w:themeColor="text1"/>
                <w:sz w:val="24"/>
                <w:szCs w:val="24"/>
              </w:rPr>
              <w:t xml:space="preserve"> მართალია, კონვენციის სიტყვებიდან გამომდინარე „აუცილებელი დემოკრატიულ საზოგადოებაში” უფლებაში ჩარევის ხარისხს განსაზღვრავს სახელმწიფო, თუმცა მას არა უსაზღვრო, არამედ განსაზღვრული მოქმედებისა და შეფასების უფლება აქვს.</w:t>
            </w:r>
            <w:r w:rsidRPr="009C0D18">
              <w:rPr>
                <w:color w:val="000000" w:themeColor="text1"/>
                <w:sz w:val="24"/>
                <w:szCs w:val="24"/>
                <w:vertAlign w:val="superscript"/>
              </w:rPr>
              <w:footnoteReference w:id="67"/>
            </w:r>
            <w:r w:rsidRPr="009C0D18">
              <w:rPr>
                <w:color w:val="000000" w:themeColor="text1"/>
                <w:sz w:val="24"/>
                <w:szCs w:val="24"/>
              </w:rPr>
              <w:t xml:space="preserve"> შეკრების თავისუფლებაში ჩარევა უნდა გამართლდეს გადაუდებელი საზოგადოებრივი საჭიროებით.</w:t>
            </w:r>
            <w:r w:rsidRPr="009C0D18">
              <w:rPr>
                <w:color w:val="000000" w:themeColor="text1"/>
                <w:sz w:val="24"/>
                <w:szCs w:val="24"/>
                <w:vertAlign w:val="superscript"/>
              </w:rPr>
              <w:footnoteReference w:id="68"/>
            </w:r>
            <w:r w:rsidRPr="009C0D18">
              <w:rPr>
                <w:color w:val="000000" w:themeColor="text1"/>
                <w:sz w:val="24"/>
                <w:szCs w:val="24"/>
              </w:rPr>
              <w:t xml:space="preserve"> გამონაკლისები ვიწროდ უნდა განიმარტოს და ნებისმიერი შეზღუდვის აუცილებლობა დამაჯერებლად დადგინდეს. სახელმწიფომ საკუთარი პოზიტიური ვალდებულება არ უნდა შეასრულოს სხვა პოზიტიური ვალდებულების დათრგუნვის, საზოგადოების კონკრეტული წევრების უფლებათა არაპროპორციული შეზღუდვის ხარჯზე. </w:t>
            </w:r>
          </w:p>
          <w:p w:rsidR="002D3215" w:rsidRPr="009C0D18" w:rsidRDefault="002D3215">
            <w:pPr>
              <w:jc w:val="both"/>
              <w:rPr>
                <w:color w:val="000000" w:themeColor="text1"/>
                <w:sz w:val="24"/>
                <w:szCs w:val="24"/>
              </w:rPr>
            </w:pPr>
          </w:p>
          <w:p w:rsidR="002D3215" w:rsidRPr="009C0D18" w:rsidRDefault="000A68FB">
            <w:pPr>
              <w:jc w:val="both"/>
              <w:rPr>
                <w:b/>
                <w:bCs/>
                <w:color w:val="000000" w:themeColor="text1"/>
                <w:sz w:val="24"/>
                <w:szCs w:val="24"/>
              </w:rPr>
            </w:pPr>
            <w:r w:rsidRPr="009C0D18">
              <w:rPr>
                <w:b/>
                <w:bCs/>
                <w:color w:val="000000" w:themeColor="text1"/>
                <w:sz w:val="24"/>
                <w:szCs w:val="24"/>
              </w:rPr>
              <w:t>3.სახდელის თანაზომიერება და ნორმის შემოღების კონტექსტი</w:t>
            </w:r>
          </w:p>
          <w:p w:rsidR="002D3215" w:rsidRPr="009C0D18" w:rsidRDefault="002D3215">
            <w:pPr>
              <w:jc w:val="both"/>
              <w:rPr>
                <w:b/>
                <w:bCs/>
                <w:color w:val="000000" w:themeColor="text1"/>
                <w:sz w:val="24"/>
                <w:szCs w:val="24"/>
              </w:rPr>
            </w:pPr>
          </w:p>
          <w:p w:rsidR="002D3215" w:rsidRPr="009C0D18" w:rsidRDefault="000A68FB">
            <w:pPr>
              <w:ind w:firstLine="720"/>
              <w:jc w:val="both"/>
              <w:rPr>
                <w:color w:val="000000" w:themeColor="text1"/>
                <w:sz w:val="24"/>
                <w:szCs w:val="24"/>
              </w:rPr>
            </w:pPr>
            <w:r w:rsidRPr="009C0D18">
              <w:rPr>
                <w:color w:val="000000" w:themeColor="text1"/>
                <w:sz w:val="24"/>
                <w:szCs w:val="24"/>
              </w:rPr>
              <w:t>მართალია, შეკრების თავისუფლება დემოკრატიული მოწყობისა და ჯანსაღი სამოქალაქო საზოგადოების არსებობის აუცილებელი პირობაა, თუმცა ის არ არის აბსოლუტური. უფლების გამოვლინება ხშირად წინააღმდეგობაშია სხვათა უფლებებთან, საზოგადოებრივ წესრიგთან და უსაფრთხოებასთან. ამდენად, საჭიროა უფლებათა შორის ბალანსის განსაზღვრა. როგორც საკონსტიტუციო სასამართლო აღნიშნავს: „შეკრებისა და მანიფესტაციების ჩატარების დრო, ადგილი, ფორმა და შინაარსი, ცხადია, შეიძლება შეიზღუდოს, როდესაც ეს აუცილებელია დემოკრატიულ საზოგადოებაში მნიშვნელოვანი ლეგიტიმური ინტერესების დასაცავად და თანაზომიერების წესის დაცვით.“</w:t>
            </w:r>
            <w:r w:rsidRPr="009C0D18">
              <w:rPr>
                <w:color w:val="000000" w:themeColor="text1"/>
                <w:sz w:val="24"/>
                <w:szCs w:val="24"/>
                <w:vertAlign w:val="superscript"/>
              </w:rPr>
              <w:footnoteReference w:id="69"/>
            </w:r>
            <w:r w:rsidRPr="009C0D18">
              <w:rPr>
                <w:color w:val="000000" w:themeColor="text1"/>
                <w:sz w:val="24"/>
                <w:szCs w:val="24"/>
              </w:rPr>
              <w:t xml:space="preserve"> ჩარევა თანაზომიერების პრინციპის საფუძველზე უნდა შემოწმდეს, რომლის მოთხოვნაა „რომ უფლების მზღუდავი საკანონმდებლო რეგულირება უნდა წარმოადგენდეს ღირებული საჯარო (ლეგიტიმური) მიზნის მიღწევის გამოსადეგ და აუცილებელ საშუალებას. ამავე დროს, უფლების შეზღუდვის ინტენსივობა მისაღწევი საჯარო მიზნის პროპორციული, მისი თანაზომიერი უნდა იყოს. დაუშვებელია, ლეგიტიმური მიზნის მიღწევა განხორციელდეს ადამიანის უფლების მომეტებული შეზღუდვის ხარჯზე.“</w:t>
            </w:r>
            <w:r w:rsidRPr="009C0D18">
              <w:rPr>
                <w:color w:val="000000" w:themeColor="text1"/>
                <w:sz w:val="24"/>
                <w:szCs w:val="24"/>
                <w:vertAlign w:val="superscript"/>
              </w:rPr>
              <w:footnoteReference w:id="70"/>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კანონით შესაძლებელი უნდა იყოს ლეგიტიმური მიზნების რეალიზაცია, რომლებიც, სადავო ნორმებთან მიმართებით, ინდივიდურ უფლებებთან ერთად, შესაძლოა, საზოგადოებრივ წესრიგსა და უსაფრთხოებას მოიაზრებდეს. </w:t>
            </w:r>
          </w:p>
          <w:p w:rsidR="002D3215" w:rsidRPr="009C0D18" w:rsidRDefault="000A68FB">
            <w:pPr>
              <w:ind w:firstLine="720"/>
              <w:jc w:val="both"/>
              <w:rPr>
                <w:color w:val="000000" w:themeColor="text1"/>
                <w:sz w:val="24"/>
                <w:szCs w:val="24"/>
              </w:rPr>
            </w:pPr>
            <w:r w:rsidRPr="009C0D18">
              <w:rPr>
                <w:color w:val="000000" w:themeColor="text1"/>
                <w:sz w:val="24"/>
                <w:szCs w:val="24"/>
              </w:rPr>
              <w:lastRenderedPageBreak/>
              <w:t>საჯარო ლეგიტიმური მიზნის იდენტიფიცირება პრობლემის შეფასების პირველი ეტაპია, თუმცა იგი არ არის უფლებაში ჩარევის გონივრული დასაბუთების საკმარისი საფუძველი: „საჯარო ლეგიტიმური მიზნის არსებობა, თავისთავადად, არ არის საკმარისი უფლებაშემზღუდველი რეგულაციის კონსტიტუციურად მიჩნევისათვის. იმისთვის, რომ სადავო ნორმით განსაზღვრული შეზღუდვა თანაზომიერების პრინციპთან შესაბამისად ჩაითვალოს, იგი უნდა აკმაყოფილებდეს გამოსადეგობის და აუცილებლობის კრიტერიუმებს.“</w:t>
            </w:r>
            <w:r w:rsidRPr="009C0D18">
              <w:rPr>
                <w:color w:val="000000" w:themeColor="text1"/>
                <w:sz w:val="24"/>
                <w:szCs w:val="24"/>
                <w:vertAlign w:val="superscript"/>
              </w:rPr>
              <w:footnoteReference w:id="71"/>
            </w:r>
          </w:p>
          <w:p w:rsidR="002D3215" w:rsidRPr="009C0D18" w:rsidRDefault="000A68FB">
            <w:pPr>
              <w:ind w:firstLine="720"/>
              <w:jc w:val="both"/>
              <w:rPr>
                <w:color w:val="000000" w:themeColor="text1"/>
                <w:sz w:val="24"/>
                <w:szCs w:val="24"/>
              </w:rPr>
            </w:pPr>
            <w:r w:rsidRPr="009C0D18">
              <w:rPr>
                <w:color w:val="000000" w:themeColor="text1"/>
                <w:sz w:val="24"/>
                <w:szCs w:val="24"/>
              </w:rPr>
              <w:t>როგორ უნდა იქნეს აღქმული სანქციის ასეთი გაუარესება მაშინ, როდესაც მოსახლეობის ეკონომიკური მდგომარეობა ასე უეცრად (სასიკეთოდ) არ შეცვლილა? საქსტატის თანახმად, 2024 წლის ბოლოს საარსებო მინიმუმი შეადგენდა 260.3 ლარს.</w:t>
            </w:r>
            <w:r w:rsidRPr="009C0D18">
              <w:rPr>
                <w:color w:val="000000" w:themeColor="text1"/>
                <w:sz w:val="24"/>
                <w:szCs w:val="24"/>
                <w:vertAlign w:val="superscript"/>
              </w:rPr>
              <w:footnoteReference w:id="72"/>
            </w:r>
            <w:r w:rsidRPr="009C0D18">
              <w:rPr>
                <w:color w:val="000000" w:themeColor="text1"/>
                <w:sz w:val="24"/>
                <w:szCs w:val="24"/>
              </w:rPr>
              <w:t xml:space="preserve"> 2024 წელს სოციალური პაკეტის მიმღებთა რაოდენობა იყო 185.4 ათასი, ხოლო მიზნობრივი სოციალური დახმარების პროგრამის მონაცემთა ბაზაში რეგისტრირებული ოჯახების რაოდენობამ 390.8 ათასი შეადგინა, საარსებო შემწეობის მიმღები ოჯახების რაოდენობამ კი – 128.6 ათასი.</w:t>
            </w:r>
            <w:r w:rsidRPr="009C0D18">
              <w:rPr>
                <w:color w:val="000000" w:themeColor="text1"/>
                <w:sz w:val="24"/>
                <w:szCs w:val="24"/>
                <w:vertAlign w:val="superscript"/>
              </w:rPr>
              <w:footnoteReference w:id="73"/>
            </w:r>
            <w:r w:rsidRPr="009C0D18">
              <w:rPr>
                <w:color w:val="000000" w:themeColor="text1"/>
                <w:sz w:val="24"/>
                <w:szCs w:val="24"/>
              </w:rPr>
              <w:t xml:space="preserve"> უმუშევრობის დონე 2024 წლის მესამე კვარტალში 13,8 % იყო.</w:t>
            </w:r>
            <w:r w:rsidRPr="009C0D18">
              <w:rPr>
                <w:color w:val="000000" w:themeColor="text1"/>
                <w:sz w:val="24"/>
                <w:szCs w:val="24"/>
                <w:vertAlign w:val="superscript"/>
              </w:rPr>
              <w:footnoteReference w:id="74"/>
            </w:r>
            <w:r w:rsidRPr="009C0D18">
              <w:rPr>
                <w:color w:val="000000" w:themeColor="text1"/>
                <w:sz w:val="24"/>
                <w:szCs w:val="24"/>
              </w:rPr>
              <w:t xml:space="preserve"> </w:t>
            </w:r>
          </w:p>
          <w:p w:rsidR="002D3215" w:rsidRPr="009C0D18" w:rsidRDefault="000A68FB">
            <w:pPr>
              <w:ind w:firstLine="720"/>
              <w:jc w:val="both"/>
              <w:rPr>
                <w:color w:val="000000" w:themeColor="text1"/>
                <w:sz w:val="24"/>
                <w:szCs w:val="24"/>
              </w:rPr>
            </w:pPr>
            <w:r w:rsidRPr="009C0D18">
              <w:rPr>
                <w:color w:val="000000" w:themeColor="text1"/>
                <w:sz w:val="24"/>
                <w:szCs w:val="24"/>
              </w:rPr>
              <w:t>ხშირ შემთხვევებში, 5 000 ლარიანი სანქცია სამართალდამრღვევად ცნობილის 10 თვის ხელფასს უდრის, ამდენად, იგი, პრინციპში, სისხლისსამართლებრივ სანქციას უტოლდება.</w:t>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ადმინისტრაციულ სამართალდარღვევათა კოდექსის 33 -ე მუხლის მეორე ნაწილის თანახმად, სახდელის დადებისას მხედველობაში მიიღება ჩადენილი სამართალდარღვევის ხასიათი, დამრღვევის პიროვნება, მისი ბრალის ხარისხი, ქონებრივი მდგომარეობა, პასუხისმგებლობის შემამსუბუქებელი და დამამძიმებელი გარემოებანი. გზის სავალი ნაწილის გადაკეტისთვის ადმინისტრაციულ სამართალდარღვევათა კოდექსში გათვალისწინებული სანქციები არ იძლევა იმის შესაძლებლობას, რომ სახდელის შეფარდების დროს ასახული იქნას ის ზიანი, რაც შეიძლება გამოწვეული </w:t>
            </w:r>
            <w:r w:rsidRPr="009C0D18">
              <w:rPr>
                <w:rFonts w:ascii="Arial Unicode MS" w:eastAsia="Arial Unicode MS" w:hAnsi="Arial Unicode MS" w:cs="Arial Unicode MS"/>
                <w:color w:val="000000" w:themeColor="text1"/>
                <w:sz w:val="24"/>
                <w:szCs w:val="24"/>
              </w:rPr>
              <w:t>იყოს</w:t>
            </w:r>
            <w:r w:rsidRPr="009C0D18">
              <w:rPr>
                <w:color w:val="000000" w:themeColor="text1"/>
                <w:sz w:val="24"/>
                <w:szCs w:val="24"/>
              </w:rPr>
              <w:t xml:space="preserve"> გზის უკანონო გადაკეტვით. ეს ზიანი შეიძლება იყოს სრულიად სხვადასხვა ხარისხის იმის მიხედვით, გზის გადაკეტვა მოხდა დღის საათებში თუ შუაღამის საათებში, დედაქალაქში თუ რეგიონში, შეფერხდა თუ არ</w:t>
            </w:r>
            <w:r w:rsidRPr="009C0D18">
              <w:rPr>
                <w:rFonts w:ascii="Arial Unicode MS" w:eastAsia="Arial Unicode MS" w:hAnsi="Arial Unicode MS" w:cs="Arial Unicode MS"/>
                <w:color w:val="000000" w:themeColor="text1"/>
                <w:sz w:val="24"/>
                <w:szCs w:val="24"/>
              </w:rPr>
              <w:t>ა</w:t>
            </w:r>
            <w:r w:rsidRPr="009C0D18">
              <w:rPr>
                <w:color w:val="000000" w:themeColor="text1"/>
                <w:sz w:val="24"/>
                <w:szCs w:val="24"/>
              </w:rPr>
              <w:t xml:space="preserve"> საწარმო დაწესებულებების და ორგანიზაციების საქმიანობა და ა.შ. ასევე სანქციების ამპლიტუდა არ იძლევა საშუალებას სახდელის შეფარდების დროს გათვალისწინებული იქნას სამართალდარღვევის ხასიათი, დამრღვევის პიროვნება, მისი ბრალის ხარისხი, ქონებრივი მდგომარეობა, პასუხისმგებლობის შემამსუბუქებელი და დამამძიმებელი გარემოებანი. </w:t>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ევროპის ადამიანის უფლებათა სასამართლოს მიერ განხილულ საქმეში </w:t>
            </w:r>
            <w:r w:rsidRPr="009C0D18">
              <w:rPr>
                <w:rFonts w:ascii="Arial Unicode MS" w:eastAsia="Arial Unicode MS" w:hAnsi="Arial Unicode MS" w:cs="Arial Unicode MS"/>
                <w:i/>
                <w:iCs/>
                <w:color w:val="000000" w:themeColor="text1"/>
                <w:sz w:val="24"/>
                <w:szCs w:val="24"/>
              </w:rPr>
              <w:t>ობოტე რუსეთის წინააღმდეგ</w:t>
            </w:r>
            <w:r w:rsidRPr="009C0D18">
              <w:rPr>
                <w:color w:val="000000" w:themeColor="text1"/>
                <w:sz w:val="24"/>
                <w:szCs w:val="24"/>
              </w:rPr>
              <w:t xml:space="preserve">, რომელიც ეხებოდა არასანქციონირებული მიტინგის დაშლას და მონაწილეების დაჯარიმებას, </w:t>
            </w:r>
            <w:r w:rsidRPr="009C0D18">
              <w:rPr>
                <w:rFonts w:ascii="Arial Unicode MS" w:eastAsia="Arial Unicode MS" w:hAnsi="Arial Unicode MS" w:cs="Arial Unicode MS"/>
                <w:color w:val="000000" w:themeColor="text1"/>
                <w:sz w:val="24"/>
                <w:szCs w:val="24"/>
              </w:rPr>
              <w:t>აღინიშნა, რომ ეროვნულმა</w:t>
            </w:r>
            <w:r w:rsidRPr="009C0D18">
              <w:rPr>
                <w:color w:val="000000" w:themeColor="text1"/>
                <w:sz w:val="24"/>
                <w:szCs w:val="24"/>
              </w:rPr>
              <w:t xml:space="preserve"> სასამართლომ არ შეაფასა, თუ რა სახის ზიანი გამოიწვია განმცხადებელმა აღნიშნული შეკრებით; </w:t>
            </w:r>
            <w:r w:rsidRPr="009C0D18">
              <w:rPr>
                <w:rFonts w:ascii="Arial Unicode MS" w:eastAsia="Arial Unicode MS" w:hAnsi="Arial Unicode MS" w:cs="Arial Unicode MS"/>
                <w:color w:val="000000" w:themeColor="text1"/>
                <w:sz w:val="24"/>
                <w:szCs w:val="24"/>
              </w:rPr>
              <w:t>ასევე არ შეფასდა</w:t>
            </w:r>
            <w:r w:rsidRPr="009C0D18">
              <w:rPr>
                <w:color w:val="000000" w:themeColor="text1"/>
                <w:sz w:val="24"/>
                <w:szCs w:val="24"/>
              </w:rPr>
              <w:t xml:space="preserve"> ბალანსი სახელმწიფოს მიერ დაცულ ინტერესებსა და შეკრების თავისუფლებას შორის, რაც ადამიანის უფლებათა სასამართლომ ჩათვალა შეკრების თავისუფლების დარღვევად.</w:t>
            </w:r>
            <w:r w:rsidRPr="009C0D18">
              <w:rPr>
                <w:color w:val="000000" w:themeColor="text1"/>
                <w:sz w:val="24"/>
                <w:szCs w:val="24"/>
                <w:vertAlign w:val="superscript"/>
              </w:rPr>
              <w:footnoteReference w:id="75"/>
            </w:r>
          </w:p>
          <w:p w:rsidR="002D3215" w:rsidRPr="00D35693" w:rsidRDefault="000A68FB">
            <w:pPr>
              <w:ind w:firstLine="720"/>
              <w:jc w:val="both"/>
              <w:rPr>
                <w:color w:val="000000" w:themeColor="text1"/>
                <w:sz w:val="24"/>
                <w:szCs w:val="24"/>
              </w:rPr>
            </w:pPr>
            <w:r w:rsidRPr="009C0D18">
              <w:rPr>
                <w:color w:val="000000" w:themeColor="text1"/>
                <w:sz w:val="24"/>
                <w:szCs w:val="24"/>
              </w:rPr>
              <w:t xml:space="preserve">ამასთან, კანონის გამკაცრება უნდა შეფასდეს იმ ზოგადი მდგომარეობის გათვალისწინებით, რაც საქართველოში 2024 წლის ნოემბრის მიწურულის შემდეგ წარმოიშვა. ნებისმიერი კანონი კონტექსტის, ანუ დროისა და სივრცის, საკითხია. იგი კონკრეტული საზოგადოებრივი ცხოვრების შედეგია და პოლიტიკური გადაწყვეტილებითაა განპირობებული. თუ კანონს დავინახავდით, როგორც უზოგადეს წინადადებას, რომელიც მოწყვეტილია პოლიტიკურ, ეკონომიკურ, კულტურულ, თუ, ზოგად სოციალურ კონტექსტს, მაშინ მისი გააზრება </w:t>
            </w:r>
            <w:r w:rsidRPr="009C0D18">
              <w:rPr>
                <w:color w:val="000000" w:themeColor="text1"/>
                <w:sz w:val="24"/>
                <w:szCs w:val="24"/>
              </w:rPr>
              <w:lastRenderedPageBreak/>
              <w:t>შეუძლებელი იქნებოდა. საკონსტიტუციო სასამართლომ კანონის ნორმა უნდა შეაფასოს არა მხოლოდ „ჰიპოთეტურად“, არამედ საქართველოში არსებული იმ პოლიტიკური თუ სამართლებრივი წესრიგის ფონზე, რომელიც გასული წლის ნოემბრიდან რადიკალურად იცვლება. კერძოდ, წარმოებს ადმინისტრაციულ სამართალდარღვევათა და სისხლის სამართლის კოდექსების მეტად რეპრესიულ საშუალებებად ქცევა.</w:t>
            </w:r>
            <w:r w:rsidRPr="009C0D18">
              <w:rPr>
                <w:color w:val="000000" w:themeColor="text1"/>
                <w:sz w:val="24"/>
                <w:szCs w:val="24"/>
                <w:vertAlign w:val="superscript"/>
              </w:rPr>
              <w:footnoteReference w:id="76"/>
            </w:r>
            <w:r w:rsidRPr="009C0D18">
              <w:rPr>
                <w:color w:val="000000" w:themeColor="text1"/>
                <w:sz w:val="24"/>
                <w:szCs w:val="24"/>
              </w:rPr>
              <w:t xml:space="preserve"> </w:t>
            </w:r>
          </w:p>
          <w:p w:rsidR="002D3215" w:rsidRPr="009C0D18" w:rsidRDefault="000A68FB">
            <w:pPr>
              <w:ind w:firstLine="720"/>
              <w:jc w:val="both"/>
              <w:rPr>
                <w:color w:val="000000" w:themeColor="text1"/>
                <w:sz w:val="24"/>
                <w:szCs w:val="24"/>
              </w:rPr>
            </w:pPr>
            <w:r w:rsidRPr="009C0D18">
              <w:rPr>
                <w:color w:val="000000" w:themeColor="text1"/>
                <w:sz w:val="24"/>
                <w:szCs w:val="24"/>
              </w:rPr>
              <w:t>ყურადღებას იმსახურებს პოლიტიკური პირების განცხადებები, რომლებსაც, საკუთარი ფაქტობრივი ძალაუფლებიდან გამომდინარე, მოჭარბებული შესაძლებლობა აქვთ, თუნდაც საკუთარი რიტორიკის ფონზე განსაზღვრონ სამართალდამცავი, და არც თუ ისე იშვიათ შემთხვევებში, აგრეთვე სასამართლო ორგანოების წარმომადგენლებისთვის „პროგრამული მიმართულებები“. მაგალითად მოვიყვანთ ციტატას ირაკლი კობახიძის 2025 წლის 13 მარტის განცხადებიდან, როდესაც იგი აქციებზე დაჯარიმების შემთხვევებზე საუბრობდა: „ოპოზიციას აქვს რთული მდგომარეობა, ყოველდღე ატარებენ 300 კაციან აქციას, რაღაც რიტუალივით აქვთ, ერთი საათით გადაკეტავენ ქუჩას და ბრუნდებიან სახლებში ... თავისი ფეხით მოდიან, ავსებენ სახელმწიფო ბიუჯეტს, ათი ათასობით ლარს იხდიან ყოველდღიურად ბიუჯეტში, ამისთვის ერთგვარი მადლობაც შეიძლება გადავუხადოთ მათ.“</w:t>
            </w:r>
            <w:r w:rsidRPr="009C0D18">
              <w:rPr>
                <w:color w:val="000000" w:themeColor="text1"/>
                <w:sz w:val="24"/>
                <w:szCs w:val="24"/>
                <w:vertAlign w:val="superscript"/>
              </w:rPr>
              <w:footnoteReference w:id="77"/>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rFonts w:ascii="Arial Unicode MS" w:eastAsia="Arial Unicode MS" w:hAnsi="Arial Unicode MS" w:cs="Arial Unicode MS"/>
                <w:color w:val="000000" w:themeColor="text1"/>
                <w:sz w:val="24"/>
                <w:szCs w:val="24"/>
              </w:rPr>
              <w:t xml:space="preserve">თუ სამართალზე პოლიტიკის უპირობო პრიმატს დავთანხმდებით, მაშინ კანონმდებლობის კონსტიტუციური კონტროლიც აზრს დაკარგავს. თავის მხრივ, კანონის შეფასება უნდა განხორციელდეს კონსტიტუციურ ღირებულებათა ჭრილში, რომლის მთავარი მიზანიც თავისუფალი ადამიანია, ანუ ის, ვისაც შესწევს ძალა, ჰქონდეს კრიტიკული </w:t>
            </w:r>
            <w:r w:rsidRPr="009C0D18">
              <w:rPr>
                <w:rFonts w:ascii="Arial Unicode MS" w:eastAsia="Arial Unicode MS" w:hAnsi="Arial Unicode MS" w:cs="Arial Unicode MS"/>
                <w:color w:val="000000" w:themeColor="text1"/>
                <w:sz w:val="24"/>
                <w:szCs w:val="24"/>
              </w:rPr>
              <w:lastRenderedPageBreak/>
              <w:t>დამოკიდებულება საზოგადოებაში მიმდინარე პროცესებზე. კონსტიტუცია, როგორც საპროგრამო დოკუმენტი, იმითაცაა მნიშვნელოვანი, რომ განსხვავებით სხვა ნორმატიული აქტებისგან, იგი იძლევა სამართლებრივი მოწესრიგების არა ვიწრო მიმართულებას, არამედ აყალიბებს პრინციპებს, რომლებიც ხშირად გადაწონის სასურველ ეკონომიკურ თუ პოლიტიკურ დღის წესრიგს, რადგან ამკვიდრებს სამართლიანობის, მიუმხრომლობისა და მორალურობის სტანდარტებს.</w:t>
            </w:r>
          </w:p>
          <w:p w:rsidR="002D3215" w:rsidRPr="009C0D18" w:rsidRDefault="000A68FB">
            <w:pPr>
              <w:ind w:firstLine="720"/>
              <w:jc w:val="both"/>
              <w:rPr>
                <w:color w:val="000000" w:themeColor="text1"/>
                <w:sz w:val="24"/>
                <w:szCs w:val="24"/>
              </w:rPr>
            </w:pPr>
            <w:r w:rsidRPr="009C0D18">
              <w:rPr>
                <w:color w:val="000000" w:themeColor="text1"/>
                <w:sz w:val="24"/>
                <w:szCs w:val="24"/>
              </w:rPr>
              <w:t>ადმინისტრაციული სანქცია არ უნდა იყოს თვითმიზანი. მართალია, ყოველი სანქცია ნეგატიური შედეგის გამომწვევია, თუმცა ეს შედეგი არ უნდა იყოს გაუგებრად მკაცრი და არ უნდა იწვევდეს იმ მასშტაბის შიშის ჩანერგვას ადამიანებში, რომელიც ხელს ააღებინებს მათ უფლების განხორციელებაზე. თავის მხრივ, შეკრებისა და მანიფესტაციის უფლებაში ამგვარი ხელოვნური და სერიოზული დაბრკოლება პირდაპირპროპორციულია დემოკრატიულობის შესუსტების, სამოქალაქო საზოგადოების დათრგუნვის, პასუხისმგებლიანი, ანგარიშვალდებული და გამჭვირვალე მმართველობის დაქვეითების.</w:t>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color w:val="000000" w:themeColor="text1"/>
                <w:sz w:val="24"/>
                <w:szCs w:val="24"/>
              </w:rPr>
              <w:t>ჩარევის პროპორციულობასთან დაკავშირებით, ადამიანის უფლებათა ევროპული სასამართლო იზიარებს იმ პოზიციას, რომ დაწესებულ სანქციათა ხასიათი და სერიოზულობა მხედველობაში მისაღები ფაქტორებია.</w:t>
            </w:r>
            <w:r w:rsidRPr="009C0D18">
              <w:rPr>
                <w:color w:val="000000" w:themeColor="text1"/>
                <w:sz w:val="24"/>
                <w:szCs w:val="24"/>
                <w:vertAlign w:val="superscript"/>
              </w:rPr>
              <w:footnoteReference w:id="78"/>
            </w:r>
            <w:r w:rsidRPr="009C0D18">
              <w:rPr>
                <w:color w:val="000000" w:themeColor="text1"/>
                <w:sz w:val="24"/>
                <w:szCs w:val="24"/>
              </w:rPr>
              <w:t xml:space="preserve"> ჩვენს შემთხვევაში, ჩარევა უტოლდება, მართალია, არა სრულ აკრძალვას, თუმცა, პრაქტიკის გათვალისწინებით, მას აქვს მსუსხავი ეფექტი უფლების გამოყენებაზე. იგი თამაშობს დამაშინებელ როლს იმ ადამიანებისთვის, რომელთაც შეკრებებისა და მანიფესტაციების თავისუფლებით სარგებლობა სურთ. </w:t>
            </w:r>
            <w:r w:rsidRPr="009C0D18">
              <w:rPr>
                <w:rFonts w:ascii="Arial Unicode MS" w:eastAsia="Arial Unicode MS" w:hAnsi="Arial Unicode MS" w:cs="Arial Unicode MS"/>
                <w:color w:val="000000" w:themeColor="text1"/>
                <w:sz w:val="24"/>
                <w:szCs w:val="24"/>
              </w:rPr>
              <w:t>სწორედ ამაზე მიუთითებს ვენეციის კომისიის „გადაუდებელი მოსაზრება“ და ეუთო/ოდირის „გადაუდებელი მოსაზრება“, სადაც მოყვანილია სტატისტიკა საქართველოში საშუალო ხელფასის შესახებ და შემდგომ აღნიშნულია, რომ ადმინისტრაციულ სამართალდარღვევათა კოდექსით გათვალისწინებული შესაბამის სანქციას აქვს მსუსხავი შედეგი. ხოლო აღნიშნული სანქცია იმაზე მეტად ბევრია, ვიდრე გათვალისიწნებულია სხვა წვრილი სამართალდარღვევებისათვის.</w:t>
            </w:r>
            <w:r w:rsidRPr="009C0D18">
              <w:rPr>
                <w:rFonts w:ascii="Merriweather" w:eastAsia="Merriweather" w:hAnsi="Merriweather" w:cs="Merriweather"/>
                <w:color w:val="000000" w:themeColor="text1"/>
                <w:sz w:val="24"/>
                <w:szCs w:val="24"/>
                <w:vertAlign w:val="superscript"/>
              </w:rPr>
              <w:footnoteReference w:id="79"/>
            </w: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შეკრებასა და მანიფესტაციაში მონაწილეობის სურვილის მიუხედავად, ნორმა უზრუნველყოფს, რომ მათ, კანონის დარღვევის შიშით, არ გამოიყენონ კონსტიტუციით გარანტირებული უფლება. შეზღუდვის არაპროპორციულობა განსაკუთრებით მტკივნეულია იმ დროს, როდესაც შეკრების მონაწილეების დაჯარიმება არნახული მასშტაბით წარმოებს, რასაც ადასტურებს საპატრულო პოლიციის დეპარტამენტის დირექტორის მიწერილი პატაკი საქართველოს შინაგან საქმეთა მინისტრისადმი, რომელშიც იგი მინისტრს შინაგან საქმეთა სამინისტროს ქ. თბილისის პოლიციის დეპარტამენტისათვის სამართლებრივი დახმარების მიზნით 593 სამართალდარღვევის ფაქტზე რეაგირების დავალებას სთხოვს (MIA 3 25 00284368, 01/02/2025). თბილისის საქალაქო სასამართლოს 2025 წლის 24 ივნისის № 11634832 წერილით, სახალხო დამცველის </w:t>
            </w:r>
            <w:r w:rsidRPr="009C0D18">
              <w:rPr>
                <w:color w:val="000000" w:themeColor="text1"/>
                <w:sz w:val="24"/>
                <w:szCs w:val="24"/>
              </w:rPr>
              <w:lastRenderedPageBreak/>
              <w:t>აპარატს ეცნობა, რომ ადმინისტრაციულ სამართალდარღვევათა საქმეების კომპიუტერული ბაზის მონაცემებით, 2024 წლის 28 ნოემბრიდან 2025 წლის 13 ივნისამდე, საქართველოს ადმინისტრაციულ სამართალდარღვევათა კოდექსის 174</w:t>
            </w:r>
            <w:r w:rsidRPr="009C0D18">
              <w:rPr>
                <w:color w:val="000000" w:themeColor="text1"/>
              </w:rPr>
              <w:t>¹</w:t>
            </w:r>
            <w:r w:rsidRPr="009C0D18">
              <w:rPr>
                <w:color w:val="000000" w:themeColor="text1"/>
                <w:sz w:val="24"/>
                <w:szCs w:val="24"/>
              </w:rPr>
              <w:t>მუხლის შესაბამისად, განხილულია 1394-მდე ადმინისტრაციული სამართალდარღვევის საქმე.</w:t>
            </w:r>
            <w:r w:rsidRPr="009C0D18">
              <w:rPr>
                <w:color w:val="000000" w:themeColor="text1"/>
                <w:sz w:val="24"/>
                <w:szCs w:val="24"/>
                <w:vertAlign w:val="superscript"/>
              </w:rPr>
              <w:footnoteReference w:id="80"/>
            </w:r>
            <w:r w:rsidRPr="009C0D18">
              <w:rPr>
                <w:color w:val="000000" w:themeColor="text1"/>
                <w:sz w:val="24"/>
                <w:szCs w:val="24"/>
              </w:rPr>
              <w:t> დღეის მდგომარეობით კი სახეზე გვაქვს დაჯარიმების ათასობით ფაქტი, რაც, ალბათ, თუ შეკრებისა და მანიფესტაციის მომწესრიგებელი ნორმების დარღვევისთვის „დაჯარიმების მსოფლიო ისტორიის სტატისტიკას“ შევადგენთ, უპრეცედენტო აღმოჩნდება თავისი რაოდენობის გამო.</w:t>
            </w:r>
          </w:p>
          <w:p w:rsidR="002D3215" w:rsidRPr="009C0D18" w:rsidRDefault="002D3215">
            <w:pPr>
              <w:ind w:firstLine="720"/>
              <w:jc w:val="both"/>
              <w:rPr>
                <w:b/>
                <w:bCs/>
                <w:color w:val="000000" w:themeColor="text1"/>
                <w:sz w:val="24"/>
                <w:szCs w:val="24"/>
              </w:rPr>
            </w:pPr>
          </w:p>
          <w:p w:rsidR="002D3215" w:rsidRPr="009C0D18" w:rsidRDefault="000A68FB">
            <w:pPr>
              <w:jc w:val="both"/>
              <w:rPr>
                <w:b/>
                <w:bCs/>
                <w:color w:val="000000" w:themeColor="text1"/>
                <w:sz w:val="24"/>
                <w:szCs w:val="24"/>
              </w:rPr>
            </w:pPr>
            <w:r w:rsidRPr="009C0D18">
              <w:rPr>
                <w:b/>
                <w:bCs/>
                <w:color w:val="000000" w:themeColor="text1"/>
                <w:sz w:val="24"/>
                <w:szCs w:val="24"/>
              </w:rPr>
              <w:t>3.1 შეფასების ტესტი</w:t>
            </w:r>
          </w:p>
          <w:p w:rsidR="002D3215" w:rsidRPr="009C0D18" w:rsidRDefault="002D3215">
            <w:pPr>
              <w:jc w:val="both"/>
              <w:rPr>
                <w:b/>
                <w:bCs/>
                <w:color w:val="000000" w:themeColor="text1"/>
                <w:sz w:val="24"/>
                <w:szCs w:val="24"/>
              </w:rPr>
            </w:pPr>
          </w:p>
          <w:p w:rsidR="002D3215" w:rsidRPr="009C0D18" w:rsidRDefault="000A68FB">
            <w:pPr>
              <w:ind w:firstLine="720"/>
              <w:jc w:val="both"/>
              <w:rPr>
                <w:color w:val="000000" w:themeColor="text1"/>
                <w:sz w:val="24"/>
                <w:szCs w:val="24"/>
              </w:rPr>
            </w:pPr>
            <w:r w:rsidRPr="009C0D18">
              <w:rPr>
                <w:color w:val="000000" w:themeColor="text1"/>
                <w:sz w:val="24"/>
                <w:szCs w:val="24"/>
              </w:rPr>
              <w:t xml:space="preserve">თანაზომიერების პრინციპის საფუძველზე უფლებაში ჩარევის კონსტიტუციური შემოწმება რამდენიმე ეტაპს მოიცავს. პირველ რიგში, უნდა დადგინდეს საჯარო ლეგიტიმური მიზანი, ხოლო შემდგომ სასამართლომ უნდა დაადგინოს, რამდენად არსებობს ლოგიკური კავშირი „დასახელებულ ლეგიტიმურ მიზანსა და სადავო ნორმებით დადგენილ უფლების შეზღუდვის ფორმას შორის </w:t>
            </w:r>
            <w:r w:rsidRPr="009C0D18">
              <w:rPr>
                <w:rFonts w:ascii="Merriweather" w:eastAsia="Merriweather" w:hAnsi="Merriweather" w:cs="Merriweather"/>
                <w:color w:val="000000" w:themeColor="text1"/>
                <w:sz w:val="24"/>
                <w:szCs w:val="24"/>
              </w:rPr>
              <w:t>–</w:t>
            </w:r>
            <w:r w:rsidRPr="009C0D18">
              <w:rPr>
                <w:color w:val="000000" w:themeColor="text1"/>
                <w:sz w:val="24"/>
                <w:szCs w:val="24"/>
              </w:rPr>
              <w:t xml:space="preserve"> რამდენად იძლევა სადავო ნორმები დასახელებული ლეგიტიმური მიზნის მიღწევის შესაძლებლობას“</w:t>
            </w:r>
            <w:r w:rsidRPr="009C0D18">
              <w:rPr>
                <w:color w:val="000000" w:themeColor="text1"/>
                <w:sz w:val="24"/>
                <w:szCs w:val="24"/>
                <w:vertAlign w:val="superscript"/>
              </w:rPr>
              <w:footnoteReference w:id="81"/>
            </w:r>
            <w:r w:rsidRPr="009C0D18">
              <w:rPr>
                <w:color w:val="000000" w:themeColor="text1"/>
                <w:sz w:val="24"/>
                <w:szCs w:val="24"/>
              </w:rPr>
              <w:t xml:space="preserve"> იმავდროულად, „გამოსადეგობასთან ერთად, შემზღუდველი ღონისძიება უნდა წარმოადგენდეს შეზღუდვის აუცილებელ (ყველაზე ნაკლებადმზღუდველ) საშუალებას“</w:t>
            </w:r>
            <w:r w:rsidRPr="009C0D18">
              <w:rPr>
                <w:color w:val="000000" w:themeColor="text1"/>
                <w:sz w:val="24"/>
                <w:szCs w:val="24"/>
                <w:vertAlign w:val="superscript"/>
              </w:rPr>
              <w:footnoteReference w:id="82"/>
            </w:r>
            <w:r w:rsidRPr="009C0D18">
              <w:rPr>
                <w:color w:val="000000" w:themeColor="text1"/>
                <w:sz w:val="24"/>
                <w:szCs w:val="24"/>
              </w:rPr>
              <w:t xml:space="preserve"> საჭიროა, არ არსებობდეს სხვა, ნაკლებად შემზღუდველი საშუალებით, დასახელებული ლეგიტიმური მიზნის იმავე ეფექტიანობით მიღწევის გონივრული შესაძლებლობა. წინააღმდეგ შემთხვევაში, მიიჩნევა, რომ ღონისძიება იმაზე მეტად ზღუდავს უფლებას, ვიდრე ობიექტურად აუცილებელია ლეგიტიმური მიზნის რეალიზაციისათვის. ხოლო შეფასების ბოლო ეტაპია პროპორციულობა ვიწრო გაგებით (stricto sensu), რომელიც მოითხოვს, რომ „უფლების შეზღუდვისას კანონმდებელმა დაადგინოს სამართლიანი ბალანსი შეზღუდულ და დაცულ ინტერესებს შორის.“</w:t>
            </w:r>
            <w:r w:rsidRPr="009C0D18">
              <w:rPr>
                <w:color w:val="000000" w:themeColor="text1"/>
                <w:sz w:val="24"/>
                <w:szCs w:val="24"/>
                <w:vertAlign w:val="superscript"/>
              </w:rPr>
              <w:footnoteReference w:id="83"/>
            </w:r>
          </w:p>
          <w:p w:rsidR="002D3215" w:rsidRPr="009C0D18" w:rsidRDefault="000A68FB">
            <w:pPr>
              <w:ind w:firstLine="720"/>
              <w:jc w:val="both"/>
              <w:rPr>
                <w:rFonts w:ascii="Merriweather" w:eastAsia="Merriweather" w:hAnsi="Merriweather" w:cs="Merriweather"/>
                <w:color w:val="000000" w:themeColor="text1"/>
                <w:sz w:val="24"/>
                <w:szCs w:val="24"/>
              </w:rPr>
            </w:pPr>
            <w:r w:rsidRPr="009C0D18">
              <w:rPr>
                <w:color w:val="000000" w:themeColor="text1"/>
                <w:sz w:val="24"/>
                <w:szCs w:val="24"/>
              </w:rPr>
              <w:t>მართალია, საქართველოს კონსტიტუციის 21-ე მუხლში არ არის უფლებათა შეზღუდვის საფუძვლები ჩამოთვლილი, თუმცა უნდა ვივარაუდოთ, რომ იგი, ამ კონკრეტულ შემთხვევაში, „ერთი მხრივ, სხვათა უფლებების, ხოლო, მეორე მხრივ, თავად შეკრებისა და მანიფესტაციის მონაწილე პირთა უფლებების დაცვაა, რათა მათ შეძლონ შეკრებისა და მანიფესტაციის თავისუფლების ძირითადი უფლებით ეფექტიანად სარგებლობა.“</w:t>
            </w:r>
            <w:r w:rsidRPr="009C0D18">
              <w:rPr>
                <w:color w:val="000000" w:themeColor="text1"/>
                <w:sz w:val="24"/>
                <w:szCs w:val="24"/>
                <w:vertAlign w:val="superscript"/>
              </w:rPr>
              <w:footnoteReference w:id="84"/>
            </w:r>
            <w:r w:rsidRPr="009C0D18">
              <w:rPr>
                <w:color w:val="000000" w:themeColor="text1"/>
                <w:sz w:val="24"/>
                <w:szCs w:val="24"/>
              </w:rPr>
              <w:t xml:space="preserve"> სწორედ აღნიშნული ლეგიტიმური მიზნები დაასახელა მოპასუხემ, როდესაც განიხილებოდა „შეკრებებისა და მანიფესტაციების შესახებ“ საქართველოს კანონის მე-8 მუხლის პირველი პუნქტის კონსტიტუციურობის საკითხი, რადგან იგი გამორიცხავდა სპონტანური შეკრებისა და მანიფესტაციის სამართლებრივ შესაძლებლობას. </w:t>
            </w:r>
            <w:r w:rsidRPr="009C0D18">
              <w:rPr>
                <w:rFonts w:ascii="Arial Unicode MS" w:eastAsia="Arial Unicode MS" w:hAnsi="Arial Unicode MS" w:cs="Arial Unicode MS"/>
                <w:color w:val="000000" w:themeColor="text1"/>
                <w:sz w:val="24"/>
                <w:szCs w:val="24"/>
              </w:rPr>
              <w:t xml:space="preserve">(თუმცა, სასამართლო გადაწყვეტილებებში, ასევე, „არეულობის </w:t>
            </w:r>
            <w:r w:rsidRPr="009C0D18">
              <w:rPr>
                <w:rFonts w:ascii="Arial Unicode MS" w:eastAsia="Arial Unicode MS" w:hAnsi="Arial Unicode MS" w:cs="Arial Unicode MS"/>
                <w:color w:val="000000" w:themeColor="text1"/>
                <w:sz w:val="24"/>
                <w:szCs w:val="24"/>
              </w:rPr>
              <w:lastRenderedPageBreak/>
              <w:t>თავიდან აცილებისა და საზოგადოებრივი უსაფრთხოების დაცვის მიზანზე“ კეთდება აქცენტი).</w:t>
            </w:r>
            <w:r w:rsidRPr="009C0D18">
              <w:rPr>
                <w:rFonts w:ascii="Merriweather" w:eastAsia="Merriweather" w:hAnsi="Merriweather" w:cs="Merriweather"/>
                <w:color w:val="000000" w:themeColor="text1"/>
                <w:sz w:val="24"/>
                <w:szCs w:val="24"/>
                <w:vertAlign w:val="superscript"/>
              </w:rPr>
              <w:footnoteReference w:id="85"/>
            </w:r>
          </w:p>
          <w:p w:rsidR="002D3215" w:rsidRDefault="000A68FB">
            <w:pPr>
              <w:ind w:firstLine="720"/>
              <w:jc w:val="both"/>
              <w:rPr>
                <w:color w:val="000000" w:themeColor="text1"/>
                <w:sz w:val="24"/>
                <w:szCs w:val="24"/>
              </w:rPr>
            </w:pPr>
            <w:r w:rsidRPr="009C0D18">
              <w:rPr>
                <w:color w:val="000000" w:themeColor="text1"/>
                <w:sz w:val="24"/>
                <w:szCs w:val="24"/>
              </w:rPr>
              <w:t xml:space="preserve">რაც შეეხება აუცილებლობას, 5 000 ლარიანი სანქცია ნამდვილად არ წარმოადგენს უფლების ყველაზე ნაკლებადმზღუდავ საშუალებას. მართალია, აქ შეუძლებელია რამე ფორმულის შემუშავება და კონკრეტული რიცხვის დასახელება, თუ რა იქნებოდა სანქციის აუცილებელი რაოდენობა, თუმცა, გათვალისწინებით წარსული გამოცდილებისა, შესაძლებელია ითქვას, რომ  500 ლარის 5 000-მდე გაზრდა არაგონივრულია. </w:t>
            </w:r>
          </w:p>
          <w:p w:rsidR="008629FD" w:rsidRPr="009C0D18" w:rsidRDefault="008629FD">
            <w:pPr>
              <w:ind w:firstLine="720"/>
              <w:jc w:val="both"/>
              <w:rPr>
                <w:color w:val="000000" w:themeColor="text1"/>
                <w:sz w:val="24"/>
                <w:szCs w:val="24"/>
              </w:rPr>
            </w:pPr>
          </w:p>
          <w:p w:rsidR="002D3215" w:rsidRPr="009C0D18" w:rsidRDefault="000A68FB">
            <w:pPr>
              <w:ind w:firstLine="720"/>
              <w:jc w:val="both"/>
              <w:rPr>
                <w:color w:val="000000" w:themeColor="text1"/>
                <w:sz w:val="24"/>
                <w:szCs w:val="24"/>
              </w:rPr>
            </w:pPr>
            <w:r w:rsidRPr="009C0D18">
              <w:rPr>
                <w:color w:val="000000" w:themeColor="text1"/>
                <w:sz w:val="24"/>
                <w:szCs w:val="24"/>
              </w:rPr>
              <w:t>საკონსტიტუციო სასამართლო პასუხისმგებლობის ზომაზე საუბრისას აღნიშნავს: „ამ დროს, პირველ რიგში, მხედველობაშია მისაღები დანაშაულის ბუნება და სამართლებრივი ინტერესი, რომელსაც ზიანს აყენებს კონკრეტული ქმედება. ამასთან, აღნიშნული საკითხები უნდა განისაზღვროს ქვეყნის ისტორიული გამოცდილების, კულტურის, ღირებულებების და ზოგადად საზოგადოების სამართლებრივი სენტიმენტების გათვალისწინებით. თუმცა, მეორე მხრივ, სახელმწიფოს მიხედულების ფარგლები ვერ იქნება უსაზღვრო.“</w:t>
            </w:r>
            <w:r w:rsidRPr="009C0D18">
              <w:rPr>
                <w:color w:val="000000" w:themeColor="text1"/>
                <w:sz w:val="24"/>
                <w:szCs w:val="24"/>
                <w:vertAlign w:val="superscript"/>
              </w:rPr>
              <w:footnoteReference w:id="86"/>
            </w:r>
          </w:p>
          <w:p w:rsidR="002D3215" w:rsidRPr="009C0D18" w:rsidRDefault="000A68FB">
            <w:pPr>
              <w:ind w:firstLine="720"/>
              <w:jc w:val="both"/>
              <w:rPr>
                <w:color w:val="000000" w:themeColor="text1"/>
                <w:sz w:val="24"/>
                <w:szCs w:val="24"/>
              </w:rPr>
            </w:pPr>
            <w:r w:rsidRPr="009C0D18">
              <w:rPr>
                <w:color w:val="000000" w:themeColor="text1"/>
                <w:sz w:val="24"/>
                <w:szCs w:val="24"/>
              </w:rPr>
              <w:t>განსახილველ საკითხთან მიმართებით, როგორია ქვეყნის ისტორიული გამოცდილება? რა სამართლებრივი სენტიმენტები არსებობს? ქართული საზოგადოების ისტორია, ბოლო ათწლეულების განმავლობაში, აუცილებლად გულისხმობს შეკრების თავისუფლების უდიდეს როლს; მხოლოდ 1989 წლის 9 აპრილის გახსენებაც საკმარისია. რაც შეეხება სამართლებრივ სენტიმენებს, მასში, ალბათ, მოიაზრება საზოგადოების სამართლებრივი ცნობიერება, მისი ჰუმანური თუ კრიტიკული დამოკიდებულებები განსაზღვრული ქცევებისადმი. აქ ასევე შეიძლება იგულისხმებოდეს სამართლიანობის ცნება, რომელიც სამართლის აუცილებელი ელემენტია და მის ბირთვს წარმოადგენს. მართალია, იგი კონკრეტული სიტყვებით ფორმულირებადი არ არის, თუმცა როდესაც იგი ირღვევა, ამას ყველა ხვდება. ამდენად, იმ კითხვის დასმის შემთხვევაში, არის თუ არა სამართლიანი ტრანსპორტის სავალი ნაწილის გადაკეტვისთვის 5 000 ლარიანი სახდელის დაკისრება, უარყოფითი პასუხის გაცემა, სამართლიანობის გრძნობის გათვალისიწნებით, არ იქნება რთული.</w:t>
            </w:r>
          </w:p>
          <w:bookmarkEnd w:id="2"/>
          <w:p w:rsidR="002D3215" w:rsidRPr="009C0D18" w:rsidRDefault="002D3215">
            <w:pPr>
              <w:jc w:val="both"/>
              <w:rPr>
                <w:rFonts w:ascii="Merriweather" w:eastAsia="Merriweather" w:hAnsi="Merriweather" w:cs="Merriweather"/>
                <w:color w:val="000000" w:themeColor="text1"/>
                <w:sz w:val="24"/>
                <w:szCs w:val="24"/>
              </w:rPr>
            </w:pPr>
          </w:p>
          <w:p w:rsidR="002D3215" w:rsidRPr="009C0D18" w:rsidRDefault="002D3215">
            <w:pPr>
              <w:jc w:val="both"/>
              <w:rPr>
                <w:rFonts w:ascii="Times New Roman" w:eastAsia="Times New Roman" w:hAnsi="Times New Roman" w:cs="Times New Roman"/>
                <w:color w:val="000000" w:themeColor="text1"/>
              </w:rPr>
            </w:pPr>
          </w:p>
          <w:p w:rsidR="002D3215" w:rsidRPr="009C0D18" w:rsidRDefault="002D3215">
            <w:pPr>
              <w:jc w:val="both"/>
              <w:rPr>
                <w:rFonts w:ascii="Times New Roman" w:eastAsia="Times New Roman" w:hAnsi="Times New Roman" w:cs="Times New Roman"/>
                <w:color w:val="000000" w:themeColor="text1"/>
              </w:rPr>
            </w:pPr>
          </w:p>
          <w:p w:rsidR="002D3215" w:rsidRPr="009C0D18" w:rsidRDefault="002D3215">
            <w:pPr>
              <w:jc w:val="both"/>
              <w:rPr>
                <w:rFonts w:ascii="Times New Roman" w:eastAsia="Times New Roman" w:hAnsi="Times New Roman" w:cs="Times New Roman"/>
                <w:color w:val="000000" w:themeColor="text1"/>
              </w:rPr>
            </w:pPr>
          </w:p>
          <w:p w:rsidR="002D3215" w:rsidRPr="009C0D18" w:rsidRDefault="002D3215">
            <w:pPr>
              <w:jc w:val="both"/>
              <w:rPr>
                <w:rFonts w:ascii="Times New Roman" w:eastAsia="Times New Roman" w:hAnsi="Times New Roman" w:cs="Times New Roman"/>
                <w:color w:val="000000" w:themeColor="text1"/>
              </w:rPr>
            </w:pPr>
          </w:p>
          <w:p w:rsidR="002D3215" w:rsidRPr="009C0D18" w:rsidRDefault="002D3215">
            <w:pPr>
              <w:ind w:right="-18"/>
              <w:jc w:val="both"/>
              <w:rPr>
                <w:rFonts w:ascii="Times New Roman" w:eastAsia="Times New Roman" w:hAnsi="Times New Roman" w:cs="Times New Roman"/>
                <w:color w:val="000000" w:themeColor="text1"/>
              </w:rPr>
            </w:pPr>
          </w:p>
        </w:tc>
      </w:tr>
    </w:tbl>
    <w:p w:rsidR="002D3215" w:rsidRPr="009C0D18" w:rsidRDefault="002D3215">
      <w:pPr>
        <w:shd w:val="clear" w:color="auto" w:fill="FFFFFF"/>
        <w:ind w:left="-720" w:right="-720"/>
        <w:jc w:val="both"/>
        <w:rPr>
          <w:rFonts w:ascii="Times New Roman" w:eastAsia="Times New Roman" w:hAnsi="Times New Roman" w:cs="Times New Roman"/>
          <w:color w:val="000000" w:themeColor="text1"/>
        </w:rPr>
      </w:pPr>
    </w:p>
    <w:p w:rsidR="002D3215" w:rsidRPr="009C0D18" w:rsidRDefault="002D3215">
      <w:pPr>
        <w:shd w:val="clear" w:color="auto" w:fill="FFFFFF"/>
        <w:ind w:left="-720" w:right="-720"/>
        <w:jc w:val="both"/>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color w:val="000000" w:themeColor="text1"/>
        </w:rPr>
        <w:br w:type="page"/>
      </w:r>
    </w:p>
    <w:p w:rsidR="002D3215" w:rsidRPr="009C0D18" w:rsidRDefault="000A68FB">
      <w:pPr>
        <w:shd w:val="clear" w:color="auto" w:fill="9CC3E5"/>
        <w:ind w:left="-720" w:right="-720"/>
        <w:jc w:val="center"/>
        <w:rPr>
          <w:rFonts w:ascii="Times New Roman" w:eastAsia="Times New Roman" w:hAnsi="Times New Roman" w:cs="Times New Roman"/>
          <w:b/>
          <w:bCs/>
          <w:color w:val="000000" w:themeColor="text1"/>
        </w:rPr>
      </w:pPr>
      <w:r w:rsidRPr="009C0D18">
        <w:rPr>
          <w:rFonts w:ascii="Times New Roman" w:eastAsia="Times New Roman" w:hAnsi="Times New Roman" w:cs="Times New Roman"/>
          <w:b/>
          <w:bCs/>
          <w:color w:val="000000" w:themeColor="text1"/>
        </w:rPr>
        <w:lastRenderedPageBreak/>
        <w:t>III</w:t>
      </w:r>
      <w:r w:rsidRPr="009C0D18">
        <w:rPr>
          <w:rFonts w:ascii="Times New Roman" w:eastAsia="Times New Roman" w:hAnsi="Times New Roman" w:cs="Times New Roman"/>
          <w:b/>
          <w:bCs/>
          <w:color w:val="000000" w:themeColor="text1"/>
        </w:rPr>
        <w:br/>
      </w:r>
      <w:r w:rsidRPr="009C0D18">
        <w:rPr>
          <w:rFonts w:ascii="Arial Unicode MS" w:eastAsia="Arial Unicode MS" w:hAnsi="Arial Unicode MS" w:cs="Arial Unicode MS"/>
          <w:b/>
          <w:bCs/>
          <w:color w:val="000000" w:themeColor="text1"/>
        </w:rPr>
        <w:t>შუამდგომლობები</w:t>
      </w:r>
      <w:r w:rsidRPr="009C0D18">
        <w:rPr>
          <w:rFonts w:ascii="Times New Roman" w:eastAsia="Times New Roman" w:hAnsi="Times New Roman" w:cs="Times New Roman"/>
          <w:b/>
          <w:bCs/>
          <w:color w:val="000000" w:themeColor="text1"/>
        </w:rPr>
        <w:t xml:space="preserve"> </w:t>
      </w:r>
      <w:r w:rsidRPr="009C0D18">
        <w:rPr>
          <w:rFonts w:ascii="Arial Unicode MS" w:eastAsia="Arial Unicode MS" w:hAnsi="Arial Unicode MS" w:cs="Arial Unicode MS"/>
          <w:i/>
          <w:iCs/>
          <w:color w:val="000000" w:themeColor="text1"/>
        </w:rPr>
        <w:t>შენიშვნა</w:t>
      </w:r>
      <w:r w:rsidRPr="009C0D18">
        <w:rPr>
          <w:rFonts w:ascii="Times New Roman" w:eastAsia="Times New Roman" w:hAnsi="Times New Roman" w:cs="Times New Roman"/>
          <w:i/>
          <w:iCs/>
          <w:color w:val="000000" w:themeColor="text1"/>
        </w:rPr>
        <w:t xml:space="preserve"> </w:t>
      </w:r>
      <w:r w:rsidRPr="009C0D18">
        <w:rPr>
          <w:rFonts w:ascii="Times New Roman" w:eastAsia="Times New Roman" w:hAnsi="Times New Roman" w:cs="Times New Roman"/>
          <w:color w:val="000000" w:themeColor="text1"/>
          <w:vertAlign w:val="superscript"/>
        </w:rPr>
        <w:footnoteReference w:id="87"/>
      </w: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1. </w:t>
      </w:r>
      <w:r w:rsidRPr="009C0D18">
        <w:rPr>
          <w:rFonts w:ascii="Arial Unicode MS" w:eastAsia="Arial Unicode MS" w:hAnsi="Arial Unicode MS" w:cs="Arial Unicode MS"/>
          <w:color w:val="000000" w:themeColor="text1"/>
        </w:rPr>
        <w:t>შუამდგომლობა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მოწმის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ექსპერტის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ან</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და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სპეციალისტის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მოწვევის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p>
    <w:tbl>
      <w:tblPr>
        <w:tblStyle w:val="ad"/>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2D3215" w:rsidRPr="009C0D18">
        <w:tc>
          <w:tcPr>
            <w:tcW w:w="10885" w:type="dxa"/>
            <w:tcBorders>
              <w:top w:val="single" w:sz="4" w:space="0" w:color="FFFFFF"/>
              <w:left w:val="single" w:sz="4" w:space="0" w:color="FFFFFF"/>
              <w:right w:val="single" w:sz="4" w:space="0" w:color="FFFFFF"/>
            </w:tcBorders>
          </w:tcPr>
          <w:p w:rsidR="002D3215" w:rsidRPr="009C0D18" w:rsidRDefault="002D3215">
            <w:pPr>
              <w:ind w:right="-108"/>
              <w:jc w:val="both"/>
              <w:rPr>
                <w:rFonts w:ascii="Times New Roman" w:eastAsia="Times New Roman" w:hAnsi="Times New Roman" w:cs="Times New Roman"/>
                <w:color w:val="000000" w:themeColor="text1"/>
              </w:rPr>
            </w:pPr>
          </w:p>
          <w:p w:rsidR="002D3215" w:rsidRPr="009C0D18" w:rsidRDefault="002D3215">
            <w:pPr>
              <w:ind w:right="-720"/>
              <w:jc w:val="both"/>
              <w:rPr>
                <w:rFonts w:ascii="Times New Roman" w:eastAsia="Times New Roman" w:hAnsi="Times New Roman" w:cs="Times New Roman"/>
                <w:color w:val="000000" w:themeColor="text1"/>
              </w:rPr>
            </w:pPr>
          </w:p>
        </w:tc>
      </w:tr>
    </w:tbl>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2. </w:t>
      </w:r>
      <w:r w:rsidRPr="009C0D18">
        <w:rPr>
          <w:rFonts w:ascii="Arial Unicode MS" w:eastAsia="Arial Unicode MS" w:hAnsi="Arial Unicode MS" w:cs="Arial Unicode MS"/>
          <w:color w:val="000000" w:themeColor="text1"/>
        </w:rPr>
        <w:t>შუამდგომლობა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სადავო</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ნორმის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მოქმედების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შეჩერების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p>
    <w:tbl>
      <w:tblPr>
        <w:tblStyle w:val="ae"/>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2D3215" w:rsidRPr="009C0D18">
        <w:tc>
          <w:tcPr>
            <w:tcW w:w="10885" w:type="dxa"/>
            <w:tcBorders>
              <w:top w:val="single" w:sz="4" w:space="0" w:color="FFFFFF"/>
              <w:left w:val="single" w:sz="4" w:space="0" w:color="FFFFFF"/>
              <w:right w:val="single" w:sz="4" w:space="0" w:color="FFFFFF"/>
            </w:tcBorders>
          </w:tcPr>
          <w:p w:rsidR="002D3215" w:rsidRPr="009C0D18" w:rsidRDefault="002D3215">
            <w:pPr>
              <w:ind w:right="-108"/>
              <w:jc w:val="both"/>
              <w:rPr>
                <w:rFonts w:ascii="Times New Roman" w:eastAsia="Times New Roman" w:hAnsi="Times New Roman" w:cs="Times New Roman"/>
                <w:color w:val="000000" w:themeColor="text1"/>
              </w:rPr>
            </w:pPr>
          </w:p>
          <w:p w:rsidR="002D3215" w:rsidRPr="004E1C38" w:rsidRDefault="002D3215">
            <w:pPr>
              <w:ind w:right="-720"/>
              <w:jc w:val="both"/>
              <w:rPr>
                <w:rFonts w:ascii="Times New Roman" w:eastAsia="Times New Roman" w:hAnsi="Times New Roman" w:cs="Times New Roman"/>
                <w:color w:val="000000" w:themeColor="text1"/>
                <w:lang w:val="en-US"/>
              </w:rPr>
            </w:pPr>
          </w:p>
        </w:tc>
      </w:tr>
    </w:tbl>
    <w:p w:rsidR="002D3215" w:rsidRPr="009C0D18" w:rsidRDefault="002D3215">
      <w:pPr>
        <w:ind w:left="-720" w:right="-720"/>
        <w:jc w:val="both"/>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3. </w:t>
      </w:r>
      <w:r w:rsidRPr="009C0D18">
        <w:rPr>
          <w:rFonts w:ascii="Arial Unicode MS" w:eastAsia="Arial Unicode MS" w:hAnsi="Arial Unicode MS" w:cs="Arial Unicode MS"/>
          <w:color w:val="000000" w:themeColor="text1"/>
        </w:rPr>
        <w:t>შუამდგომლობა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პერსონალურ</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მონაცემთა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დაფარვის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თაობაზე</w:t>
      </w:r>
    </w:p>
    <w:tbl>
      <w:tblPr>
        <w:tblStyle w:val="af"/>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2D3215" w:rsidRPr="009C0D18">
        <w:tc>
          <w:tcPr>
            <w:tcW w:w="10885" w:type="dxa"/>
            <w:tcBorders>
              <w:top w:val="single" w:sz="4" w:space="0" w:color="FFFFFF"/>
              <w:left w:val="single" w:sz="4" w:space="0" w:color="FFFFFF"/>
              <w:right w:val="single" w:sz="4" w:space="0" w:color="FFFFFF"/>
            </w:tcBorders>
          </w:tcPr>
          <w:p w:rsidR="002D3215" w:rsidRPr="009C0D18" w:rsidRDefault="002D3215">
            <w:pPr>
              <w:ind w:right="-108"/>
              <w:jc w:val="both"/>
              <w:rPr>
                <w:rFonts w:ascii="Times New Roman" w:eastAsia="Times New Roman" w:hAnsi="Times New Roman" w:cs="Times New Roman"/>
                <w:color w:val="000000" w:themeColor="text1"/>
              </w:rPr>
            </w:pPr>
          </w:p>
          <w:p w:rsidR="002D3215" w:rsidRPr="009C0D18" w:rsidRDefault="002D3215">
            <w:pPr>
              <w:ind w:right="-720"/>
              <w:jc w:val="both"/>
              <w:rPr>
                <w:rFonts w:ascii="Times New Roman" w:eastAsia="Times New Roman" w:hAnsi="Times New Roman" w:cs="Times New Roman"/>
                <w:color w:val="000000" w:themeColor="text1"/>
              </w:rPr>
            </w:pPr>
          </w:p>
        </w:tc>
      </w:tr>
    </w:tbl>
    <w:p w:rsidR="002D3215" w:rsidRPr="009C0D18" w:rsidRDefault="002D3215">
      <w:pPr>
        <w:ind w:right="-720"/>
        <w:jc w:val="both"/>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4. </w:t>
      </w:r>
      <w:r w:rsidRPr="009C0D18">
        <w:rPr>
          <w:rFonts w:ascii="Arial Unicode MS" w:eastAsia="Arial Unicode MS" w:hAnsi="Arial Unicode MS" w:cs="Arial Unicode MS"/>
          <w:color w:val="000000" w:themeColor="text1"/>
        </w:rPr>
        <w:t>შუამდგომლობა</w:t>
      </w:r>
      <w:r w:rsidRPr="009C0D18">
        <w:rPr>
          <w:rFonts w:ascii="Times New Roman" w:eastAsia="Times New Roman" w:hAnsi="Times New Roman" w:cs="Times New Roman"/>
          <w:color w:val="000000" w:themeColor="text1"/>
        </w:rPr>
        <w:t>/</w:t>
      </w:r>
      <w:r w:rsidRPr="009C0D18">
        <w:rPr>
          <w:rFonts w:ascii="Arial Unicode MS" w:eastAsia="Arial Unicode MS" w:hAnsi="Arial Unicode MS" w:cs="Arial Unicode MS"/>
          <w:color w:val="000000" w:themeColor="text1"/>
        </w:rPr>
        <w:t>მოთხოვნა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საქმის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ზეპირი</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მოსმენის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გარეშე</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განხილვის</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შესახებ</w:t>
      </w:r>
    </w:p>
    <w:tbl>
      <w:tblPr>
        <w:tblStyle w:val="af0"/>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2D3215" w:rsidRPr="009C0D18">
        <w:tc>
          <w:tcPr>
            <w:tcW w:w="10795" w:type="dxa"/>
            <w:tcBorders>
              <w:top w:val="single" w:sz="4" w:space="0" w:color="FFFFFF"/>
              <w:left w:val="single" w:sz="4" w:space="0" w:color="FFFFFF"/>
              <w:right w:val="single" w:sz="4" w:space="0" w:color="FFFFFF"/>
            </w:tcBorders>
          </w:tcPr>
          <w:p w:rsidR="002D3215" w:rsidRPr="009C0D18" w:rsidRDefault="002D3215">
            <w:pPr>
              <w:ind w:right="-108"/>
              <w:jc w:val="both"/>
              <w:rPr>
                <w:rFonts w:ascii="Times New Roman" w:eastAsia="Times New Roman" w:hAnsi="Times New Roman" w:cs="Times New Roman"/>
                <w:color w:val="000000" w:themeColor="text1"/>
              </w:rPr>
            </w:pPr>
          </w:p>
          <w:p w:rsidR="002D3215" w:rsidRPr="009C0D18" w:rsidRDefault="002D3215">
            <w:pPr>
              <w:ind w:right="-720"/>
              <w:jc w:val="both"/>
              <w:rPr>
                <w:rFonts w:ascii="Times New Roman" w:eastAsia="Times New Roman" w:hAnsi="Times New Roman" w:cs="Times New Roman"/>
                <w:color w:val="000000" w:themeColor="text1"/>
              </w:rPr>
            </w:pPr>
          </w:p>
        </w:tc>
      </w:tr>
    </w:tbl>
    <w:p w:rsidR="002D3215" w:rsidRPr="009C0D18" w:rsidRDefault="002D3215">
      <w:pPr>
        <w:ind w:right="-720"/>
        <w:jc w:val="both"/>
        <w:rPr>
          <w:rFonts w:ascii="Times New Roman" w:eastAsia="Times New Roman" w:hAnsi="Times New Roman" w:cs="Times New Roman"/>
          <w:color w:val="000000" w:themeColor="text1"/>
        </w:rPr>
      </w:pPr>
    </w:p>
    <w:p w:rsidR="002D3215" w:rsidRPr="009C0D18" w:rsidRDefault="000A68FB">
      <w:pPr>
        <w:shd w:val="clear" w:color="auto" w:fill="BFBFBF"/>
        <w:ind w:left="-720" w:right="-720"/>
        <w:jc w:val="both"/>
        <w:rPr>
          <w:rFonts w:ascii="Times New Roman" w:eastAsia="Times New Roman" w:hAnsi="Times New Roman" w:cs="Times New Roman"/>
          <w:color w:val="000000" w:themeColor="text1"/>
        </w:rPr>
      </w:pPr>
      <w:r w:rsidRPr="009C0D18">
        <w:rPr>
          <w:rFonts w:ascii="Times New Roman" w:eastAsia="Times New Roman" w:hAnsi="Times New Roman" w:cs="Times New Roman"/>
          <w:color w:val="000000" w:themeColor="text1"/>
        </w:rPr>
        <w:t xml:space="preserve">5. </w:t>
      </w:r>
      <w:r w:rsidRPr="009C0D18">
        <w:rPr>
          <w:rFonts w:ascii="Arial Unicode MS" w:eastAsia="Arial Unicode MS" w:hAnsi="Arial Unicode MS" w:cs="Arial Unicode MS"/>
          <w:color w:val="000000" w:themeColor="text1"/>
        </w:rPr>
        <w:t>სხვა</w:t>
      </w:r>
      <w:r w:rsidRPr="009C0D18">
        <w:rPr>
          <w:rFonts w:ascii="Times New Roman" w:eastAsia="Times New Roman" w:hAnsi="Times New Roman" w:cs="Times New Roman"/>
          <w:color w:val="000000" w:themeColor="text1"/>
        </w:rPr>
        <w:t xml:space="preserve"> </w:t>
      </w:r>
      <w:r w:rsidRPr="009C0D18">
        <w:rPr>
          <w:rFonts w:ascii="Arial Unicode MS" w:eastAsia="Arial Unicode MS" w:hAnsi="Arial Unicode MS" w:cs="Arial Unicode MS"/>
          <w:color w:val="000000" w:themeColor="text1"/>
        </w:rPr>
        <w:t>შუამდგომლობები</w:t>
      </w:r>
      <w:r w:rsidRPr="009C0D18">
        <w:rPr>
          <w:rFonts w:ascii="Times New Roman" w:eastAsia="Times New Roman" w:hAnsi="Times New Roman" w:cs="Times New Roman"/>
          <w:color w:val="000000" w:themeColor="text1"/>
        </w:rPr>
        <w:t xml:space="preserve"> </w:t>
      </w:r>
    </w:p>
    <w:tbl>
      <w:tblPr>
        <w:tblStyle w:val="af1"/>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2D3215" w:rsidRPr="009C0D18">
        <w:tc>
          <w:tcPr>
            <w:tcW w:w="10885" w:type="dxa"/>
            <w:tcBorders>
              <w:top w:val="single" w:sz="4" w:space="0" w:color="FFFFFF"/>
              <w:left w:val="single" w:sz="4" w:space="0" w:color="FFFFFF"/>
              <w:right w:val="single" w:sz="4" w:space="0" w:color="FFFFFF"/>
            </w:tcBorders>
          </w:tcPr>
          <w:p w:rsidR="002D3215" w:rsidRPr="009C0D18" w:rsidRDefault="002D3215">
            <w:pPr>
              <w:ind w:right="-720"/>
              <w:jc w:val="both"/>
              <w:rPr>
                <w:rFonts w:ascii="Times New Roman" w:eastAsia="Times New Roman" w:hAnsi="Times New Roman" w:cs="Times New Roman"/>
                <w:color w:val="000000" w:themeColor="text1"/>
              </w:rPr>
            </w:pPr>
          </w:p>
          <w:p w:rsidR="002D3215" w:rsidRPr="009C0D18" w:rsidRDefault="002D3215">
            <w:pPr>
              <w:ind w:right="-18"/>
              <w:jc w:val="both"/>
              <w:rPr>
                <w:rFonts w:ascii="Times New Roman" w:eastAsia="Times New Roman" w:hAnsi="Times New Roman" w:cs="Times New Roman"/>
                <w:color w:val="000000" w:themeColor="text1"/>
              </w:rPr>
            </w:pPr>
          </w:p>
          <w:p w:rsidR="002D3215" w:rsidRPr="009C0D18" w:rsidRDefault="002D3215">
            <w:pPr>
              <w:ind w:right="-720"/>
              <w:jc w:val="both"/>
              <w:rPr>
                <w:rFonts w:ascii="Times New Roman" w:eastAsia="Times New Roman" w:hAnsi="Times New Roman" w:cs="Times New Roman"/>
                <w:color w:val="000000" w:themeColor="text1"/>
              </w:rPr>
            </w:pPr>
          </w:p>
        </w:tc>
      </w:tr>
    </w:tbl>
    <w:p w:rsidR="002D3215" w:rsidRPr="009C0D18" w:rsidRDefault="002D3215">
      <w:pPr>
        <w:shd w:val="clear" w:color="auto" w:fill="FFFFFF"/>
        <w:ind w:left="-720" w:right="-720"/>
        <w:jc w:val="both"/>
        <w:rPr>
          <w:rFonts w:ascii="Times New Roman" w:eastAsia="Times New Roman" w:hAnsi="Times New Roman" w:cs="Times New Roman"/>
          <w:color w:val="000000" w:themeColor="text1"/>
        </w:rPr>
      </w:pPr>
    </w:p>
    <w:p w:rsidR="002D3215" w:rsidRPr="009C0D18" w:rsidRDefault="000A68FB">
      <w:pPr>
        <w:rPr>
          <w:rFonts w:ascii="Times New Roman" w:eastAsia="Times New Roman" w:hAnsi="Times New Roman" w:cs="Times New Roman"/>
          <w:color w:val="000000" w:themeColor="text1"/>
        </w:rPr>
      </w:pPr>
      <w:r w:rsidRPr="009C0D18">
        <w:rPr>
          <w:color w:val="000000" w:themeColor="text1"/>
        </w:rPr>
        <w:br w:type="page"/>
      </w:r>
    </w:p>
    <w:p w:rsidR="000406D7" w:rsidRDefault="000406D7" w:rsidP="000406D7">
      <w:pPr>
        <w:shd w:val="clear" w:color="auto" w:fill="95B3D7" w:themeFill="accent1" w:themeFillTint="99"/>
        <w:ind w:left="-720" w:right="-720"/>
        <w:jc w:val="center"/>
        <w:rPr>
          <w:rFonts w:ascii="Sylfaen" w:hAnsi="Sylfaen"/>
          <w:b/>
          <w:lang w:val="ka-GE"/>
        </w:rPr>
      </w:pPr>
      <w:r w:rsidRPr="00B93430">
        <w:rPr>
          <w:rFonts w:ascii="Sylfaen" w:hAnsi="Sylfaen"/>
          <w:b/>
        </w:rPr>
        <w:lastRenderedPageBreak/>
        <w:t>IV</w:t>
      </w:r>
    </w:p>
    <w:p w:rsidR="000406D7" w:rsidRPr="00B93430" w:rsidRDefault="000406D7" w:rsidP="000406D7">
      <w:pPr>
        <w:shd w:val="clear" w:color="auto" w:fill="95B3D7" w:themeFill="accent1" w:themeFillTint="99"/>
        <w:ind w:left="-720" w:right="-720"/>
        <w:jc w:val="center"/>
        <w:rPr>
          <w:rFonts w:ascii="Sylfaen" w:hAnsi="Sylfaen"/>
          <w:b/>
          <w:lang w:val="ka-GE"/>
        </w:rPr>
      </w:pPr>
      <w:r w:rsidRPr="00B93430">
        <w:rPr>
          <w:rFonts w:ascii="Sylfaen" w:hAnsi="Sylfaen"/>
          <w:b/>
          <w:lang w:val="ka-GE"/>
        </w:rPr>
        <w:t>თანდართული დოკუმენტები</w:t>
      </w:r>
    </w:p>
    <w:p w:rsidR="000406D7" w:rsidRPr="00B93430" w:rsidRDefault="000406D7" w:rsidP="000406D7">
      <w:pPr>
        <w:shd w:val="clear" w:color="auto" w:fill="BFBFBF" w:themeFill="background1" w:themeFillShade="BF"/>
        <w:ind w:left="-720" w:right="-720"/>
        <w:jc w:val="both"/>
        <w:rPr>
          <w:rFonts w:ascii="Sylfaen" w:hAnsi="Sylfaen"/>
          <w:color w:val="4F81BD" w:themeColor="accent1"/>
          <w:sz w:val="18"/>
          <w:lang w:val="ka-GE"/>
        </w:rPr>
      </w:pPr>
      <w:r>
        <w:rPr>
          <w:rFonts w:ascii="Sylfaen" w:hAnsi="Sylfaen"/>
          <w:lang w:val="ka-GE"/>
        </w:rPr>
        <w:t>1</w:t>
      </w:r>
      <w:r w:rsidRPr="00B93430">
        <w:rPr>
          <w:rFonts w:ascii="Sylfaen" w:hAnsi="Sylfaen"/>
          <w:lang w:val="ka-GE"/>
        </w:rPr>
        <w:t>. „საქართველოს საკონსტიტუციო სასამართლოს შესახებ“ საქართველოს ორგანული კანონით გათვალისწინებული სავალდებულო დანართები</w:t>
      </w:r>
      <w:r w:rsidRPr="00B93430">
        <w:rPr>
          <w:rFonts w:ascii="Sylfaen" w:hAnsi="Sylfaen"/>
          <w:color w:val="4F81BD" w:themeColor="accent1"/>
          <w:sz w:val="18"/>
          <w:lang w:val="ka-GE"/>
        </w:rPr>
        <w:t xml:space="preserve"> </w:t>
      </w:r>
    </w:p>
    <w:p w:rsidR="000406D7" w:rsidRPr="00B93430" w:rsidRDefault="000406D7" w:rsidP="000406D7">
      <w:pPr>
        <w:shd w:val="clear" w:color="auto" w:fill="FFFFFF" w:themeFill="background1"/>
        <w:ind w:left="-720" w:right="-720"/>
        <w:jc w:val="both"/>
        <w:rPr>
          <w:rFonts w:ascii="Sylfaen" w:hAnsi="Sylfaen"/>
          <w:lang w:val="ka-GE"/>
        </w:rPr>
      </w:pPr>
    </w:p>
    <w:tbl>
      <w:tblPr>
        <w:tblStyle w:val="af6"/>
        <w:tblW w:w="10795" w:type="dxa"/>
        <w:tblInd w:w="-720" w:type="dxa"/>
        <w:tblLayout w:type="fixed"/>
        <w:tblLook w:val="04A0" w:firstRow="1" w:lastRow="0" w:firstColumn="1" w:lastColumn="0" w:noHBand="0" w:noVBand="1"/>
      </w:tblPr>
      <w:tblGrid>
        <w:gridCol w:w="6129"/>
        <w:gridCol w:w="4666"/>
      </w:tblGrid>
      <w:tr w:rsidR="000406D7" w:rsidRPr="00B93430" w:rsidTr="00F22C87">
        <w:trPr>
          <w:trHeight w:val="720"/>
        </w:trPr>
        <w:tc>
          <w:tcPr>
            <w:tcW w:w="6129" w:type="dxa"/>
            <w:vAlign w:val="center"/>
          </w:tcPr>
          <w:p w:rsidR="000406D7" w:rsidRDefault="000406D7" w:rsidP="00F22C87">
            <w:pPr>
              <w:pBdr>
                <w:bottom w:val="single" w:sz="4" w:space="1" w:color="FFFFFF" w:themeColor="background1"/>
              </w:pBdr>
              <w:shd w:val="clear" w:color="auto" w:fill="FFFFFF" w:themeFill="background1"/>
              <w:tabs>
                <w:tab w:val="left" w:pos="4860"/>
              </w:tabs>
              <w:ind w:left="-23"/>
              <w:jc w:val="right"/>
              <w:rPr>
                <w:rFonts w:ascii="Sylfaen" w:hAnsi="Sylfaen" w:cs="Sylfaen"/>
                <w:color w:val="000000"/>
                <w:lang w:val="ka-GE"/>
              </w:rPr>
            </w:pPr>
          </w:p>
          <w:p w:rsidR="000406D7" w:rsidRPr="00B93430" w:rsidRDefault="000406D7" w:rsidP="00F22C87">
            <w:pPr>
              <w:pBdr>
                <w:bottom w:val="single" w:sz="4" w:space="1" w:color="FFFFFF" w:themeColor="background1"/>
              </w:pBdr>
              <w:shd w:val="clear" w:color="auto" w:fill="FFFFFF" w:themeFill="background1"/>
              <w:tabs>
                <w:tab w:val="left" w:pos="4860"/>
              </w:tabs>
              <w:ind w:left="-23"/>
              <w:jc w:val="right"/>
              <w:rPr>
                <w:rFonts w:ascii="Sylfaen" w:hAnsi="Sylfaen" w:cs="Sylfaen"/>
                <w:color w:val="000000"/>
                <w:lang w:val="ka-GE"/>
              </w:rPr>
            </w:pPr>
            <w:r w:rsidRPr="00B93430">
              <w:rPr>
                <w:rFonts w:ascii="Sylfaen" w:hAnsi="Sylfaen" w:cs="Sylfaen"/>
                <w:color w:val="000000"/>
                <w:lang w:val="ka-GE"/>
              </w:rPr>
              <w:t>სადავო</w:t>
            </w:r>
            <w:r w:rsidRPr="00B93430">
              <w:rPr>
                <w:rFonts w:ascii="Sylfaen" w:hAnsi="Sylfaen"/>
                <w:color w:val="000000"/>
                <w:lang w:val="ka-GE"/>
              </w:rPr>
              <w:t xml:space="preserve"> </w:t>
            </w:r>
            <w:r w:rsidRPr="00B93430">
              <w:rPr>
                <w:rFonts w:ascii="Sylfaen" w:hAnsi="Sylfaen" w:cs="Sylfaen"/>
                <w:color w:val="000000"/>
                <w:lang w:val="ka-GE"/>
              </w:rPr>
              <w:t>ნორმატიული</w:t>
            </w:r>
            <w:r w:rsidRPr="00B93430">
              <w:rPr>
                <w:rFonts w:ascii="Sylfaen" w:hAnsi="Sylfaen"/>
                <w:color w:val="000000"/>
                <w:lang w:val="ka-GE"/>
              </w:rPr>
              <w:t xml:space="preserve"> </w:t>
            </w:r>
            <w:r w:rsidRPr="00B93430">
              <w:rPr>
                <w:rFonts w:ascii="Sylfaen" w:hAnsi="Sylfaen" w:cs="Sylfaen"/>
                <w:color w:val="000000"/>
                <w:lang w:val="ka-GE"/>
              </w:rPr>
              <w:t>აქტის</w:t>
            </w:r>
            <w:r w:rsidRPr="00B93430">
              <w:rPr>
                <w:rFonts w:ascii="Sylfaen" w:hAnsi="Sylfaen"/>
                <w:color w:val="000000"/>
                <w:lang w:val="ka-GE"/>
              </w:rPr>
              <w:t xml:space="preserve"> </w:t>
            </w:r>
            <w:r w:rsidRPr="00B93430">
              <w:rPr>
                <w:rFonts w:ascii="Sylfaen" w:hAnsi="Sylfaen" w:cs="Sylfaen"/>
                <w:color w:val="000000"/>
                <w:lang w:val="ka-GE"/>
              </w:rPr>
              <w:t>ტექსტი</w:t>
            </w:r>
          </w:p>
        </w:tc>
        <w:sdt>
          <w:sdtPr>
            <w:rPr>
              <w:color w:val="000000"/>
              <w:sz w:val="28"/>
              <w:lang w:val="ka-GE"/>
            </w:rPr>
            <w:tag w:val="chb1"/>
            <w:id w:val="-1408764461"/>
            <w:dataBinding w:prefixMappings="xmlns:ns0='http://purl.org/dc/elements/1.1/' xmlns:ns1='http://schemas.openxmlformats.org/package/2006/metadata/core-properties' " w:xpath="/ns1:coreProperties[1]/ns0:creator[1]" w:storeItemID="{6C3C8BC8-F283-45AE-878A-BAB7291924A1}"/>
            <w14:checkbox>
              <w14:checked w14:val="1"/>
              <w14:checkedState w14:val="2612" w14:font="MS Gothic"/>
              <w14:uncheckedState w14:val="2610" w14:font="MS Gothic"/>
            </w14:checkbox>
          </w:sdtPr>
          <w:sdtEndPr/>
          <w:sdtContent>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rsidR="000406D7" w:rsidRPr="00B93430" w:rsidRDefault="000406D7" w:rsidP="00F22C8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sdtContent>
        </w:sdt>
      </w:tr>
      <w:tr w:rsidR="000406D7" w:rsidRPr="00B93430" w:rsidTr="00F22C87">
        <w:trPr>
          <w:trHeight w:val="720"/>
        </w:trPr>
        <w:tc>
          <w:tcPr>
            <w:tcW w:w="6129" w:type="dxa"/>
            <w:vAlign w:val="center"/>
          </w:tcPr>
          <w:p w:rsidR="000406D7" w:rsidRDefault="000406D7" w:rsidP="00F22C87">
            <w:pPr>
              <w:shd w:val="clear" w:color="auto" w:fill="FFFFFF" w:themeFill="background1"/>
              <w:tabs>
                <w:tab w:val="left" w:pos="4860"/>
              </w:tabs>
              <w:ind w:left="-23" w:right="72"/>
              <w:jc w:val="right"/>
              <w:rPr>
                <w:rFonts w:ascii="Sylfaen" w:hAnsi="Sylfaen" w:cs="Sylfaen"/>
                <w:color w:val="000000"/>
                <w:lang w:val="ka-GE"/>
              </w:rPr>
            </w:pPr>
          </w:p>
          <w:p w:rsidR="000406D7" w:rsidRPr="00B93430" w:rsidRDefault="000406D7" w:rsidP="00F22C87">
            <w:pPr>
              <w:shd w:val="clear" w:color="auto" w:fill="FFFFFF" w:themeFill="background1"/>
              <w:tabs>
                <w:tab w:val="left" w:pos="4860"/>
              </w:tabs>
              <w:ind w:left="-23" w:right="72"/>
              <w:jc w:val="right"/>
              <w:rPr>
                <w:rFonts w:ascii="Sylfaen" w:hAnsi="Sylfaen" w:cs="Sylfaen"/>
                <w:color w:val="000000"/>
                <w:lang w:val="ka-GE"/>
              </w:rPr>
            </w:pPr>
            <w:r>
              <w:rPr>
                <w:rFonts w:ascii="Sylfaen" w:hAnsi="Sylfaen" w:cs="Sylfaen"/>
                <w:color w:val="000000"/>
                <w:lang w:val="ka-GE"/>
              </w:rPr>
              <w:t>ბაჟის გადახდის დამადასტურებელი დოკუმენტი</w:t>
            </w:r>
          </w:p>
        </w:tc>
        <w:sdt>
          <w:sdtPr>
            <w:rPr>
              <w:color w:val="000000"/>
              <w:sz w:val="28"/>
              <w:lang w:val="ka-GE"/>
            </w:rPr>
            <w:id w:val="-259292181"/>
            <w:lock w:val="contentLocked"/>
            <w:placeholder>
              <w:docPart w:val="80DFF9C0789A4C13A6CE89813D24F1E7"/>
            </w:placeholder>
            <w:group/>
          </w:sdtPr>
          <w:sdtEndPr/>
          <w:sdtContent>
            <w:sdt>
              <w:sdtPr>
                <w:rPr>
                  <w:color w:val="000000"/>
                  <w:sz w:val="28"/>
                  <w:lang w:val="ka-GE"/>
                </w:rPr>
                <w:tag w:val="chb1"/>
                <w:id w:val="-189303904"/>
                <w:dataBinding w:prefixMappings="xmlns:ns0='http://purl.org/dc/elements/1.1/' xmlns:ns1='http://schemas.openxmlformats.org/package/2006/metadata/core-properties' " w:xpath="/ns1:coreProperties[1]/ns1:keywords[1]" w:storeItemID="{6C3C8BC8-F283-45AE-878A-BAB7291924A1}"/>
                <w14:checkbox>
                  <w14:checked w14:val="1"/>
                  <w14:checkedState w14:val="2612" w14:font="MS Gothic"/>
                  <w14:uncheckedState w14:val="2610" w14:font="MS Gothic"/>
                </w14:checkbox>
              </w:sdtPr>
              <w:sdtEndPr/>
              <w:sdtContent>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rsidR="000406D7" w:rsidRPr="00B93430" w:rsidRDefault="000406D7" w:rsidP="00F22C8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sdtContent>
            </w:sdt>
          </w:sdtContent>
        </w:sdt>
      </w:tr>
      <w:tr w:rsidR="000406D7" w:rsidRPr="00B93430" w:rsidTr="00F22C87">
        <w:trPr>
          <w:trHeight w:val="720"/>
        </w:trPr>
        <w:tc>
          <w:tcPr>
            <w:tcW w:w="6129" w:type="dxa"/>
            <w:vAlign w:val="center"/>
          </w:tcPr>
          <w:p w:rsidR="000406D7" w:rsidRPr="00B93430" w:rsidRDefault="000406D7" w:rsidP="00F22C87">
            <w:pPr>
              <w:shd w:val="clear" w:color="auto" w:fill="FFFFFF" w:themeFill="background1"/>
              <w:tabs>
                <w:tab w:val="left" w:pos="4860"/>
              </w:tabs>
              <w:ind w:left="-23" w:right="72"/>
              <w:jc w:val="right"/>
              <w:rPr>
                <w:rFonts w:ascii="Sylfaen" w:hAnsi="Sylfaen" w:cs="Sylfaen"/>
                <w:color w:val="000000"/>
                <w:lang w:val="ka-GE"/>
              </w:rPr>
            </w:pPr>
            <w:r>
              <w:rPr>
                <w:rFonts w:ascii="Sylfaen" w:hAnsi="Sylfaen" w:cs="Sylfaen"/>
                <w:color w:val="000000"/>
                <w:lang w:val="ka-GE"/>
              </w:rPr>
              <w:t>წარმომადგენლობითი უფლებამოსილების დამადასტურებელი დოკუმენტი</w:t>
            </w:r>
          </w:p>
        </w:tc>
        <w:sdt>
          <w:sdtPr>
            <w:rPr>
              <w:color w:val="000000"/>
              <w:sz w:val="28"/>
              <w:lang w:val="ka-GE"/>
            </w:rPr>
            <w:id w:val="1940407945"/>
            <w:dataBinding w:prefixMappings="xmlns:ns0='http://purl.org/dc/elements/1.1/' xmlns:ns1='http://schemas.openxmlformats.org/package/2006/metadata/core-properties' " w:xpath="/ns1:coreProperties[1]/ns0:description[1]" w:storeItemID="{6C3C8BC8-F283-45AE-878A-BAB7291924A1}"/>
            <w14:checkbox>
              <w14:checked w14:val="0"/>
              <w14:checkedState w14:val="2612" w14:font="MS Gothic"/>
              <w14:uncheckedState w14:val="2610" w14:font="MS Gothic"/>
            </w14:checkbox>
          </w:sdtPr>
          <w:sdtEndPr/>
          <w:sdtContent>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rsidR="000406D7" w:rsidRDefault="000406D7" w:rsidP="00F22C8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sdtContent>
        </w:sdt>
      </w:tr>
      <w:tr w:rsidR="000406D7" w:rsidRPr="00B93430" w:rsidTr="00F22C87">
        <w:trPr>
          <w:trHeight w:val="720"/>
        </w:trPr>
        <w:tc>
          <w:tcPr>
            <w:tcW w:w="6129" w:type="dxa"/>
            <w:vAlign w:val="center"/>
          </w:tcPr>
          <w:p w:rsidR="000406D7" w:rsidRPr="00B93430" w:rsidRDefault="000406D7" w:rsidP="00F22C87">
            <w:pPr>
              <w:shd w:val="clear" w:color="auto" w:fill="FFFFFF" w:themeFill="background1"/>
              <w:tabs>
                <w:tab w:val="left" w:pos="4860"/>
              </w:tabs>
              <w:ind w:left="-23" w:right="72"/>
              <w:jc w:val="right"/>
              <w:rPr>
                <w:rFonts w:ascii="Sylfaen" w:hAnsi="Sylfaen" w:cs="Sylfaen"/>
                <w:color w:val="000000"/>
                <w:lang w:val="ka-GE"/>
              </w:rPr>
            </w:pPr>
            <w:r w:rsidRPr="00B93430">
              <w:rPr>
                <w:rFonts w:ascii="Sylfaen" w:hAnsi="Sylfaen" w:cs="Sylfaen"/>
                <w:color w:val="000000"/>
                <w:lang w:val="ka-GE"/>
              </w:rPr>
              <w:t xml:space="preserve">კონსტიტუციური </w:t>
            </w:r>
            <w:r>
              <w:rPr>
                <w:rFonts w:ascii="Sylfaen" w:hAnsi="Sylfaen" w:cs="Sylfaen"/>
                <w:color w:val="000000"/>
                <w:lang w:val="ka-GE"/>
              </w:rPr>
              <w:t>სარჩელის</w:t>
            </w:r>
            <w:r w:rsidRPr="00B93430">
              <w:rPr>
                <w:rFonts w:ascii="Sylfaen" w:hAnsi="Sylfaen" w:cs="Sylfaen"/>
                <w:color w:val="000000"/>
                <w:lang w:val="ka-GE"/>
              </w:rPr>
              <w:t xml:space="preserve"> ელექტრონული ვერსია</w:t>
            </w:r>
          </w:p>
        </w:tc>
        <w:sdt>
          <w:sdtPr>
            <w:rPr>
              <w:color w:val="000000"/>
              <w:sz w:val="28"/>
              <w:lang w:val="ka-GE"/>
            </w:rPr>
            <w:id w:val="533460493"/>
            <w:dataBinding w:prefixMappings="xmlns:ns0='http://purl.org/dc/elements/1.1/' xmlns:ns1='http://schemas.openxmlformats.org/package/2006/metadata/core-properties' " w:xpath="/ns1:coreProperties[1]/ns0:subject[1]" w:storeItemID="{6C3C8BC8-F283-45AE-878A-BAB7291924A1}"/>
            <w14:checkbox>
              <w14:checked w14:val="1"/>
              <w14:checkedState w14:val="2612" w14:font="MS Gothic"/>
              <w14:uncheckedState w14:val="2610" w14:font="MS Gothic"/>
            </w14:checkbox>
          </w:sdtPr>
          <w:sdtEndPr/>
          <w:sdtContent>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rsidR="000406D7" w:rsidRDefault="000406D7" w:rsidP="00F22C8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sdtContent>
        </w:sdt>
      </w:tr>
      <w:tr w:rsidR="000406D7" w:rsidRPr="00B93430" w:rsidTr="00F22C87">
        <w:trPr>
          <w:trHeight w:val="720"/>
        </w:trPr>
        <w:tc>
          <w:tcPr>
            <w:tcW w:w="6129" w:type="dxa"/>
            <w:vAlign w:val="center"/>
          </w:tcPr>
          <w:p w:rsidR="000406D7" w:rsidRPr="00B93430" w:rsidRDefault="000406D7" w:rsidP="00F22C87">
            <w:pPr>
              <w:shd w:val="clear" w:color="auto" w:fill="FFFFFF" w:themeFill="background1"/>
              <w:tabs>
                <w:tab w:val="left" w:pos="4860"/>
              </w:tabs>
              <w:ind w:left="-23" w:right="72"/>
              <w:jc w:val="right"/>
              <w:rPr>
                <w:rFonts w:ascii="Sylfaen" w:hAnsi="Sylfaen"/>
              </w:rPr>
            </w:pPr>
            <w:r>
              <w:rPr>
                <w:rFonts w:ascii="Sylfaen" w:hAnsi="Sylfaen" w:cs="Sylfaen"/>
                <w:color w:val="000000"/>
                <w:lang w:val="ka-GE"/>
              </w:rPr>
              <w:t>მოსარჩელის საიდენტიფიკაციო დოკუმენტის ასლი</w:t>
            </w:r>
          </w:p>
        </w:tc>
        <w:sdt>
          <w:sdtPr>
            <w:rPr>
              <w:color w:val="000000"/>
              <w:sz w:val="28"/>
              <w:lang w:val="ka-GE"/>
            </w:rPr>
            <w:id w:val="1398778271"/>
            <w:dataBinding w:prefixMappings="xmlns:ns0='http://purl.org/dc/elements/1.1/' xmlns:ns1='http://schemas.openxmlformats.org/package/2006/metadata/core-properties' " w:xpath="/ns1:coreProperties[1]/ns0:title[1]" w:storeItemID="{6C3C8BC8-F283-45AE-878A-BAB7291924A1}"/>
            <w14:checkbox>
              <w14:checked w14:val="1"/>
              <w14:checkedState w14:val="2612" w14:font="MS Gothic"/>
              <w14:uncheckedState w14:val="2610" w14:font="MS Gothic"/>
            </w14:checkbox>
          </w:sdtPr>
          <w:sdtEndPr/>
          <w:sdtContent>
            <w:tc>
              <w:tcPr>
                <w:tcW w:w="4666" w:type="dxa"/>
                <w:tcBorders>
                  <w:top w:val="single" w:sz="4" w:space="0" w:color="FFFFFF" w:themeColor="background1"/>
                  <w:bottom w:val="single" w:sz="4" w:space="0" w:color="FFFFFF" w:themeColor="background1"/>
                  <w:right w:val="single" w:sz="4" w:space="0" w:color="FFFFFF" w:themeColor="background1"/>
                </w:tcBorders>
                <w:vAlign w:val="center"/>
              </w:tcPr>
              <w:p w:rsidR="000406D7" w:rsidRPr="00B93430" w:rsidRDefault="000406D7" w:rsidP="00F22C87">
                <w:pPr>
                  <w:tabs>
                    <w:tab w:val="left" w:pos="4860"/>
                  </w:tabs>
                  <w:ind w:right="4230"/>
                  <w:jc w:val="center"/>
                  <w:rPr>
                    <w:rFonts w:ascii="Sylfaen" w:hAnsi="Sylfaen" w:cs="Sylfaen"/>
                    <w:color w:val="000000"/>
                    <w:lang w:val="ka-GE"/>
                  </w:rPr>
                </w:pPr>
                <w:r>
                  <w:rPr>
                    <w:rFonts w:ascii="MS Gothic" w:eastAsia="MS Gothic" w:hAnsi="MS Gothic" w:hint="eastAsia"/>
                    <w:color w:val="000000"/>
                    <w:sz w:val="28"/>
                    <w:lang w:val="ka-GE"/>
                  </w:rPr>
                  <w:t>☒</w:t>
                </w:r>
              </w:p>
            </w:tc>
          </w:sdtContent>
        </w:sdt>
      </w:tr>
    </w:tbl>
    <w:p w:rsidR="000406D7" w:rsidRPr="00B93430" w:rsidRDefault="000406D7" w:rsidP="000406D7">
      <w:pPr>
        <w:pBdr>
          <w:bottom w:val="single" w:sz="4" w:space="1" w:color="FFFFFF" w:themeColor="background1"/>
        </w:pBdr>
        <w:shd w:val="clear" w:color="auto" w:fill="FFFFFF" w:themeFill="background1"/>
        <w:tabs>
          <w:tab w:val="left" w:pos="4860"/>
        </w:tabs>
        <w:ind w:left="-720" w:right="4230"/>
        <w:jc w:val="both"/>
        <w:rPr>
          <w:rFonts w:ascii="Sylfaen" w:hAnsi="Sylfaen" w:cs="Sylfaen"/>
          <w:color w:val="000000"/>
          <w:lang w:val="ka-GE"/>
        </w:rPr>
      </w:pPr>
    </w:p>
    <w:p w:rsidR="000406D7" w:rsidRPr="00B93430" w:rsidRDefault="000406D7" w:rsidP="000406D7">
      <w:pPr>
        <w:pBdr>
          <w:bottom w:val="single" w:sz="4" w:space="1" w:color="FFFFFF" w:themeColor="background1"/>
        </w:pBdr>
        <w:shd w:val="clear" w:color="auto" w:fill="BFBFBF" w:themeFill="background1" w:themeFillShade="BF"/>
        <w:tabs>
          <w:tab w:val="left" w:pos="4860"/>
        </w:tabs>
        <w:ind w:left="-720" w:right="-720"/>
        <w:jc w:val="both"/>
        <w:rPr>
          <w:rFonts w:ascii="Sylfaen" w:hAnsi="Sylfaen" w:cs="Sylfaen"/>
          <w:color w:val="000000"/>
          <w:lang w:val="ka-GE"/>
        </w:rPr>
      </w:pPr>
      <w:r>
        <w:rPr>
          <w:rFonts w:ascii="Sylfaen" w:hAnsi="Sylfaen" w:cs="Sylfaen"/>
          <w:color w:val="000000"/>
          <w:lang w:val="ka-GE"/>
        </w:rPr>
        <w:t>2</w:t>
      </w:r>
      <w:r w:rsidRPr="00B93430">
        <w:rPr>
          <w:rFonts w:ascii="Sylfaen" w:hAnsi="Sylfaen" w:cs="Sylfaen"/>
          <w:color w:val="000000"/>
          <w:lang w:val="ka-GE"/>
        </w:rPr>
        <w:t xml:space="preserve">. სხვა დანართები </w:t>
      </w:r>
      <w:r w:rsidRPr="00B93430">
        <w:rPr>
          <w:rFonts w:ascii="Sylfaen" w:hAnsi="Sylfaen"/>
          <w:i/>
          <w:color w:val="4F81BD" w:themeColor="accent1"/>
          <w:sz w:val="18"/>
          <w:lang w:val="ka-GE"/>
        </w:rPr>
        <w:t xml:space="preserve">შენიშვნა </w:t>
      </w:r>
      <w:r w:rsidRPr="00B93430">
        <w:rPr>
          <w:rStyle w:val="afa"/>
          <w:rFonts w:ascii="Sylfaen" w:hAnsi="Sylfaen"/>
          <w:color w:val="4F81BD" w:themeColor="accent1"/>
          <w:sz w:val="18"/>
          <w:lang w:val="ka-GE"/>
        </w:rPr>
        <w:footnoteReference w:id="88"/>
      </w:r>
    </w:p>
    <w:tbl>
      <w:tblPr>
        <w:tblStyle w:val="af6"/>
        <w:tblW w:w="10795" w:type="dxa"/>
        <w:tblInd w:w="-720" w:type="dxa"/>
        <w:tblLook w:val="04A0" w:firstRow="1" w:lastRow="0" w:firstColumn="1" w:lastColumn="0" w:noHBand="0" w:noVBand="1"/>
      </w:tblPr>
      <w:tblGrid>
        <w:gridCol w:w="10795"/>
      </w:tblGrid>
      <w:tr w:rsidR="000406D7" w:rsidRPr="00B93430" w:rsidTr="00F22C87">
        <w:trPr>
          <w:trHeight w:val="948"/>
        </w:trPr>
        <w:tc>
          <w:tcPr>
            <w:tcW w:w="10795" w:type="dxa"/>
            <w:tcBorders>
              <w:top w:val="single" w:sz="4" w:space="0" w:color="FFFFFF"/>
              <w:left w:val="single" w:sz="4" w:space="0" w:color="FFFFFF"/>
              <w:right w:val="single" w:sz="4" w:space="0" w:color="FFFFFF"/>
            </w:tcBorders>
          </w:tcPr>
          <w:p w:rsidR="000406D7" w:rsidRPr="00D35693" w:rsidRDefault="000406D7" w:rsidP="000406D7">
            <w:pPr>
              <w:numPr>
                <w:ilvl w:val="0"/>
                <w:numId w:val="24"/>
              </w:numPr>
              <w:pBdr>
                <w:top w:val="nil"/>
                <w:left w:val="nil"/>
                <w:bottom w:val="nil"/>
                <w:right w:val="nil"/>
                <w:between w:val="nil"/>
              </w:pBdr>
              <w:spacing w:after="160" w:line="259" w:lineRule="auto"/>
              <w:rPr>
                <w:rFonts w:ascii="Times New Roman" w:eastAsia="Times New Roman" w:hAnsi="Times New Roman" w:cs="Times New Roman"/>
                <w:color w:val="000000" w:themeColor="text1"/>
              </w:rPr>
            </w:pPr>
            <w:r>
              <w:rPr>
                <w:rFonts w:ascii="Sylfaen" w:eastAsia="Times New Roman" w:hAnsi="Sylfaen" w:cs="Times New Roman"/>
                <w:color w:val="000000" w:themeColor="text1"/>
                <w:lang w:val="ka-GE"/>
              </w:rPr>
              <w:t xml:space="preserve">საჯარიმო ქვითარი </w:t>
            </w:r>
            <w:r>
              <w:rPr>
                <w:rFonts w:ascii="Sylfaen" w:eastAsia="Times New Roman" w:hAnsi="Sylfaen" w:cs="Times New Roman"/>
                <w:color w:val="000000" w:themeColor="text1"/>
                <w:lang w:val="ru-RU"/>
              </w:rPr>
              <w:t>№</w:t>
            </w:r>
            <w:r>
              <w:rPr>
                <w:rFonts w:ascii="Sylfaen" w:eastAsia="Times New Roman" w:hAnsi="Sylfaen" w:cs="Times New Roman"/>
                <w:color w:val="000000" w:themeColor="text1"/>
                <w:lang w:val="ka-GE"/>
              </w:rPr>
              <w:t>000200155</w:t>
            </w:r>
          </w:p>
          <w:p w:rsidR="000406D7" w:rsidRPr="007D34F4" w:rsidRDefault="000406D7" w:rsidP="000406D7">
            <w:pPr>
              <w:pStyle w:val="af7"/>
              <w:numPr>
                <w:ilvl w:val="0"/>
                <w:numId w:val="24"/>
              </w:numPr>
              <w:rPr>
                <w:rFonts w:ascii="Sylfaen" w:hAnsi="Sylfaen" w:cs="Sylfaen"/>
                <w:lang w:val="ka-GE"/>
              </w:rPr>
            </w:pPr>
            <w:r>
              <w:rPr>
                <w:rFonts w:ascii="Sylfaen" w:eastAsia="Times New Roman" w:hAnsi="Sylfaen" w:cs="Times New Roman"/>
                <w:color w:val="000000" w:themeColor="text1"/>
                <w:lang w:val="ka-GE"/>
              </w:rPr>
              <w:t>განცხადება ქალაქ თბილისის მერს 6.02.2025</w:t>
            </w:r>
            <w:r>
              <w:rPr>
                <w:rFonts w:ascii="Sylfaen" w:eastAsia="Times New Roman" w:hAnsi="Sylfaen" w:cs="Times New Roman"/>
                <w:color w:val="000000" w:themeColor="text1"/>
                <w:lang w:val="ru-RU"/>
              </w:rPr>
              <w:t xml:space="preserve"> №</w:t>
            </w:r>
            <w:r>
              <w:rPr>
                <w:rFonts w:ascii="Sylfaen" w:eastAsia="Times New Roman" w:hAnsi="Sylfaen" w:cs="Times New Roman"/>
                <w:color w:val="000000" w:themeColor="text1"/>
                <w:lang w:val="ka-GE"/>
              </w:rPr>
              <w:t>19/01250372317-01</w:t>
            </w:r>
          </w:p>
        </w:tc>
      </w:tr>
    </w:tbl>
    <w:p w:rsidR="000406D7" w:rsidRPr="009317FC" w:rsidRDefault="000406D7" w:rsidP="000406D7">
      <w:pPr>
        <w:shd w:val="clear" w:color="auto" w:fill="95B3D7" w:themeFill="accent1" w:themeFillTint="99"/>
        <w:spacing w:after="0" w:line="240" w:lineRule="auto"/>
        <w:ind w:left="-720" w:right="-720"/>
        <w:jc w:val="both"/>
        <w:rPr>
          <w:color w:val="000000"/>
          <w:lang w:val="ka-GE"/>
        </w:rPr>
      </w:pPr>
      <w:r w:rsidRPr="00B93430">
        <w:rPr>
          <w:rFonts w:ascii="Sylfaen" w:hAnsi="Sylfaen" w:cs="Sylfaen"/>
          <w:color w:val="000000"/>
          <w:lang w:val="ka-GE"/>
        </w:rPr>
        <w:t xml:space="preserve"> „საქართველოს საკონსტიტუციო სასამართლოს შესახებ“ საქართველოს ორგანული კანონის 27</w:t>
      </w:r>
      <w:r w:rsidRPr="00B93430">
        <w:rPr>
          <w:rFonts w:ascii="Sylfaen" w:hAnsi="Sylfaen" w:cs="Sylfaen"/>
          <w:color w:val="000000"/>
          <w:vertAlign w:val="superscript"/>
          <w:lang w:val="ka-GE"/>
        </w:rPr>
        <w:t>3</w:t>
      </w:r>
      <w:r w:rsidRPr="00B93430">
        <w:rPr>
          <w:rFonts w:ascii="Sylfaen" w:hAnsi="Sylfaen" w:cs="Sylfaen"/>
          <w:color w:val="000000"/>
          <w:lang w:val="ka-GE"/>
        </w:rPr>
        <w:t xml:space="preserve"> მუხლის მე-3 პუნქტის თანახმად, „საკონსტიტუციო</w:t>
      </w:r>
      <w:r w:rsidRPr="00B93430">
        <w:rPr>
          <w:color w:val="000000"/>
          <w:lang w:val="ka-GE"/>
        </w:rPr>
        <w:t xml:space="preserve"> </w:t>
      </w:r>
      <w:r w:rsidRPr="00B93430">
        <w:rPr>
          <w:rFonts w:ascii="Sylfaen" w:hAnsi="Sylfaen" w:cs="Sylfaen"/>
          <w:color w:val="000000"/>
          <w:lang w:val="ka-GE"/>
        </w:rPr>
        <w:t>სამართალწარმოების</w:t>
      </w:r>
      <w:r w:rsidRPr="00B93430">
        <w:rPr>
          <w:color w:val="000000"/>
          <w:lang w:val="ka-GE"/>
        </w:rPr>
        <w:t xml:space="preserve"> </w:t>
      </w:r>
      <w:r w:rsidRPr="00B93430">
        <w:rPr>
          <w:rFonts w:ascii="Sylfaen" w:hAnsi="Sylfaen" w:cs="Sylfaen"/>
          <w:color w:val="000000"/>
          <w:lang w:val="ka-GE"/>
        </w:rPr>
        <w:t>მონაწილეები</w:t>
      </w:r>
      <w:r w:rsidRPr="00B93430">
        <w:rPr>
          <w:color w:val="000000"/>
          <w:lang w:val="ka-GE"/>
        </w:rPr>
        <w:t xml:space="preserve"> </w:t>
      </w:r>
      <w:r w:rsidRPr="00B93430">
        <w:rPr>
          <w:rFonts w:ascii="Sylfaen" w:hAnsi="Sylfaen" w:cs="Sylfaen"/>
          <w:color w:val="000000"/>
          <w:lang w:val="ka-GE"/>
        </w:rPr>
        <w:t>ვალდებული</w:t>
      </w:r>
      <w:r w:rsidRPr="00B93430">
        <w:rPr>
          <w:color w:val="000000"/>
          <w:lang w:val="ka-GE"/>
        </w:rPr>
        <w:t xml:space="preserve"> </w:t>
      </w:r>
      <w:r w:rsidRPr="00B93430">
        <w:rPr>
          <w:rFonts w:ascii="Sylfaen" w:hAnsi="Sylfaen" w:cs="Sylfaen"/>
          <w:color w:val="000000"/>
          <w:lang w:val="ka-GE"/>
        </w:rPr>
        <w:t>არიან,</w:t>
      </w:r>
      <w:r w:rsidRPr="00B93430">
        <w:rPr>
          <w:color w:val="000000"/>
          <w:lang w:val="ka-GE"/>
        </w:rPr>
        <w:t xml:space="preserve"> </w:t>
      </w:r>
      <w:r w:rsidRPr="00B93430">
        <w:rPr>
          <w:rFonts w:ascii="Sylfaen" w:hAnsi="Sylfaen" w:cs="Sylfaen"/>
          <w:color w:val="000000"/>
          <w:lang w:val="ka-GE"/>
        </w:rPr>
        <w:t>კეთილსინდისიერად</w:t>
      </w:r>
      <w:r w:rsidRPr="00B93430">
        <w:rPr>
          <w:color w:val="000000"/>
          <w:lang w:val="ka-GE"/>
        </w:rPr>
        <w:t xml:space="preserve"> </w:t>
      </w:r>
      <w:r w:rsidRPr="00B93430">
        <w:rPr>
          <w:rFonts w:ascii="Sylfaen" w:hAnsi="Sylfaen" w:cs="Sylfaen"/>
          <w:color w:val="000000"/>
          <w:lang w:val="ka-GE"/>
        </w:rPr>
        <w:t>გამოიყენონ</w:t>
      </w:r>
      <w:r w:rsidRPr="00B93430">
        <w:rPr>
          <w:color w:val="000000"/>
          <w:lang w:val="ka-GE"/>
        </w:rPr>
        <w:t xml:space="preserve"> </w:t>
      </w:r>
      <w:r w:rsidRPr="00B93430">
        <w:rPr>
          <w:rFonts w:ascii="Sylfaen" w:hAnsi="Sylfaen" w:cs="Sylfaen"/>
          <w:color w:val="000000"/>
          <w:lang w:val="ka-GE"/>
        </w:rPr>
        <w:t>თავიანთი</w:t>
      </w:r>
      <w:r w:rsidRPr="00B93430">
        <w:rPr>
          <w:color w:val="000000"/>
          <w:lang w:val="ka-GE"/>
        </w:rPr>
        <w:t xml:space="preserve"> </w:t>
      </w:r>
      <w:r w:rsidRPr="00B93430">
        <w:rPr>
          <w:rFonts w:ascii="Sylfaen" w:hAnsi="Sylfaen" w:cs="Sylfaen"/>
          <w:color w:val="000000"/>
          <w:lang w:val="ka-GE"/>
        </w:rPr>
        <w:t>უფლებები</w:t>
      </w:r>
      <w:r w:rsidRPr="00B93430">
        <w:rPr>
          <w:color w:val="000000"/>
          <w:lang w:val="ka-GE"/>
        </w:rPr>
        <w:t xml:space="preserve">. </w:t>
      </w:r>
      <w:r w:rsidRPr="00B93430">
        <w:rPr>
          <w:rFonts w:ascii="Sylfaen" w:hAnsi="Sylfaen" w:cs="Sylfaen"/>
          <w:color w:val="000000"/>
          <w:lang w:val="ka-GE"/>
        </w:rPr>
        <w:t>საკონსტიტუციო</w:t>
      </w:r>
      <w:r w:rsidRPr="00B93430">
        <w:rPr>
          <w:color w:val="000000"/>
          <w:lang w:val="ka-GE"/>
        </w:rPr>
        <w:t xml:space="preserve"> </w:t>
      </w:r>
      <w:r w:rsidRPr="00B93430">
        <w:rPr>
          <w:rFonts w:ascii="Sylfaen" w:hAnsi="Sylfaen" w:cs="Sylfaen"/>
          <w:color w:val="000000"/>
          <w:lang w:val="ka-GE"/>
        </w:rPr>
        <w:t>სასამართლოსათვის</w:t>
      </w:r>
      <w:r w:rsidRPr="00B93430">
        <w:rPr>
          <w:color w:val="000000"/>
          <w:lang w:val="ka-GE"/>
        </w:rPr>
        <w:t xml:space="preserve"> </w:t>
      </w:r>
      <w:r w:rsidRPr="00B93430">
        <w:rPr>
          <w:rFonts w:ascii="Sylfaen" w:hAnsi="Sylfaen" w:cs="Sylfaen"/>
          <w:color w:val="000000"/>
          <w:lang w:val="ka-GE"/>
        </w:rPr>
        <w:t>წინასწარი</w:t>
      </w:r>
      <w:r w:rsidRPr="00B93430">
        <w:rPr>
          <w:color w:val="000000"/>
          <w:lang w:val="ka-GE"/>
        </w:rPr>
        <w:t xml:space="preserve"> </w:t>
      </w:r>
      <w:r w:rsidRPr="00B93430">
        <w:rPr>
          <w:rFonts w:ascii="Sylfaen" w:hAnsi="Sylfaen" w:cs="Sylfaen"/>
          <w:color w:val="000000"/>
          <w:lang w:val="ka-GE"/>
        </w:rPr>
        <w:t>შეცნობით</w:t>
      </w:r>
      <w:r w:rsidRPr="00B93430">
        <w:rPr>
          <w:color w:val="000000"/>
          <w:lang w:val="ka-GE"/>
        </w:rPr>
        <w:t xml:space="preserve"> </w:t>
      </w:r>
      <w:r w:rsidRPr="00B93430">
        <w:rPr>
          <w:rFonts w:ascii="Sylfaen" w:hAnsi="Sylfaen" w:cs="Sylfaen"/>
          <w:color w:val="000000"/>
          <w:lang w:val="ka-GE"/>
        </w:rPr>
        <w:t>ყალბი</w:t>
      </w:r>
      <w:r w:rsidRPr="00B93430">
        <w:rPr>
          <w:color w:val="000000"/>
          <w:lang w:val="ka-GE"/>
        </w:rPr>
        <w:t xml:space="preserve"> </w:t>
      </w:r>
      <w:r w:rsidRPr="00B93430">
        <w:rPr>
          <w:rFonts w:ascii="Sylfaen" w:hAnsi="Sylfaen" w:cs="Sylfaen"/>
          <w:color w:val="000000"/>
          <w:lang w:val="ka-GE"/>
        </w:rPr>
        <w:t>ცნობების</w:t>
      </w:r>
      <w:r w:rsidRPr="00B93430">
        <w:rPr>
          <w:color w:val="000000"/>
          <w:lang w:val="ka-GE"/>
        </w:rPr>
        <w:t xml:space="preserve"> </w:t>
      </w:r>
      <w:r w:rsidRPr="00B93430">
        <w:rPr>
          <w:rFonts w:ascii="Sylfaen" w:hAnsi="Sylfaen" w:cs="Sylfaen"/>
          <w:color w:val="000000"/>
          <w:lang w:val="ka-GE"/>
        </w:rPr>
        <w:t>მიწოდება</w:t>
      </w:r>
      <w:r w:rsidRPr="00B93430">
        <w:rPr>
          <w:color w:val="000000"/>
          <w:lang w:val="ka-GE"/>
        </w:rPr>
        <w:t xml:space="preserve"> </w:t>
      </w:r>
      <w:r w:rsidRPr="00B93430">
        <w:rPr>
          <w:rFonts w:ascii="Sylfaen" w:hAnsi="Sylfaen" w:cs="Sylfaen"/>
          <w:color w:val="000000"/>
          <w:lang w:val="ka-GE"/>
        </w:rPr>
        <w:t>იწვევს</w:t>
      </w:r>
      <w:r w:rsidRPr="00B93430">
        <w:rPr>
          <w:color w:val="000000"/>
          <w:lang w:val="ka-GE"/>
        </w:rPr>
        <w:t xml:space="preserve"> </w:t>
      </w:r>
      <w:r w:rsidRPr="00B93430">
        <w:rPr>
          <w:rFonts w:ascii="Sylfaen" w:hAnsi="Sylfaen" w:cs="Sylfaen"/>
          <w:color w:val="000000"/>
          <w:lang w:val="ka-GE"/>
        </w:rPr>
        <w:t>კანონით</w:t>
      </w:r>
      <w:r w:rsidRPr="00B93430">
        <w:rPr>
          <w:color w:val="000000"/>
          <w:lang w:val="ka-GE"/>
        </w:rPr>
        <w:t xml:space="preserve"> </w:t>
      </w:r>
      <w:r w:rsidRPr="00B93430">
        <w:rPr>
          <w:rFonts w:ascii="Sylfaen" w:hAnsi="Sylfaen" w:cs="Sylfaen"/>
          <w:color w:val="000000"/>
          <w:lang w:val="ka-GE"/>
        </w:rPr>
        <w:t>გათვალისწინებულ</w:t>
      </w:r>
      <w:r w:rsidRPr="00B93430">
        <w:rPr>
          <w:color w:val="000000"/>
          <w:lang w:val="ka-GE"/>
        </w:rPr>
        <w:t xml:space="preserve"> </w:t>
      </w:r>
      <w:r w:rsidRPr="00B93430">
        <w:rPr>
          <w:rFonts w:ascii="Sylfaen" w:hAnsi="Sylfaen" w:cs="Sylfaen"/>
          <w:color w:val="000000"/>
          <w:lang w:val="ka-GE"/>
        </w:rPr>
        <w:t>პასუხისმგებლობას</w:t>
      </w:r>
      <w:r>
        <w:rPr>
          <w:rFonts w:ascii="Sylfaen" w:hAnsi="Sylfaen" w:cs="Sylfaen"/>
          <w:color w:val="000000"/>
          <w:lang w:val="ka-GE"/>
        </w:rPr>
        <w:t>“</w:t>
      </w:r>
      <w:r w:rsidRPr="00B93430">
        <w:rPr>
          <w:color w:val="000000"/>
          <w:lang w:val="ka-GE"/>
        </w:rPr>
        <w:t>.</w:t>
      </w:r>
    </w:p>
    <w:tbl>
      <w:tblPr>
        <w:tblStyle w:val="af6"/>
        <w:tblW w:w="10795" w:type="dxa"/>
        <w:tblInd w:w="-720" w:type="dxa"/>
        <w:tblLook w:val="04A0" w:firstRow="1" w:lastRow="0" w:firstColumn="1" w:lastColumn="0" w:noHBand="0" w:noVBand="1"/>
      </w:tblPr>
      <w:tblGrid>
        <w:gridCol w:w="3505"/>
        <w:gridCol w:w="3060"/>
        <w:gridCol w:w="4230"/>
      </w:tblGrid>
      <w:tr w:rsidR="000406D7" w:rsidTr="00F22C87">
        <w:tc>
          <w:tcPr>
            <w:tcW w:w="3505" w:type="dxa"/>
            <w:tcBorders>
              <w:left w:val="single" w:sz="4" w:space="0" w:color="FFFFFF"/>
              <w:bottom w:val="single" w:sz="4" w:space="0" w:color="000000" w:themeColor="text1"/>
              <w:right w:val="single" w:sz="4" w:space="0" w:color="FFFFFF"/>
            </w:tcBorders>
            <w:shd w:val="clear" w:color="auto" w:fill="D9D9D9" w:themeFill="background1" w:themeFillShade="D9"/>
          </w:tcPr>
          <w:p w:rsidR="000406D7" w:rsidRPr="00B93430" w:rsidRDefault="000406D7" w:rsidP="00F22C87">
            <w:pPr>
              <w:tabs>
                <w:tab w:val="left" w:pos="4860"/>
              </w:tabs>
              <w:ind w:right="-108"/>
              <w:jc w:val="center"/>
              <w:rPr>
                <w:rFonts w:ascii="Sylfaen" w:hAnsi="Sylfaen" w:cs="Sylfaen"/>
                <w:color w:val="000000"/>
                <w:lang w:val="ka-GE"/>
              </w:rPr>
            </w:pPr>
            <w:r>
              <w:rPr>
                <w:rFonts w:ascii="Sylfaen" w:hAnsi="Sylfaen" w:cs="Sylfaen"/>
                <w:color w:val="000000"/>
                <w:lang w:val="ka-GE"/>
              </w:rPr>
              <w:t>ხელმოწერის ავტორი/ავტორები</w:t>
            </w:r>
          </w:p>
        </w:tc>
        <w:tc>
          <w:tcPr>
            <w:tcW w:w="3060" w:type="dxa"/>
            <w:tcBorders>
              <w:left w:val="single" w:sz="4" w:space="0" w:color="FFFFFF"/>
              <w:bottom w:val="single" w:sz="4" w:space="0" w:color="000000" w:themeColor="text1"/>
              <w:right w:val="single" w:sz="4" w:space="0" w:color="FFFFFF"/>
            </w:tcBorders>
            <w:shd w:val="clear" w:color="auto" w:fill="D9D9D9" w:themeFill="background1" w:themeFillShade="D9"/>
          </w:tcPr>
          <w:p w:rsidR="000406D7" w:rsidRDefault="000406D7" w:rsidP="00F22C87">
            <w:pPr>
              <w:tabs>
                <w:tab w:val="left" w:pos="4860"/>
              </w:tabs>
              <w:ind w:right="-24"/>
              <w:jc w:val="center"/>
              <w:rPr>
                <w:rFonts w:ascii="Sylfaen" w:hAnsi="Sylfaen" w:cs="Sylfaen"/>
                <w:color w:val="000000"/>
                <w:lang w:val="ka-GE"/>
              </w:rPr>
            </w:pPr>
            <w:r>
              <w:rPr>
                <w:rFonts w:ascii="Sylfaen" w:hAnsi="Sylfaen" w:cs="Sylfaen"/>
                <w:color w:val="000000"/>
                <w:lang w:val="ka-GE"/>
              </w:rPr>
              <w:t>თარიღი</w:t>
            </w:r>
          </w:p>
        </w:tc>
        <w:tc>
          <w:tcPr>
            <w:tcW w:w="4230" w:type="dxa"/>
            <w:tcBorders>
              <w:left w:val="single" w:sz="4" w:space="0" w:color="FFFFFF"/>
              <w:bottom w:val="single" w:sz="4" w:space="0" w:color="000000" w:themeColor="text1"/>
              <w:right w:val="single" w:sz="4" w:space="0" w:color="FFFFFF"/>
            </w:tcBorders>
            <w:shd w:val="clear" w:color="auto" w:fill="D9D9D9" w:themeFill="background1" w:themeFillShade="D9"/>
          </w:tcPr>
          <w:p w:rsidR="000406D7" w:rsidRDefault="000406D7" w:rsidP="00F22C87">
            <w:pPr>
              <w:tabs>
                <w:tab w:val="left" w:pos="4860"/>
              </w:tabs>
              <w:ind w:right="-18"/>
              <w:jc w:val="center"/>
              <w:rPr>
                <w:rFonts w:ascii="Sylfaen" w:hAnsi="Sylfaen" w:cs="Sylfaen"/>
                <w:color w:val="000000"/>
                <w:lang w:val="ka-GE"/>
              </w:rPr>
            </w:pPr>
            <w:r>
              <w:rPr>
                <w:rFonts w:ascii="Sylfaen" w:hAnsi="Sylfaen" w:cs="Sylfaen"/>
                <w:color w:val="000000"/>
                <w:lang w:val="ka-GE"/>
              </w:rPr>
              <w:t>ხელმოწერა</w:t>
            </w:r>
          </w:p>
        </w:tc>
      </w:tr>
      <w:tr w:rsidR="000406D7" w:rsidTr="00F22C8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06D7" w:rsidRPr="007D34F4" w:rsidRDefault="000406D7" w:rsidP="000406D7">
            <w:pPr>
              <w:pStyle w:val="af7"/>
              <w:numPr>
                <w:ilvl w:val="0"/>
                <w:numId w:val="21"/>
              </w:numPr>
              <w:tabs>
                <w:tab w:val="left" w:pos="4860"/>
              </w:tabs>
              <w:ind w:left="337" w:right="-108"/>
              <w:rPr>
                <w:rFonts w:ascii="Sylfaen" w:hAnsi="Sylfaen" w:cs="Sylfaen"/>
                <w:color w:val="000000"/>
                <w:lang w:val="ka-GE"/>
              </w:rPr>
            </w:pPr>
            <w:r>
              <w:rPr>
                <w:rFonts w:ascii="Sylfaen" w:hAnsi="Sylfaen" w:cs="Sylfaen"/>
                <w:color w:val="000000"/>
                <w:lang w:val="ka-GE"/>
              </w:rPr>
              <w:t>კახა წიქარიშვილი</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06D7" w:rsidRPr="007D34F4" w:rsidRDefault="000406D7" w:rsidP="000406D7">
            <w:pPr>
              <w:pStyle w:val="af7"/>
              <w:numPr>
                <w:ilvl w:val="0"/>
                <w:numId w:val="22"/>
              </w:numPr>
              <w:tabs>
                <w:tab w:val="left" w:pos="4860"/>
              </w:tabs>
              <w:ind w:left="342" w:right="-24"/>
              <w:rPr>
                <w:rFonts w:ascii="Sylfaen" w:hAnsi="Sylfaen" w:cs="Sylfaen"/>
                <w:color w:val="000000"/>
                <w:lang w:val="ka-GE"/>
              </w:rPr>
            </w:pPr>
            <w:r>
              <w:rPr>
                <w:rFonts w:ascii="Sylfaen" w:hAnsi="Sylfaen" w:cs="Sylfaen"/>
                <w:color w:val="000000"/>
                <w:lang w:val="ka-GE"/>
              </w:rPr>
              <w:t>10.12.2025</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406D7" w:rsidRPr="007D34F4" w:rsidRDefault="000406D7" w:rsidP="000406D7">
            <w:pPr>
              <w:pStyle w:val="af7"/>
              <w:numPr>
                <w:ilvl w:val="0"/>
                <w:numId w:val="23"/>
              </w:numPr>
              <w:tabs>
                <w:tab w:val="left" w:pos="4860"/>
              </w:tabs>
              <w:ind w:left="252" w:right="-18" w:hanging="270"/>
              <w:rPr>
                <w:rFonts w:ascii="Sylfaen" w:hAnsi="Sylfaen" w:cs="Sylfaen"/>
                <w:color w:val="000000"/>
                <w:lang w:val="ka-GE"/>
              </w:rPr>
            </w:pPr>
          </w:p>
        </w:tc>
      </w:tr>
    </w:tbl>
    <w:p w:rsidR="000406D7" w:rsidRPr="00B93430" w:rsidRDefault="000406D7" w:rsidP="000406D7">
      <w:pPr>
        <w:pBdr>
          <w:bottom w:val="single" w:sz="4" w:space="1" w:color="FFFFFF" w:themeColor="background1"/>
        </w:pBdr>
        <w:shd w:val="clear" w:color="auto" w:fill="FFFFFF" w:themeFill="background1"/>
        <w:tabs>
          <w:tab w:val="left" w:pos="4860"/>
        </w:tabs>
        <w:ind w:right="4230"/>
        <w:jc w:val="both"/>
        <w:rPr>
          <w:rFonts w:ascii="Sylfaen" w:hAnsi="Sylfaen" w:cs="Sylfaen"/>
          <w:color w:val="000000"/>
          <w:lang w:val="ka-GE"/>
        </w:rPr>
      </w:pPr>
    </w:p>
    <w:p w:rsidR="004E1C38" w:rsidRDefault="004E1C38">
      <w:pPr>
        <w:pBdr>
          <w:bottom w:val="single" w:sz="4" w:space="1" w:color="FFFFFF"/>
        </w:pBdr>
        <w:shd w:val="clear" w:color="auto" w:fill="FFFFFF"/>
        <w:tabs>
          <w:tab w:val="left" w:pos="4860"/>
        </w:tabs>
        <w:ind w:right="4230"/>
        <w:jc w:val="both"/>
        <w:rPr>
          <w:rFonts w:ascii="Sylfaen" w:eastAsia="Times New Roman" w:hAnsi="Sylfaen" w:cs="Times New Roman"/>
          <w:color w:val="000000" w:themeColor="text1"/>
        </w:rPr>
      </w:pPr>
    </w:p>
    <w:p w:rsidR="004E1C38" w:rsidRPr="004E1C38" w:rsidRDefault="004E1C38">
      <w:pPr>
        <w:pBdr>
          <w:bottom w:val="single" w:sz="4" w:space="1" w:color="FFFFFF"/>
        </w:pBdr>
        <w:shd w:val="clear" w:color="auto" w:fill="FFFFFF"/>
        <w:tabs>
          <w:tab w:val="left" w:pos="4860"/>
        </w:tabs>
        <w:ind w:right="4230"/>
        <w:jc w:val="both"/>
        <w:rPr>
          <w:rFonts w:ascii="Sylfaen" w:eastAsia="Times New Roman" w:hAnsi="Sylfaen" w:cs="Times New Roman"/>
          <w:color w:val="000000" w:themeColor="text1"/>
          <w:lang w:val="en-US"/>
        </w:rPr>
      </w:pPr>
    </w:p>
    <w:sectPr w:rsidR="004E1C38" w:rsidRPr="004E1C38">
      <w:footerReference w:type="default" r:id="rId10"/>
      <w:pgSz w:w="12240" w:h="15840"/>
      <w:pgMar w:top="806"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DDE" w:rsidRDefault="00F44DDE">
      <w:pPr>
        <w:spacing w:after="0" w:line="240" w:lineRule="auto"/>
      </w:pPr>
      <w:r>
        <w:separator/>
      </w:r>
    </w:p>
  </w:endnote>
  <w:endnote w:type="continuationSeparator" w:id="0">
    <w:p w:rsidR="00F44DDE" w:rsidRDefault="00F4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1" w:fontKey="{34846BDA-EB9D-4BF4-A02B-43E78ED91035}"/>
    <w:embedBold r:id="rId2" w:fontKey="{AAD6C612-667D-4225-BC03-666C71B3DD68}"/>
    <w:embedItalic r:id="rId3" w:fontKey="{987AEC78-ACEE-435C-8B21-3C0289A8908C}"/>
  </w:font>
  <w:font w:name="Georgia">
    <w:panose1 w:val="02040502050405020303"/>
    <w:charset w:val="CC"/>
    <w:family w:val="roman"/>
    <w:pitch w:val="variable"/>
    <w:sig w:usb0="00000287" w:usb1="00000000" w:usb2="00000000" w:usb3="00000000" w:csb0="0000009F" w:csb1="00000000"/>
    <w:embedItalic r:id="rId4" w:fontKey="{B7C7BA67-7DAE-47FC-BC8D-4BD399840CDB}"/>
  </w:font>
  <w:font w:name="Cambria">
    <w:panose1 w:val="02040503050406030204"/>
    <w:charset w:val="CC"/>
    <w:family w:val="roman"/>
    <w:pitch w:val="variable"/>
    <w:sig w:usb0="E00006FF" w:usb1="420024FF" w:usb2="02000000" w:usb3="00000000" w:csb0="0000019F" w:csb1="00000000"/>
    <w:embedRegular r:id="rId5" w:fontKey="{64E2276F-CDFF-496E-B2D4-1E1CD7C1AD65}"/>
  </w:font>
  <w:font w:name="Arial Unicode MS">
    <w:altName w:val="Malgun Gothic Semilight"/>
    <w:panose1 w:val="020B0604020202020204"/>
    <w:charset w:val="80"/>
    <w:family w:val="swiss"/>
    <w:pitch w:val="variable"/>
    <w:sig w:usb0="00000000" w:usb1="E9DFFFFF" w:usb2="0000003F" w:usb3="00000000" w:csb0="003F01FF" w:csb1="00000000"/>
    <w:embedRegular r:id="rId6" w:subsetted="1" w:fontKey="{70F56C65-1428-42E4-830F-C87D2D510648}"/>
    <w:embedBold r:id="rId7" w:subsetted="1" w:fontKey="{B2A56C07-78FF-4AD8-9955-1C5D23CD1FED}"/>
    <w:embedItalic r:id="rId8" w:subsetted="1" w:fontKey="{7347B313-2FFC-4981-B244-6A409F4BF357}"/>
    <w:embedBoldItalic r:id="rId9" w:subsetted="1" w:fontKey="{41389100-9063-4DCB-98E0-43E1A5D80664}"/>
  </w:font>
  <w:font w:name="Merriweather">
    <w:altName w:val="Times New Roman"/>
    <w:charset w:val="00"/>
    <w:family w:val="auto"/>
    <w:pitch w:val="default"/>
    <w:embedRegular r:id="rId10" w:fontKey="{89A32AF4-316D-4A9A-9052-96BBBCE8C578}"/>
    <w:embedBold r:id="rId11" w:fontKey="{A2A89DC6-D2D0-4A9F-91F1-BC44E8B5191A}"/>
    <w:embedItalic r:id="rId12" w:fontKey="{2C9231C4-5B15-4DF6-8184-4BD2C024F907}"/>
    <w:embedBoldItalic r:id="rId13" w:fontKey="{1DBB1584-79FD-4F95-A636-8A17512681DD}"/>
  </w:font>
  <w:font w:name="Gungsuh">
    <w:charset w:val="81"/>
    <w:family w:val="roman"/>
    <w:pitch w:val="variable"/>
    <w:sig w:usb0="B00002AF" w:usb1="69D77CFB" w:usb2="00000030" w:usb3="00000000" w:csb0="0008009F" w:csb1="00000000"/>
    <w:embedRegular r:id="rId14" w:fontKey="{B2095044-61BD-4D48-AF10-90951FA51A67}"/>
  </w:font>
  <w:font w:name="___WRD_EMBED_SUB_856">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embedRegular r:id="rId15" w:fontKey="{52C86CC1-8B78-43BF-B562-5E6473F0A82F}"/>
    <w:embedBold r:id="rId16" w:fontKey="{D9528CD8-8992-4867-943E-96C7194EB54F}"/>
    <w:embedItalic r:id="rId17" w:fontKey="{61C406BB-FAC1-483E-93B9-0BDE3A8500F7}"/>
  </w:font>
  <w:font w:name="AcadNusx">
    <w:panose1 w:val="00000000000000000000"/>
    <w:charset w:val="00"/>
    <w:family w:val="auto"/>
    <w:pitch w:val="variable"/>
    <w:sig w:usb0="00000087" w:usb1="00000000" w:usb2="00000000" w:usb3="00000000" w:csb0="0000001B" w:csb1="00000000"/>
    <w:embedRegular r:id="rId18" w:fontKey="{5157F259-B6AC-45DC-B165-95BE637C1C34}"/>
    <w:embedItalic r:id="rId19" w:fontKey="{ECCCE1AB-738A-4BB8-B3B9-E9D0F7F5F382}"/>
  </w:font>
  <w:font w:name="2">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20" w:subsetted="1" w:fontKey="{C3405B6D-A188-434C-8056-95519C14F72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39C" w:rsidRDefault="0036339C">
    <w:pPr>
      <w:pBdr>
        <w:top w:val="nil"/>
        <w:left w:val="nil"/>
        <w:bottom w:val="nil"/>
        <w:right w:val="nil"/>
        <w:between w:val="nil"/>
      </w:pBdr>
      <w:tabs>
        <w:tab w:val="center" w:pos="4680"/>
        <w:tab w:val="right" w:pos="9360"/>
      </w:tabs>
      <w:spacing w:after="0" w:line="240" w:lineRule="auto"/>
      <w:jc w:val="right"/>
      <w:rPr>
        <w:color w:val="000000"/>
      </w:rPr>
    </w:pPr>
    <w:r>
      <w:rPr>
        <w:rFonts w:ascii="Merriweather" w:eastAsia="Merriweather" w:hAnsi="Merriweather" w:cs="Merriweather"/>
        <w:color w:val="000000"/>
        <w:sz w:val="24"/>
        <w:szCs w:val="24"/>
      </w:rPr>
      <w:fldChar w:fldCharType="begin"/>
    </w:r>
    <w:r>
      <w:rPr>
        <w:rFonts w:ascii="Merriweather" w:eastAsia="Merriweather" w:hAnsi="Merriweather" w:cs="Merriweather"/>
        <w:color w:val="000000"/>
        <w:sz w:val="24"/>
        <w:szCs w:val="24"/>
      </w:rPr>
      <w:instrText>PAGE</w:instrText>
    </w:r>
    <w:r>
      <w:rPr>
        <w:rFonts w:ascii="Merriweather" w:eastAsia="Merriweather" w:hAnsi="Merriweather" w:cs="Merriweather"/>
        <w:color w:val="000000"/>
        <w:sz w:val="24"/>
        <w:szCs w:val="24"/>
      </w:rPr>
      <w:fldChar w:fldCharType="separate"/>
    </w:r>
    <w:r w:rsidR="0025741B">
      <w:rPr>
        <w:rFonts w:ascii="Merriweather" w:eastAsia="Merriweather" w:hAnsi="Merriweather" w:cs="Merriweather"/>
        <w:noProof/>
        <w:color w:val="000000"/>
        <w:sz w:val="24"/>
        <w:szCs w:val="24"/>
      </w:rPr>
      <w:t>56</w:t>
    </w:r>
    <w:r>
      <w:rPr>
        <w:rFonts w:ascii="Merriweather" w:eastAsia="Merriweather" w:hAnsi="Merriweather" w:cs="Merriweather"/>
        <w:color w:val="000000"/>
        <w:sz w:val="24"/>
        <w:szCs w:val="24"/>
      </w:rPr>
      <w:fldChar w:fldCharType="end"/>
    </w:r>
  </w:p>
  <w:p w:rsidR="0036339C" w:rsidRDefault="003633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DDE" w:rsidRDefault="00F44DDE">
      <w:pPr>
        <w:spacing w:after="0" w:line="240" w:lineRule="auto"/>
      </w:pPr>
      <w:r>
        <w:separator/>
      </w:r>
    </w:p>
  </w:footnote>
  <w:footnote w:type="continuationSeparator" w:id="0">
    <w:p w:rsidR="00F44DDE" w:rsidRDefault="00F44DDE">
      <w:pPr>
        <w:spacing w:after="0" w:line="240" w:lineRule="auto"/>
      </w:pPr>
      <w:r>
        <w:continuationSeparator/>
      </w:r>
    </w:p>
  </w:footnote>
  <w:footnote w:id="1">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თუ მოსარჩელეთა რაოდენობა არის ორი ან ორზე მეტი, თითოეული მოსარჩელის მონაცემები შეიყვანეთ თანმიმდევრულად და გამოიყენეთ ნუმერაცია. სარჩელიდან ცხადად უნდა ირკვეოდეს, რომელ მოსარჩელეს უკავშირდება ამ ველში შეყვანილი მონაცემი. თუ მოსარჩელე ერთდროულად არის რამდენიმე ქვეყნის მოქალაქე, მიუთითეთ შესაბამისი სახელმწიფოები. </w:t>
      </w:r>
    </w:p>
  </w:footnote>
  <w:footnote w:id="2">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კონსტიტუციურ სარჩელს უნდა ერთვოდეს წარმომადგენლობითი უფლებამოსილების დამადასტურებელი დოკუმენტი. თუ წარმომადგენლების რაოდენობა არის ორი ან ორზე მეტი, იმოქმედეთ N1 შენიშვნის შესაბამისად.</w:t>
      </w:r>
    </w:p>
  </w:footnote>
  <w:footnote w:id="3">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მიუთითეთ ნორმატიული აქტის დასახელება, რომელიც შეიცავს, ადგენს სადავო ნორმებს. მიუთითეთ, ამ ნორმატიული აქტის მიმღების/გამომცემის დასახელება და მიღების/გამოცემის თარიღი. რამდენიმე ნორმატიული აქტის დამატების შემთხვევაში, გამოიყენეთ ნუმერაცია.</w:t>
      </w:r>
    </w:p>
  </w:footnote>
  <w:footnote w:id="4">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გთხოვთ ჩამოაყალიბოთ სასარჩელო მოთხოვნის ფორმალური მხარე. კერძოდ, რომელ სადავო ნორმას კონსტიტუციის რომელ მუხლთან, პუნქტთან, ქვეპუნქტთან ან/და წინადადებასთან ხდით სადავოდ. მიუთითეთ, კონკრეტული სადავო ნორმა (ნორმატიული აქტის სადავო შინაარსობრივი ნაწილის იდენტიფიკაციის საშუალებები მაგ. მუხლი, პუნქტი/ნაწილი, ქვეპუნქტი, წინადადება და ა.შ) და მის გასწვრივ საქართველოს კონსტიტუციის ის დებულება, რომლის მიმართაც მოითხოვთ აღნიშნული სადავო ნორმის არაკონსტიტუციურად ცნობას. თუ სასარჩელო მოთხოვნის მოცულობიდან გამომდინარე ფორმაში მოცემული სივრცე არ იქნება საკმარისი, ფორმა იძლევა ველების დამატების შესაძლებლობას. თუ ტექნიკურად ვერ ახერხებთ ახალი ველების დამატებას, ბოლო ველში შეგიძლიათ მიუთითოთ ერთზე მეტი სადავო ნორმა და კონსტიტუციის დებულება. ასეთ შემთხვევაში გთხოვთ, გამოიყენეთ ნუმერაცია იმგვარად, რომ შესაძლებელი იყოს სასარჩელო მოთხოვნის ცხადად იდენტიფიცირება.</w:t>
      </w:r>
    </w:p>
  </w:footnote>
  <w:footnote w:id="5">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დაასაბუთეთ, რომ მოსარჩელე/მოსარჩელეები არიან უფლებამოსილი სუბიექტები მიმართონ საკონსტიტუციო სასამართლოს. საჭიროების შემთხვევაში წარმოადგინეთ არგუმენტაცია „საქართველოს საკონსტიტუციო სასამართლოს შესახებ“ საქართველოს ორგანული კანონის 31</w:t>
      </w:r>
      <w:r>
        <w:rPr>
          <w:rFonts w:ascii="Merriweather" w:eastAsia="Merriweather" w:hAnsi="Merriweather" w:cs="Merriweather"/>
          <w:color w:val="000000"/>
          <w:sz w:val="18"/>
          <w:szCs w:val="18"/>
          <w:vertAlign w:val="superscript"/>
        </w:rPr>
        <w:t>3</w:t>
      </w:r>
      <w:r>
        <w:rPr>
          <w:rFonts w:ascii="Arial Unicode MS" w:eastAsia="Arial Unicode MS" w:hAnsi="Arial Unicode MS" w:cs="Arial Unicode MS"/>
          <w:color w:val="000000"/>
          <w:sz w:val="18"/>
          <w:szCs w:val="18"/>
        </w:rPr>
        <w:t xml:space="preserve"> მუხლის პირველი პუნქტით განსაზღვრული კონსტიტუციური სარჩელის ან კონსტიტუციურის წარდგინების არსებითად განსახილველად მიუღებლობის სხვა საფუძვლების არარსებობის შესახებ.</w:t>
      </w:r>
    </w:p>
  </w:footnote>
  <w:footnote w:id="6">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გთხოვთ, წარმოადგინოთ დასაბუთება სადავო ნორმის (ნორმების) საქართველოს კონსტიტუციის შესაბამის დებულებასთან მიმართებით არაკონსტიტუციურობის თაობაზე. თუ სადავო ნორმის (ნორმების) კონსტიტუციურობის შემოწმებას საქართველოს კონსტიტუციის რამდენიმე მუხლთან ითხოვთ, გთხოვთ, ცალ–ცალკე წარმოადგინოთ დასაბუთება. თუ სასარჩელო მოთხოვნის დასასაბუთებლად იშველიებთ ეროვნულ, საერთაშორისო ან/და სხვა ქვეყნის სასამართლო პრაქტიკას ან/და კანონმდებლობას, აგრეთვე სამეცნიერო ან/და ანალიტიკურ ნაშრომებს, გთხოვთ, გააკეთოთ მკაფიო მითითებები შესაბამის წყაროზე მაგ.: დასახელება, პარაგრაფი, მუხლი, გვერდი და ა.შ. </w:t>
      </w:r>
    </w:p>
  </w:footnote>
  <w:footnote w:id="7">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&lt; </w:t>
      </w:r>
      <w:hyperlink r:id="rId1">
        <w:r>
          <w:rPr>
            <w:color w:val="0563C1"/>
            <w:sz w:val="20"/>
            <w:szCs w:val="20"/>
            <w:u w:val="single"/>
          </w:rPr>
          <w:t>https://info.parliament.ge/file/1/BillReviewContent/373179</w:t>
        </w:r>
      </w:hyperlink>
      <w:r>
        <w:rPr>
          <w:color w:val="000000"/>
          <w:sz w:val="20"/>
          <w:szCs w:val="20"/>
        </w:rPr>
        <w:t xml:space="preserve"> &gt;;</w:t>
      </w:r>
    </w:p>
  </w:footnote>
  <w:footnote w:id="8">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&lt; </w:t>
      </w:r>
      <w:hyperlink r:id="rId2">
        <w:r>
          <w:rPr>
            <w:color w:val="0000FF"/>
            <w:sz w:val="20"/>
            <w:szCs w:val="20"/>
            <w:u w:val="single"/>
          </w:rPr>
          <w:t>https://info.parliament.ge/file/1/BillReviewContent/400559</w:t>
        </w:r>
      </w:hyperlink>
      <w:r>
        <w:rPr>
          <w:color w:val="000000"/>
          <w:sz w:val="20"/>
          <w:szCs w:val="20"/>
        </w:rPr>
        <w:t xml:space="preserve"> &gt;;</w:t>
      </w:r>
    </w:p>
  </w:footnote>
  <w:footnote w:id="9">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2018 წლის11 მაისის N2/3/663  გადაწყვეტილება  საქმეზე  საქართველოს</w:t>
      </w:r>
      <w:r>
        <w:rPr>
          <w:color w:val="000000"/>
          <w:sz w:val="20"/>
          <w:szCs w:val="20"/>
        </w:rPr>
        <w:t xml:space="preserve"> </w:t>
      </w:r>
      <w:r>
        <w:rPr>
          <w:rFonts w:ascii="Arial Unicode MS" w:eastAsia="Arial Unicode MS" w:hAnsi="Arial Unicode MS" w:cs="Arial Unicode MS"/>
          <w:color w:val="000000"/>
          <w:sz w:val="20"/>
          <w:szCs w:val="20"/>
        </w:rPr>
        <w:t>მოქალაქე</w:t>
      </w:r>
      <w:r>
        <w:rPr>
          <w:color w:val="000000"/>
          <w:sz w:val="20"/>
          <w:szCs w:val="20"/>
        </w:rPr>
        <w:t xml:space="preserve"> </w:t>
      </w:r>
      <w:r>
        <w:rPr>
          <w:rFonts w:ascii="Arial Unicode MS" w:eastAsia="Arial Unicode MS" w:hAnsi="Arial Unicode MS" w:cs="Arial Unicode MS"/>
          <w:color w:val="000000"/>
          <w:sz w:val="20"/>
          <w:szCs w:val="20"/>
        </w:rPr>
        <w:t>თამარ</w:t>
      </w:r>
      <w:r>
        <w:rPr>
          <w:color w:val="000000"/>
          <w:sz w:val="20"/>
          <w:szCs w:val="20"/>
        </w:rPr>
        <w:t xml:space="preserve"> </w:t>
      </w:r>
      <w:r>
        <w:rPr>
          <w:rFonts w:ascii="Arial Unicode MS" w:eastAsia="Arial Unicode MS" w:hAnsi="Arial Unicode MS" w:cs="Arial Unicode MS"/>
          <w:color w:val="000000"/>
          <w:sz w:val="20"/>
          <w:szCs w:val="20"/>
        </w:rPr>
        <w:t>თანდაშვილი</w:t>
      </w:r>
      <w:r>
        <w:rPr>
          <w:color w:val="000000"/>
          <w:sz w:val="20"/>
          <w:szCs w:val="20"/>
        </w:rPr>
        <w:t xml:space="preserve"> </w:t>
      </w:r>
      <w:r>
        <w:rPr>
          <w:rFonts w:ascii="Arial Unicode MS" w:eastAsia="Arial Unicode MS" w:hAnsi="Arial Unicode MS" w:cs="Arial Unicode MS"/>
          <w:color w:val="000000"/>
          <w:sz w:val="20"/>
          <w:szCs w:val="20"/>
        </w:rPr>
        <w:t>საქართველოს</w:t>
      </w:r>
      <w:r>
        <w:rPr>
          <w:color w:val="000000"/>
          <w:sz w:val="20"/>
          <w:szCs w:val="20"/>
        </w:rPr>
        <w:t xml:space="preserve"> </w:t>
      </w:r>
      <w:r>
        <w:rPr>
          <w:rFonts w:ascii="Arial Unicode MS" w:eastAsia="Arial Unicode MS" w:hAnsi="Arial Unicode MS" w:cs="Arial Unicode MS"/>
          <w:color w:val="000000"/>
          <w:sz w:val="20"/>
          <w:szCs w:val="20"/>
        </w:rPr>
        <w:t>მთავრობის</w:t>
      </w:r>
      <w:r>
        <w:rPr>
          <w:color w:val="000000"/>
          <w:sz w:val="20"/>
          <w:szCs w:val="20"/>
        </w:rPr>
        <w:t xml:space="preserve"> </w:t>
      </w:r>
      <w:r>
        <w:rPr>
          <w:rFonts w:ascii="Arial Unicode MS" w:eastAsia="Arial Unicode MS" w:hAnsi="Arial Unicode MS" w:cs="Arial Unicode MS"/>
          <w:color w:val="000000"/>
          <w:sz w:val="20"/>
          <w:szCs w:val="20"/>
        </w:rPr>
        <w:t>წინააღმდეგ</w:t>
      </w:r>
      <w:r>
        <w:rPr>
          <w:color w:val="000000"/>
          <w:sz w:val="20"/>
          <w:szCs w:val="20"/>
        </w:rPr>
        <w:t>. - &lt;</w:t>
      </w:r>
      <w:hyperlink r:id="rId3">
        <w:r>
          <w:rPr>
            <w:color w:val="0563C1"/>
            <w:sz w:val="20"/>
            <w:szCs w:val="20"/>
            <w:u w:val="single"/>
          </w:rPr>
          <w:t>https://constcourt.ge/ka/judicial-acts?legal=960</w:t>
        </w:r>
      </w:hyperlink>
      <w:r>
        <w:rPr>
          <w:color w:val="000000"/>
          <w:sz w:val="20"/>
          <w:szCs w:val="20"/>
        </w:rPr>
        <w:t xml:space="preserve"> &gt;;</w:t>
      </w:r>
    </w:p>
  </w:footnote>
  <w:footnote w:id="10">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2015 წლის 24 ოქტომბერი  N1/4/592 გადაწყვეტილება  საქმეზე  საქართველოს</w:t>
      </w:r>
      <w:r>
        <w:rPr>
          <w:color w:val="000000"/>
          <w:sz w:val="20"/>
          <w:szCs w:val="20"/>
        </w:rPr>
        <w:t xml:space="preserve"> </w:t>
      </w:r>
      <w:r>
        <w:rPr>
          <w:rFonts w:ascii="Arial Unicode MS" w:eastAsia="Arial Unicode MS" w:hAnsi="Arial Unicode MS" w:cs="Arial Unicode MS"/>
          <w:color w:val="000000"/>
          <w:sz w:val="20"/>
          <w:szCs w:val="20"/>
        </w:rPr>
        <w:t>მოქალაქე</w:t>
      </w:r>
      <w:r>
        <w:rPr>
          <w:color w:val="000000"/>
          <w:sz w:val="20"/>
          <w:szCs w:val="20"/>
        </w:rPr>
        <w:t xml:space="preserve"> </w:t>
      </w:r>
      <w:r>
        <w:rPr>
          <w:rFonts w:ascii="Arial Unicode MS" w:eastAsia="Arial Unicode MS" w:hAnsi="Arial Unicode MS" w:cs="Arial Unicode MS"/>
          <w:color w:val="000000"/>
          <w:sz w:val="20"/>
          <w:szCs w:val="20"/>
        </w:rPr>
        <w:t>ბექა წიქარიშვილი საქართველოს</w:t>
      </w:r>
      <w:r>
        <w:rPr>
          <w:color w:val="000000"/>
          <w:sz w:val="20"/>
          <w:szCs w:val="20"/>
        </w:rPr>
        <w:t xml:space="preserve"> </w:t>
      </w:r>
      <w:r>
        <w:rPr>
          <w:rFonts w:ascii="Arial Unicode MS" w:eastAsia="Arial Unicode MS" w:hAnsi="Arial Unicode MS" w:cs="Arial Unicode MS"/>
          <w:color w:val="000000"/>
          <w:sz w:val="20"/>
          <w:szCs w:val="20"/>
        </w:rPr>
        <w:t xml:space="preserve">პარლამენტის </w:t>
      </w:r>
      <w:r>
        <w:rPr>
          <w:color w:val="000000"/>
          <w:sz w:val="20"/>
          <w:szCs w:val="20"/>
        </w:rPr>
        <w:t xml:space="preserve"> </w:t>
      </w:r>
      <w:r>
        <w:rPr>
          <w:rFonts w:ascii="Arial Unicode MS" w:eastAsia="Arial Unicode MS" w:hAnsi="Arial Unicode MS" w:cs="Arial Unicode MS"/>
          <w:color w:val="000000"/>
          <w:sz w:val="20"/>
          <w:szCs w:val="20"/>
        </w:rPr>
        <w:t>წინააღმდეგ</w:t>
      </w:r>
      <w:r>
        <w:rPr>
          <w:color w:val="000000"/>
          <w:sz w:val="20"/>
          <w:szCs w:val="20"/>
        </w:rPr>
        <w:t xml:space="preserve">.  -             &lt; </w:t>
      </w:r>
      <w:hyperlink r:id="rId4">
        <w:r>
          <w:rPr>
            <w:color w:val="0563C1"/>
            <w:sz w:val="20"/>
            <w:szCs w:val="20"/>
            <w:u w:val="single"/>
          </w:rPr>
          <w:t>https://constcourt.ge/ka/judicial-acts?legal=1043</w:t>
        </w:r>
      </w:hyperlink>
      <w:r>
        <w:rPr>
          <w:color w:val="000000"/>
          <w:sz w:val="20"/>
          <w:szCs w:val="20"/>
        </w:rPr>
        <w:t xml:space="preserve"> &gt;</w:t>
      </w:r>
    </w:p>
  </w:footnote>
  <w:footnote w:id="11">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&lt; </w:t>
      </w:r>
      <w:hyperlink r:id="rId5">
        <w:r>
          <w:rPr>
            <w:color w:val="0563C1"/>
            <w:sz w:val="20"/>
            <w:szCs w:val="20"/>
            <w:u w:val="single"/>
          </w:rPr>
          <w:t>https://matsne.gov.ge/document/view/112786?publication=0</w:t>
        </w:r>
      </w:hyperlink>
      <w:r>
        <w:rPr>
          <w:color w:val="000000"/>
          <w:sz w:val="20"/>
          <w:szCs w:val="20"/>
        </w:rPr>
        <w:t xml:space="preserve"> &gt;;</w:t>
      </w:r>
    </w:p>
  </w:footnote>
  <w:footnote w:id="12">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&lt; </w:t>
      </w:r>
      <w:hyperlink r:id="rId6">
        <w:r>
          <w:rPr>
            <w:color w:val="0563C1"/>
            <w:sz w:val="20"/>
            <w:szCs w:val="20"/>
            <w:u w:val="single"/>
          </w:rPr>
          <w:t>https://matsne.gov.ge/ka/document/view/99592?publication=0</w:t>
        </w:r>
      </w:hyperlink>
      <w:r>
        <w:rPr>
          <w:color w:val="000000"/>
          <w:sz w:val="20"/>
          <w:szCs w:val="20"/>
        </w:rPr>
        <w:t xml:space="preserve"> &gt;;</w:t>
      </w:r>
    </w:p>
  </w:footnote>
  <w:footnote w:id="13">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&lt; </w:t>
      </w:r>
      <w:hyperlink r:id="rId7" w:anchor="page-2">
        <w:r>
          <w:rPr>
            <w:rFonts w:ascii="Times New Roman" w:eastAsia="Times New Roman" w:hAnsi="Times New Roman" w:cs="Times New Roman"/>
            <w:color w:val="0000FF"/>
            <w:sz w:val="20"/>
            <w:szCs w:val="20"/>
            <w:highlight w:val="white"/>
            <w:u w:val="single"/>
          </w:rPr>
          <w:t>https://ssa.moh.gov.ge/statistik.php?lang=1&amp;id=202212070002225855299551&amp;v=0#page-2</w:t>
        </w:r>
      </w:hyperlink>
      <w:r>
        <w:rPr>
          <w:rFonts w:ascii="Times New Roman" w:eastAsia="Times New Roman" w:hAnsi="Times New Roman" w:cs="Times New Roman"/>
          <w:color w:val="000000"/>
          <w:sz w:val="20"/>
          <w:szCs w:val="20"/>
        </w:rPr>
        <w:t xml:space="preserve"> &gt;;</w:t>
      </w:r>
    </w:p>
  </w:footnote>
  <w:footnote w:id="14">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&lt; </w:t>
      </w:r>
      <w:hyperlink r:id="rId8">
        <w:r>
          <w:rPr>
            <w:rFonts w:ascii="Times New Roman" w:eastAsia="Times New Roman" w:hAnsi="Times New Roman" w:cs="Times New Roman"/>
            <w:color w:val="000000"/>
            <w:sz w:val="20"/>
            <w:szCs w:val="20"/>
            <w:highlight w:val="white"/>
            <w:u w:val="single"/>
          </w:rPr>
          <w:t>https://www.geostat.ge/ka/modules/categories/39/khelfasebi</w:t>
        </w:r>
      </w:hyperlink>
      <w:r>
        <w:rPr>
          <w:rFonts w:ascii="Times New Roman" w:eastAsia="Times New Roman" w:hAnsi="Times New Roman" w:cs="Times New Roman"/>
          <w:color w:val="000000"/>
          <w:sz w:val="20"/>
          <w:szCs w:val="20"/>
          <w:u w:val="single"/>
        </w:rPr>
        <w:t xml:space="preserve"> &gt;;</w:t>
      </w:r>
    </w:p>
  </w:footnote>
  <w:footnote w:id="15">
    <w:p w:rsidR="0036339C" w:rsidRDefault="0036339C">
      <w:pPr>
        <w:spacing w:after="0" w:line="240" w:lineRule="auto"/>
        <w:jc w:val="both"/>
        <w:rPr>
          <w:rFonts w:ascii="Merriweather" w:eastAsia="Merriweather" w:hAnsi="Merriweather" w:cs="Merriweather"/>
          <w:sz w:val="20"/>
          <w:szCs w:val="20"/>
        </w:rPr>
      </w:pPr>
      <w:r>
        <w:rPr>
          <w:vertAlign w:val="superscript"/>
        </w:rPr>
        <w:footnoteRef/>
      </w:r>
      <w:r>
        <w:t xml:space="preserve"> </w:t>
      </w:r>
      <w:r>
        <w:rPr>
          <w:rFonts w:ascii="Arial Unicode MS" w:eastAsia="Arial Unicode MS" w:hAnsi="Arial Unicode MS" w:cs="Arial Unicode MS"/>
          <w:sz w:val="20"/>
          <w:szCs w:val="20"/>
        </w:rPr>
        <w:t>საქართველოს საკონსტიტუციო სასამართლოს 2023 წლის 14 დეკემბრის №3/3/1635 გადაწყვეტილება საქმეზე „საქართველოს სახალხო დამცველი საქართველოს პარლამენტის წინააღმდეგ“, II-3.</w:t>
      </w:r>
    </w:p>
  </w:footnote>
  <w:footnote w:id="16">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rPr>
        <w:t xml:space="preserve"> </w:t>
      </w:r>
      <w:r>
        <w:rPr>
          <w:rFonts w:ascii="Arial Unicode MS" w:eastAsia="Arial Unicode MS" w:hAnsi="Arial Unicode MS" w:cs="Arial Unicode MS"/>
          <w:color w:val="000000"/>
          <w:sz w:val="20"/>
          <w:szCs w:val="20"/>
        </w:rPr>
        <w:t>იქვე, II-7.</w:t>
      </w:r>
    </w:p>
  </w:footnote>
  <w:footnote w:id="17">
    <w:p w:rsidR="0036339C" w:rsidRDefault="0036339C">
      <w:pPr>
        <w:pBdr>
          <w:top w:val="nil"/>
          <w:left w:val="nil"/>
          <w:bottom w:val="nil"/>
          <w:right w:val="nil"/>
          <w:between w:val="nil"/>
        </w:pBdr>
        <w:spacing w:after="0" w:line="240" w:lineRule="auto"/>
        <w:jc w:val="both"/>
        <w:rPr>
          <w:color w:val="000000"/>
        </w:rPr>
      </w:pPr>
      <w:r>
        <w:rPr>
          <w:vertAlign w:val="superscript"/>
        </w:rPr>
        <w:footnoteRef/>
      </w:r>
      <w:r>
        <w:rPr>
          <w:color w:val="000000"/>
          <w:sz w:val="20"/>
          <w:szCs w:val="20"/>
        </w:rPr>
        <w:t xml:space="preserve"> საქართველოს საკონსტიტუციო სასამართლოს 2011 წლის 18 აპრილის N2/482,483,487,502 გადაწყვეტილება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დაჩი ცაგურია და ჯაბა ჯიშკარიანი, საქართველოს სახალხო დამცველი საქართველოს პარლამენტის წინააღმდეგ, II-26.</w:t>
      </w:r>
    </w:p>
  </w:footnote>
  <w:footnote w:id="18">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საქართველოს საკონსტიტუციო სასამართლოს 2010 წლის 10 ნოემბრის №4/482,483,487,502 საოქმო ჩანაწერი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დაჩი ცაგურია და ჯაბა ჯიშკარიანი, საქართველოს სახალხო დამცველი საქართველოს პარლამენტის წინააღმდეგ“.</w:t>
      </w:r>
    </w:p>
  </w:footnote>
  <w:footnote w:id="19">
    <w:p w:rsidR="0036339C" w:rsidRDefault="0036339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საქართველოს საკონსტიტუციო სასამართლოს 2011 წლის 18 აპრილის N2/482,483,487,502 გადაწყვეტილება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დაჩი ცაგურია და ჯაბა ჯიშკარიანი, საქართველოს სახალხო დამცველი საქართველოს პარლამენტის წინააღმდეგ“, II-19.</w:t>
      </w:r>
    </w:p>
  </w:footnote>
  <w:footnote w:id="20">
    <w:p w:rsidR="0036339C" w:rsidRDefault="0036339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საქართველოს საკონსტიტუციო სასამართლოს 2015 წლის 4 მარტის N1/2/552 გადაწყვეტილება საქმეზე სს „ლიბერთი ბანკი“ საქართველოს პარლამენტის წინააღმდეგ“, II-16).</w:t>
      </w:r>
    </w:p>
  </w:footnote>
  <w:footnote w:id="21">
    <w:p w:rsidR="0036339C" w:rsidRDefault="0036339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იხ. Ezelin v. France, app. N.11800/85, (ECtHR 26.04.1991); §45.</w:t>
      </w:r>
    </w:p>
  </w:footnote>
  <w:footnote w:id="22">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2014 წლის 24 ივნისის №1/3/538 გადაწყვეტილება საქმეზე „პოლიტიკური გაერთიანება „თავისუფალი საქართველო“ საქართველოს პარლამენტის წინააღმდეგ“, II-9.</w:t>
      </w:r>
    </w:p>
  </w:footnote>
  <w:footnote w:id="23">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Rekvényi v. Hungary, app.N.25390/94, (EctHR [GC], 20.05.1999); § 34. Ziliberberg v. Moldova, app.N.61821/00, (EctHR 01.05.2005); Primov and Others v. Russia, app.N.17391/06, (EctHR 13/10/2014); §125.</w:t>
      </w:r>
    </w:p>
  </w:footnote>
  <w:footnote w:id="24">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Kruslin v. France, app.N.11801/85, (EctHR 11.04.1990);  §29. Kopp v. Switzerland, app.N. 13/1997/797/1000, (EctHR 25.03.1998); §59. Vyerentsov v. Ukraine, app.N.20372/11, (EctHR 11.04.2013);  §54.</w:t>
      </w:r>
    </w:p>
  </w:footnote>
  <w:footnote w:id="25">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Ezelin v. France, app. N.11800/85, (ECtHR 26.04.1991) §45. Kudrevičius and Others v. Lithuania, app.N. 37553/05, (ECtHR [GC], 15.10.2015); §109.</w:t>
      </w:r>
    </w:p>
  </w:footnote>
  <w:footnote w:id="26">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Gülcü v. Turkey, app.N.17526/10, (ECtHR 19.01.2016); §103. Vyerentsov v. Ukraine, app.N.20372/11, (ECtHR 11/07/2013); §52.</w:t>
      </w:r>
    </w:p>
  </w:footnote>
  <w:footnote w:id="27">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2007 წლის 26 დეკემბრის N1/3/407 გადაწყვეტილება საქმეზე „საქართველოს ახალგაზრდა იურისტთა ასოციაცია და საქართველოს მოქალაქე - ეკატერინე ლომთათიძე საქართველოს პარლამენტის წინააღმდეგ”, II-11.</w:t>
      </w:r>
    </w:p>
  </w:footnote>
  <w:footnote w:id="28">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იქვე, II-28.</w:t>
      </w:r>
    </w:p>
  </w:footnote>
  <w:footnote w:id="29">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2023 წლის 14 დეკემბრის №3/3/1635 გადაწყვეტილება საქმეზე „საქართველოს სახალხო დამცველი საქართველოს პარლამენტის წინააღმდეგ“, II-40.</w:t>
      </w:r>
    </w:p>
  </w:footnote>
  <w:footnote w:id="30">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2011 წლის 18 აპრილის N2/482,483,487,502 გადაწყვეტილება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დაჩი ცაგურია და ჯაბა ჯიშკარიანი, საქართველოს სახალხო დამცველი საქართველოს პარლამენტის წინააღმდეგ“, II-48.</w:t>
      </w:r>
    </w:p>
  </w:footnote>
  <w:footnote w:id="31">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„მაქარაშვილი და სხვები საქართველოს წინააღმდეგ“, საჩივრები N.23158/20, 31365/20, 32525/20, 2002 წლის 1 სექტემბერი, §24.</w:t>
      </w:r>
    </w:p>
  </w:footnote>
  <w:footnote w:id="32">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იქვე, §101.</w:t>
      </w:r>
    </w:p>
  </w:footnote>
  <w:footnote w:id="33">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2014 წლის 24 ივნისის №1/3/538 გადაწყვეტილება საქმეზე „პოლიტიკური გაერთიანება „თავისუფალი საქართველო“ საქართველოს პარლამენტის წინააღმდეგ“, II-10.</w:t>
      </w:r>
    </w:p>
  </w:footnote>
  <w:footnote w:id="34">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2023 წლის 14 დეკემბრის №3/3/1635 გადაწყვეტილება საქმეზე „საქართველოს სახალხო დამცველი საქართველოს პარლამენტის წინააღმდეგ“, II-43.</w:t>
      </w:r>
    </w:p>
  </w:footnote>
  <w:footnote w:id="35">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საქართველოს საკონსტიტუციო სასამართლოს 2011 წლის 18 აპრილის N2/482,483,487,502 გადაწყვეტილება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დაჩი ცაგურია და ჯაბა ჯიშკარიანი, საქართველოს სახალხო დამცველი საქართველოს პარლამენტის წინააღმდეგ, </w:t>
      </w:r>
      <w:r>
        <w:rPr>
          <w:rFonts w:ascii="Merriweather" w:eastAsia="Merriweather" w:hAnsi="Merriweather" w:cs="Merriweather"/>
          <w:color w:val="000000"/>
          <w:sz w:val="20"/>
          <w:szCs w:val="20"/>
        </w:rPr>
        <w:t>II-45.</w:t>
      </w:r>
    </w:p>
  </w:footnote>
  <w:footnote w:id="36">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Ezelin v. France, app. N.11800/85, (ECtHR 26.04.1991); §39.</w:t>
      </w:r>
    </w:p>
  </w:footnote>
  <w:footnote w:id="37">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Navalnyy and Yashin v. Russia, app.N.76204/11, (EctHR 20.04.2015); §52. Ekrem Can and Others v. Turkey, app.N.20613/10,  (EctHR 05/09/2022); § 86. </w:t>
      </w:r>
    </w:p>
  </w:footnote>
  <w:footnote w:id="38">
    <w:p w:rsidR="0036339C" w:rsidRDefault="0036339C">
      <w:pPr>
        <w:spacing w:after="0" w:line="240" w:lineRule="auto"/>
        <w:jc w:val="both"/>
        <w:rPr>
          <w:i/>
          <w:iCs/>
          <w:sz w:val="20"/>
          <w:szCs w:val="20"/>
        </w:rPr>
      </w:pPr>
      <w:r>
        <w:rPr>
          <w:vertAlign w:val="superscript"/>
        </w:rPr>
        <w:footnoteRef/>
      </w:r>
      <w:r>
        <w:t xml:space="preserve"> </w:t>
      </w:r>
      <w:r>
        <w:rPr>
          <w:rFonts w:ascii="Arial Unicode MS" w:eastAsia="Arial Unicode MS" w:hAnsi="Arial Unicode MS" w:cs="Arial Unicode MS"/>
          <w:sz w:val="20"/>
          <w:szCs w:val="20"/>
        </w:rPr>
        <w:t>საქართველოს საკონსტიტუციო სასამართლოს 2007 წლის 26 დეკემბრის N1/2/407  გადაწყვეტილება საქმეზე „საქართველოს ახალგაზრდა იურისტთა ასოციაცია და საქართველოს მოქალაქე ეკატერინე ლომთათიძე საქართველოს პარლამენტის წინააღმდეგ“,</w:t>
      </w:r>
      <w:r>
        <w:rPr>
          <w:rFonts w:ascii="Merriweather" w:eastAsia="Merriweather" w:hAnsi="Merriweather" w:cs="Merriweather"/>
          <w:i/>
          <w:iCs/>
          <w:sz w:val="20"/>
          <w:szCs w:val="20"/>
        </w:rPr>
        <w:t xml:space="preserve"> </w:t>
      </w:r>
      <w:r>
        <w:rPr>
          <w:rFonts w:ascii="Merriweather" w:eastAsia="Merriweather" w:hAnsi="Merriweather" w:cs="Merriweather"/>
          <w:sz w:val="20"/>
          <w:szCs w:val="20"/>
        </w:rPr>
        <w:t>II-11.</w:t>
      </w:r>
      <w:r>
        <w:rPr>
          <w:rFonts w:ascii="AcadNusx" w:eastAsia="AcadNusx" w:hAnsi="AcadNusx" w:cs="AcadNusx"/>
          <w:i/>
          <w:iCs/>
          <w:sz w:val="20"/>
          <w:szCs w:val="20"/>
        </w:rPr>
        <w:t xml:space="preserve"> </w:t>
      </w:r>
    </w:p>
  </w:footnote>
  <w:footnote w:id="39">
    <w:p w:rsidR="0036339C" w:rsidRDefault="0036339C">
      <w:pPr>
        <w:pBdr>
          <w:top w:val="nil"/>
          <w:left w:val="nil"/>
          <w:bottom w:val="nil"/>
          <w:right w:val="nil"/>
          <w:between w:val="nil"/>
        </w:pBdr>
        <w:spacing w:after="0" w:line="240" w:lineRule="auto"/>
        <w:jc w:val="both"/>
        <w:rPr>
          <w:rFonts w:ascii="Merriweather" w:eastAsia="Merriweather" w:hAnsi="Merriweather" w:cs="Merriweather"/>
          <w:i/>
          <w:iCs/>
          <w:color w:val="000000"/>
          <w:sz w:val="24"/>
          <w:szCs w:val="24"/>
        </w:rPr>
      </w:pPr>
      <w:r>
        <w:rPr>
          <w:vertAlign w:val="superscript"/>
        </w:rPr>
        <w:footnoteRef/>
      </w:r>
      <w:r>
        <w:rPr>
          <w:rFonts w:ascii="Arial Unicode MS" w:eastAsia="Arial Unicode MS" w:hAnsi="Arial Unicode MS" w:cs="Arial Unicode MS"/>
          <w:color w:val="000000"/>
          <w:sz w:val="20"/>
          <w:szCs w:val="20"/>
        </w:rPr>
        <w:t xml:space="preserve"> საქართველოს საკონსტიტუციო სასამართლოს 2007 წლის 26 დეკემბრის N1/2/407 გადაწყვეტილება N1/2/407 საქმეზე „საქართველოს ახალგაზრდა იურისტთა ასოციაცია და საქართველოს მოქალაქე ეკატერინე ლომთათიძე საქართველოს პარლამენტის წინააღმდეგ“,</w:t>
      </w:r>
      <w:r>
        <w:rPr>
          <w:rFonts w:ascii="Merriweather" w:eastAsia="Merriweather" w:hAnsi="Merriweather" w:cs="Merriweather"/>
          <w:i/>
          <w:iCs/>
          <w:color w:val="000000"/>
          <w:sz w:val="20"/>
          <w:szCs w:val="20"/>
        </w:rPr>
        <w:t xml:space="preserve"> </w:t>
      </w:r>
      <w:r>
        <w:rPr>
          <w:rFonts w:ascii="Merriweather" w:eastAsia="Merriweather" w:hAnsi="Merriweather" w:cs="Merriweather"/>
          <w:color w:val="000000"/>
          <w:sz w:val="20"/>
          <w:szCs w:val="20"/>
        </w:rPr>
        <w:t>II-11</w:t>
      </w:r>
      <w:r>
        <w:rPr>
          <w:rFonts w:ascii="Merriweather" w:eastAsia="Merriweather" w:hAnsi="Merriweather" w:cs="Merriweather"/>
          <w:i/>
          <w:iCs/>
          <w:color w:val="000000"/>
          <w:sz w:val="20"/>
          <w:szCs w:val="20"/>
        </w:rPr>
        <w:t>.</w:t>
      </w:r>
      <w:r>
        <w:rPr>
          <w:color w:val="000000"/>
          <w:sz w:val="20"/>
          <w:szCs w:val="20"/>
        </w:rPr>
        <w:t xml:space="preserve"> </w:t>
      </w:r>
    </w:p>
  </w:footnote>
  <w:footnote w:id="40">
    <w:p w:rsidR="0036339C" w:rsidRDefault="0036339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2008 წლის 30 ოქტომბრის N2/3/406,408 გადაწყვეტილება საქმეზე „საქართველოს სახალხო დამცველი და საქართველოს ახალგაზრდა იურისტთა ასოციაცია საქართველოს პარლამენტის წინააღმდეგ“, II-36.</w:t>
      </w:r>
    </w:p>
  </w:footnote>
  <w:footnote w:id="41">
    <w:p w:rsidR="0036339C" w:rsidRDefault="0036339C">
      <w:pPr>
        <w:spacing w:after="0"/>
        <w:jc w:val="both"/>
      </w:pPr>
      <w:r>
        <w:rPr>
          <w:vertAlign w:val="superscript"/>
        </w:rPr>
        <w:footnoteRef/>
      </w:r>
      <w:r>
        <w:t xml:space="preserve"> </w:t>
      </w:r>
      <w:r>
        <w:rPr>
          <w:rFonts w:ascii="Arial Unicode MS" w:eastAsia="Arial Unicode MS" w:hAnsi="Arial Unicode MS" w:cs="Arial Unicode MS"/>
          <w:sz w:val="20"/>
          <w:szCs w:val="20"/>
        </w:rPr>
        <w:t xml:space="preserve">საქართველოს საკონსტიტუციო სასამართლოს 2021 წლის 15 ივლისის გადაწყვეტილება №2/1/1289  საქმეზე „გიორგი ბერუაშვილი საქართველოს პარლამენტის წინააღმდეგ“, II-6. </w:t>
      </w:r>
    </w:p>
  </w:footnote>
  <w:footnote w:id="42">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Rotaru v. Romania [GC], 2000, § 52; Maestri v. Italy [GC], 2004, § 30; Gorzelik and Others v. Poland [GC], 2004, §§ 64-65; Sindicatul “Păstorul cel Bun” v. Romania [GC], 2013, § 153.</w:t>
      </w:r>
    </w:p>
  </w:footnote>
  <w:footnote w:id="43">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საქმე N4/1752-25, დადგენილება ადმინისტრაციული სახდელის დადების შესახებ, 30 აპრილი, 2025 წელი, გვ. 8-9. საქმე N4/1686-25, დადგენილება ადმინისტრაციული სახდელის დადების შესახებ, 5 მაისი, 2025 წელი, გვ.8. საქმე N4/51-25, დადგენილება ადმინისტრაციული სახდელის დადების შესახებ, 3 აპრილი, 2025 წელი, გვ.9-10.</w:t>
      </w:r>
    </w:p>
  </w:footnote>
  <w:footnote w:id="44">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Kotov and Others v. Russia, app.N.6142/18 and 13 Others, (ECtHR 11.01.2023), §143.</w:t>
      </w:r>
    </w:p>
  </w:footnote>
  <w:footnote w:id="45">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OSCE/ODIHR – Venice Commision, Guidelines on Freedom of Peaceful Assembly, 2nd edition, Study no. 581/2010, Strasbourg - Warsaw, 9 July 2010, §149.</w:t>
      </w:r>
    </w:p>
  </w:footnote>
  <w:footnote w:id="46">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იქვე, §150.</w:t>
      </w:r>
    </w:p>
  </w:footnote>
  <w:footnote w:id="47">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UN General Assembly, Human Rights Council, Joint report of the Special Rapporteur on the rights to freedom of peaceful assembly and of association and the Special Rapporteur on extrajudicial, summary or arbitrary executions on the proper management of assemblies, 4 February 2016, §38.</w:t>
      </w:r>
    </w:p>
  </w:footnote>
  <w:footnote w:id="48">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 xml:space="preserve">იხ. „ადამიანის უფლებების სახელმძღვანელო შეკრებების დროს პოლიციის მიერ წესრიგის დაცვის შესახებ“, გვ. 30. </w:t>
      </w:r>
      <w:hyperlink r:id="rId9">
        <w:r>
          <w:rPr>
            <w:rFonts w:ascii="Merriweather" w:eastAsia="Merriweather" w:hAnsi="Merriweather" w:cs="Merriweather"/>
            <w:color w:val="0000FF"/>
            <w:sz w:val="20"/>
            <w:szCs w:val="20"/>
            <w:u w:val="single"/>
          </w:rPr>
          <w:t>https://www.osce.org/files/f/documents/7/4/429062.pdf</w:t>
        </w:r>
      </w:hyperlink>
      <w:r>
        <w:rPr>
          <w:rFonts w:ascii="Merriweather" w:eastAsia="Merriweather" w:hAnsi="Merriweather" w:cs="Merriweather"/>
          <w:color w:val="000000"/>
          <w:sz w:val="20"/>
          <w:szCs w:val="20"/>
        </w:rPr>
        <w:t xml:space="preserve"> </w:t>
      </w:r>
    </w:p>
  </w:footnote>
  <w:footnote w:id="49">
    <w:p w:rsidR="0036339C" w:rsidRDefault="0036339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 xml:space="preserve">Chernega and Others v. Ukraine, app.N. 74768/10, (ECtHR 18/06/2019); §250. </w:t>
      </w:r>
    </w:p>
  </w:footnote>
  <w:footnote w:id="50">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Galstyan v. Armenia, app. N.26986/03, (ECtHR 15.11.2007); §115. Ashughyan v. Armenia, app. N. 33268/03, ((EctHR 17.07.2008); § 90.</w:t>
      </w:r>
    </w:p>
  </w:footnote>
  <w:footnote w:id="51">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Galstyan v. Armenia, app. N.26986/03, (ECtHR 15.11.2007); §116.</w:t>
      </w:r>
    </w:p>
  </w:footnote>
  <w:footnote w:id="52">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იქვე, §93. ასევე იხ. Ashughyan v. Armenia, app. N. 33268/03, ((EctHR 17.07.2008); §92,93.</w:t>
      </w:r>
    </w:p>
  </w:footnote>
  <w:footnote w:id="53">
    <w:p w:rsidR="0036339C" w:rsidRDefault="0036339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2021 წლის 15 ივლისის №2/1/1289 გადაწყვეტილება საქმეზე „გიორგი ბერუაშვილი საქართველოს პარლამენტის წინააღმდეგ“, II-7.</w:t>
      </w:r>
    </w:p>
  </w:footnote>
  <w:footnote w:id="54">
    <w:p w:rsidR="0036339C" w:rsidRDefault="0036339C">
      <w:pPr>
        <w:spacing w:after="0"/>
        <w:jc w:val="both"/>
      </w:pPr>
      <w:r>
        <w:rPr>
          <w:vertAlign w:val="superscript"/>
        </w:rPr>
        <w:footnoteRef/>
      </w:r>
      <w:r>
        <w:rPr>
          <w:sz w:val="20"/>
          <w:szCs w:val="20"/>
        </w:rPr>
        <w:t xml:space="preserve"> </w:t>
      </w:r>
      <w:r>
        <w:rPr>
          <w:rFonts w:ascii="Arial Unicode MS" w:eastAsia="Arial Unicode MS" w:hAnsi="Arial Unicode MS" w:cs="Arial Unicode MS"/>
          <w:sz w:val="20"/>
          <w:szCs w:val="20"/>
        </w:rPr>
        <w:t xml:space="preserve">საქართველოს საკონსტიტუციო სასამართლოს 2017 წლის 29 დეკემბრის №3/7/679 გადაწყვეტილება საქმეზე </w:t>
      </w:r>
      <w:r>
        <w:rPr>
          <w:rFonts w:ascii="Arial Unicode MS" w:eastAsia="Arial Unicode MS" w:hAnsi="Arial Unicode MS" w:cs="Arial Unicode MS"/>
          <w:i/>
          <w:iCs/>
          <w:sz w:val="20"/>
          <w:szCs w:val="20"/>
        </w:rPr>
        <w:t>„შპს სამაუწყებლო კომპანია რუსთავი 2“ და „შპს ტელეკომპანია საქართველო“ საქართველოს პარლამენტის წინააღმდეგ</w:t>
      </w:r>
      <w:r>
        <w:rPr>
          <w:rFonts w:ascii="Merriweather" w:eastAsia="Merriweather" w:hAnsi="Merriweather" w:cs="Merriweather"/>
          <w:sz w:val="20"/>
          <w:szCs w:val="20"/>
        </w:rPr>
        <w:t>, II, 29.</w:t>
      </w:r>
    </w:p>
  </w:footnote>
  <w:footnote w:id="55">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2011 წლის 18 აპრილის N2/482,483,487,502 გადაწყვეტილება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დაჩი ცაგურია და ჯაბა ჯიშკარიანი, საქართველოს სახალხო დამცველი საქართველოს პარლამენტის წინააღმდეგ“, II-48.</w:t>
      </w:r>
    </w:p>
  </w:footnote>
  <w:footnote w:id="56">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0">
        <w:r>
          <w:rPr>
            <w:rFonts w:ascii="Merriweather" w:eastAsia="Merriweather" w:hAnsi="Merriweather" w:cs="Merriweather"/>
            <w:color w:val="0000FF"/>
            <w:sz w:val="20"/>
            <w:szCs w:val="20"/>
            <w:u w:val="single"/>
          </w:rPr>
          <w:t>https://info.parliament.ge/file/1/BillReviewContent/376493</w:t>
        </w:r>
      </w:hyperlink>
      <w:r>
        <w:rPr>
          <w:rFonts w:ascii="Merriweather" w:eastAsia="Merriweather" w:hAnsi="Merriweather" w:cs="Merriweather"/>
          <w:color w:val="000000"/>
          <w:sz w:val="20"/>
          <w:szCs w:val="20"/>
        </w:rPr>
        <w:t xml:space="preserve">? </w:t>
      </w:r>
    </w:p>
  </w:footnote>
  <w:footnote w:id="57">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1">
        <w:r>
          <w:rPr>
            <w:rFonts w:ascii="Merriweather" w:eastAsia="Merriweather" w:hAnsi="Merriweather" w:cs="Merriweather"/>
            <w:color w:val="0000FF"/>
            <w:sz w:val="20"/>
            <w:szCs w:val="20"/>
            <w:u w:val="single"/>
          </w:rPr>
          <w:t>https://info.parliament.ge/file/1/BillReviewContent/373860</w:t>
        </w:r>
      </w:hyperlink>
      <w:r>
        <w:rPr>
          <w:rFonts w:ascii="Merriweather" w:eastAsia="Merriweather" w:hAnsi="Merriweather" w:cs="Merriweather"/>
          <w:color w:val="000000"/>
          <w:sz w:val="20"/>
          <w:szCs w:val="20"/>
        </w:rPr>
        <w:t xml:space="preserve">? </w:t>
      </w:r>
    </w:p>
  </w:footnote>
  <w:footnote w:id="58">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2">
        <w:r>
          <w:rPr>
            <w:rFonts w:ascii="Merriweather" w:eastAsia="Merriweather" w:hAnsi="Merriweather" w:cs="Merriweather"/>
            <w:color w:val="0000FF"/>
            <w:sz w:val="20"/>
            <w:szCs w:val="20"/>
            <w:u w:val="single"/>
          </w:rPr>
          <w:t>https://info.parliament.ge/file/1/BillReviewContent/373178</w:t>
        </w:r>
      </w:hyperlink>
      <w:r>
        <w:rPr>
          <w:rFonts w:ascii="Merriweather" w:eastAsia="Merriweather" w:hAnsi="Merriweather" w:cs="Merriweather"/>
          <w:color w:val="000000"/>
          <w:sz w:val="20"/>
          <w:szCs w:val="20"/>
        </w:rPr>
        <w:t xml:space="preserve">? </w:t>
      </w:r>
    </w:p>
  </w:footnote>
  <w:footnote w:id="59">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3">
        <w:r>
          <w:rPr>
            <w:rFonts w:ascii="Merriweather" w:eastAsia="Merriweather" w:hAnsi="Merriweather" w:cs="Merriweather"/>
            <w:color w:val="0000FF"/>
            <w:sz w:val="20"/>
            <w:szCs w:val="20"/>
            <w:u w:val="single"/>
          </w:rPr>
          <w:t>https://info.parliament.ge/file/1/BillReviewContent/373858</w:t>
        </w:r>
      </w:hyperlink>
      <w:r>
        <w:rPr>
          <w:rFonts w:ascii="Merriweather" w:eastAsia="Merriweather" w:hAnsi="Merriweather" w:cs="Merriweather"/>
          <w:color w:val="000000"/>
          <w:sz w:val="20"/>
          <w:szCs w:val="20"/>
        </w:rPr>
        <w:t xml:space="preserve">? </w:t>
      </w:r>
    </w:p>
  </w:footnote>
  <w:footnote w:id="60">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4">
        <w:r>
          <w:rPr>
            <w:rFonts w:ascii="Merriweather" w:eastAsia="Merriweather" w:hAnsi="Merriweather" w:cs="Merriweather"/>
            <w:color w:val="0000FF"/>
            <w:sz w:val="20"/>
            <w:szCs w:val="20"/>
            <w:u w:val="single"/>
          </w:rPr>
          <w:t>https://info.parliament.ge/file/1/BillReviewContent/378775</w:t>
        </w:r>
      </w:hyperlink>
      <w:r>
        <w:rPr>
          <w:rFonts w:ascii="Merriweather" w:eastAsia="Merriweather" w:hAnsi="Merriweather" w:cs="Merriweather"/>
          <w:color w:val="000000"/>
          <w:sz w:val="20"/>
          <w:szCs w:val="20"/>
        </w:rPr>
        <w:t xml:space="preserve">? </w:t>
      </w:r>
    </w:p>
  </w:footnote>
  <w:footnote w:id="61">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5">
        <w:r>
          <w:rPr>
            <w:rFonts w:ascii="Merriweather" w:eastAsia="Merriweather" w:hAnsi="Merriweather" w:cs="Merriweather"/>
            <w:color w:val="0000FF"/>
            <w:sz w:val="20"/>
            <w:szCs w:val="20"/>
            <w:u w:val="single"/>
          </w:rPr>
          <w:t>https://info.parliament.ge/file/1/BillReviewContent/377468</w:t>
        </w:r>
      </w:hyperlink>
      <w:r>
        <w:rPr>
          <w:rFonts w:ascii="Merriweather" w:eastAsia="Merriweather" w:hAnsi="Merriweather" w:cs="Merriweather"/>
          <w:color w:val="000000"/>
          <w:sz w:val="20"/>
          <w:szCs w:val="20"/>
        </w:rPr>
        <w:t xml:space="preserve">? </w:t>
      </w:r>
    </w:p>
  </w:footnote>
  <w:footnote w:id="62">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2010 წლის 10 ნოემბრის №4/482,483,487,502 საოქმო ჩანაწერი საქმეზე „მოქალაქეთა პოლიტიკური გაერთიანება „მოძრაობა ერთიანი საქართველოსთვის“, მოქალაქეთა პოლიტიკური გაერთიანება „საქართველოს კონსერვატიული პარტია“, საქართველოს მოქალაქეები - ზვიად ძიძიგური და კახა კუკავა, საქართველოს ახალგაზრდა იურისტთა ასოციაცია, მოქალაქეები - დაჩი ცაგურია და ჯაბა ჯიშკარიანი, საქართველოს სახალხო დამცველი საქართველოს პარლამენტის წინააღმდეგ“, II-8).</w:t>
      </w:r>
    </w:p>
  </w:footnote>
  <w:footnote w:id="63">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Compilation of Venice Commission Opinions Concerning Freedom of Assembly, 1 July, 2014, CDL-PI(2014)0003, 4.2.</w:t>
      </w:r>
    </w:p>
  </w:footnote>
  <w:footnote w:id="64">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2023 წლის 14 დეკემბრის №3/3/1635 გადაწყვეტილება საქმეზე „საქართველოს სახალხო დამცველი საქართველოს პარლამენტის წინააღმდეგ“, II-41.</w:t>
      </w:r>
    </w:p>
  </w:footnote>
  <w:footnote w:id="65">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OSCE/ODIHR – Venice Commision, Guidelines on Freedom of Peaceful Assembly, 3</w:t>
      </w:r>
      <w:r>
        <w:rPr>
          <w:rFonts w:ascii="Merriweather" w:eastAsia="Merriweather" w:hAnsi="Merriweather" w:cs="Merriweather"/>
          <w:color w:val="000000"/>
          <w:sz w:val="20"/>
          <w:szCs w:val="20"/>
          <w:vertAlign w:val="superscript"/>
        </w:rPr>
        <w:t>rd</w:t>
      </w:r>
      <w:r>
        <w:rPr>
          <w:rFonts w:ascii="Merriweather" w:eastAsia="Merriweather" w:hAnsi="Merriweather" w:cs="Merriweather"/>
          <w:color w:val="000000"/>
          <w:sz w:val="20"/>
          <w:szCs w:val="20"/>
        </w:rPr>
        <w:t xml:space="preserve"> Edition, Editer Version, Study N.769/2014, Strasbourg, 15 July, 2020, §36.</w:t>
      </w:r>
    </w:p>
  </w:footnote>
  <w:footnote w:id="66">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Merriweather" w:eastAsia="Merriweather" w:hAnsi="Merriweather" w:cs="Merriweather"/>
          <w:color w:val="000000"/>
          <w:sz w:val="20"/>
          <w:szCs w:val="20"/>
        </w:rPr>
        <w:t>იხ. Kudrevičius and Others v. Lithuania, app.N. 37553/05, (ECtHR [GC], 15.10.2015); §150. Lashmankin and Others v. Russia, app.N. 57818/09 and 14 Others, (ECtHR 29/05/2017); §462.</w:t>
      </w:r>
    </w:p>
  </w:footnote>
  <w:footnote w:id="67">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Gülcü v. Turkey, app.N.175/26, (ECtHR 06/06/2016); §110.</w:t>
      </w:r>
    </w:p>
  </w:footnote>
  <w:footnote w:id="68">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Öllinger v. Austria, app. N.76900/01 (ECtHR 29/09/2006); §33.</w:t>
      </w:r>
    </w:p>
  </w:footnote>
  <w:footnote w:id="69">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2023 წლის 14 დეკემბრის №3/3/1635 გადაწყვეტილება საქმეზე „საქართველოს სახალხო დამცველი საქართველოს პარლამენტის წინააღმდეგ“, II-5.</w:t>
      </w:r>
    </w:p>
  </w:footnote>
  <w:footnote w:id="70">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2012 წლის 26 ივნისის №3/1/512 გადაწყვეტილება საქმეზე „დანიის მოქალაქე ჰეიკე ქრონქვისტი საქართველოს პარლამენტის წინააღმდეგ”, II-60.</w:t>
      </w:r>
    </w:p>
  </w:footnote>
  <w:footnote w:id="71">
    <w:p w:rsidR="0036339C" w:rsidRDefault="0036339C">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2022 წლის 22 დეკემბრის №3/6/813 გადაწყვეტილება საქმეზე „ალექსანდრე მელქაძე საქართველოს პარლამენტის წინააღმდეგ“, II-27.</w:t>
      </w:r>
    </w:p>
  </w:footnote>
  <w:footnote w:id="72">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6">
        <w:r>
          <w:rPr>
            <w:rFonts w:ascii="Merriweather" w:eastAsia="Merriweather" w:hAnsi="Merriweather" w:cs="Merriweather"/>
            <w:color w:val="0000FF"/>
            <w:sz w:val="20"/>
            <w:szCs w:val="20"/>
            <w:u w:val="single"/>
          </w:rPr>
          <w:t>https://www.geostat.ge/index.php/ka/modules/categories/791/saarsebo-minimumi</w:t>
        </w:r>
      </w:hyperlink>
      <w:r>
        <w:rPr>
          <w:rFonts w:ascii="Merriweather" w:eastAsia="Merriweather" w:hAnsi="Merriweather" w:cs="Merriweather"/>
          <w:color w:val="000000"/>
          <w:sz w:val="20"/>
          <w:szCs w:val="20"/>
        </w:rPr>
        <w:t xml:space="preserve"> </w:t>
      </w:r>
    </w:p>
  </w:footnote>
  <w:footnote w:id="73">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7">
        <w:r>
          <w:rPr>
            <w:rFonts w:ascii="Merriweather" w:eastAsia="Merriweather" w:hAnsi="Merriweather" w:cs="Merriweather"/>
            <w:color w:val="0000FF"/>
            <w:sz w:val="20"/>
            <w:szCs w:val="20"/>
            <w:u w:val="single"/>
          </w:rPr>
          <w:t>https://www.geostat.ge/ka/modules/categories/55/sotsialuri-uzrunvelqofa</w:t>
        </w:r>
      </w:hyperlink>
      <w:r>
        <w:rPr>
          <w:rFonts w:ascii="Merriweather" w:eastAsia="Merriweather" w:hAnsi="Merriweather" w:cs="Merriweather"/>
          <w:color w:val="000000"/>
          <w:sz w:val="20"/>
          <w:szCs w:val="20"/>
        </w:rPr>
        <w:t xml:space="preserve"> </w:t>
      </w:r>
    </w:p>
  </w:footnote>
  <w:footnote w:id="74">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18">
        <w:r>
          <w:rPr>
            <w:rFonts w:ascii="Merriweather" w:eastAsia="Merriweather" w:hAnsi="Merriweather" w:cs="Merriweather"/>
            <w:color w:val="0000FF"/>
            <w:sz w:val="20"/>
            <w:szCs w:val="20"/>
            <w:u w:val="single"/>
          </w:rPr>
          <w:t>https://www.geostat.ge/ka/modules/categories/683/dasakmeba-umushevroba</w:t>
        </w:r>
      </w:hyperlink>
      <w:r>
        <w:rPr>
          <w:rFonts w:ascii="Merriweather" w:eastAsia="Merriweather" w:hAnsi="Merriweather" w:cs="Merriweather"/>
          <w:color w:val="000000"/>
          <w:sz w:val="20"/>
          <w:szCs w:val="20"/>
        </w:rPr>
        <w:t xml:space="preserve"> </w:t>
      </w:r>
    </w:p>
  </w:footnote>
  <w:footnote w:id="75">
    <w:p w:rsidR="0036339C" w:rsidRDefault="0036339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Obote v. Russia (Application no. 58954/09), (ECtHR 19.02.2020), §43, 45.</w:t>
      </w:r>
    </w:p>
  </w:footnote>
  <w:footnote w:id="76">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ოპერატიულ</w:t>
      </w:r>
      <w:r>
        <w:rPr>
          <w:color w:val="000000"/>
          <w:sz w:val="20"/>
          <w:szCs w:val="20"/>
        </w:rPr>
        <w:t>-</w:t>
      </w:r>
      <w:r>
        <w:rPr>
          <w:rFonts w:ascii="Arial Unicode MS" w:eastAsia="Arial Unicode MS" w:hAnsi="Arial Unicode MS" w:cs="Arial Unicode MS"/>
          <w:color w:val="000000"/>
          <w:sz w:val="20"/>
          <w:szCs w:val="20"/>
        </w:rPr>
        <w:t>სამძებრო</w:t>
      </w:r>
      <w:r>
        <w:rPr>
          <w:color w:val="000000"/>
          <w:sz w:val="20"/>
          <w:szCs w:val="20"/>
        </w:rPr>
        <w:t xml:space="preserve"> </w:t>
      </w:r>
      <w:r>
        <w:rPr>
          <w:rFonts w:ascii="Arial Unicode MS" w:eastAsia="Arial Unicode MS" w:hAnsi="Arial Unicode MS" w:cs="Arial Unicode MS"/>
          <w:color w:val="000000"/>
          <w:sz w:val="20"/>
          <w:szCs w:val="20"/>
        </w:rPr>
        <w:t>ღონისძიებაში</w:t>
      </w:r>
      <w:r>
        <w:rPr>
          <w:color w:val="000000"/>
          <w:sz w:val="20"/>
          <w:szCs w:val="20"/>
        </w:rPr>
        <w:t xml:space="preserve"> </w:t>
      </w:r>
      <w:r>
        <w:rPr>
          <w:rFonts w:ascii="Arial Unicode MS" w:eastAsia="Arial Unicode MS" w:hAnsi="Arial Unicode MS" w:cs="Arial Unicode MS"/>
          <w:color w:val="000000"/>
          <w:sz w:val="20"/>
          <w:szCs w:val="20"/>
        </w:rPr>
        <w:t>ან</w:t>
      </w:r>
      <w:r>
        <w:rPr>
          <w:color w:val="000000"/>
          <w:sz w:val="20"/>
          <w:szCs w:val="20"/>
        </w:rPr>
        <w:t xml:space="preserve"> </w:t>
      </w:r>
      <w:r>
        <w:rPr>
          <w:rFonts w:ascii="Arial Unicode MS" w:eastAsia="Arial Unicode MS" w:hAnsi="Arial Unicode MS" w:cs="Arial Unicode MS"/>
          <w:color w:val="000000"/>
          <w:sz w:val="20"/>
          <w:szCs w:val="20"/>
        </w:rPr>
        <w:t>ფარულ</w:t>
      </w:r>
      <w:r>
        <w:rPr>
          <w:color w:val="000000"/>
          <w:sz w:val="20"/>
          <w:szCs w:val="20"/>
        </w:rPr>
        <w:t xml:space="preserve"> </w:t>
      </w:r>
      <w:r>
        <w:rPr>
          <w:rFonts w:ascii="Arial Unicode MS" w:eastAsia="Arial Unicode MS" w:hAnsi="Arial Unicode MS" w:cs="Arial Unicode MS"/>
          <w:color w:val="000000"/>
          <w:sz w:val="20"/>
          <w:szCs w:val="20"/>
        </w:rPr>
        <w:t>საგამოძიებო</w:t>
      </w:r>
      <w:r>
        <w:rPr>
          <w:color w:val="000000"/>
          <w:sz w:val="20"/>
          <w:szCs w:val="20"/>
        </w:rPr>
        <w:t xml:space="preserve"> </w:t>
      </w:r>
      <w:r>
        <w:rPr>
          <w:rFonts w:ascii="Arial Unicode MS" w:eastAsia="Arial Unicode MS" w:hAnsi="Arial Unicode MS" w:cs="Arial Unicode MS"/>
          <w:color w:val="000000"/>
          <w:sz w:val="20"/>
          <w:szCs w:val="20"/>
        </w:rPr>
        <w:t>მოქმედებაში</w:t>
      </w:r>
      <w:r>
        <w:rPr>
          <w:color w:val="000000"/>
          <w:sz w:val="20"/>
          <w:szCs w:val="20"/>
        </w:rPr>
        <w:t xml:space="preserve"> </w:t>
      </w:r>
      <w:r>
        <w:rPr>
          <w:rFonts w:ascii="Arial Unicode MS" w:eastAsia="Arial Unicode MS" w:hAnsi="Arial Unicode MS" w:cs="Arial Unicode MS"/>
          <w:color w:val="000000"/>
          <w:sz w:val="20"/>
          <w:szCs w:val="20"/>
        </w:rPr>
        <w:t>მონაწილე</w:t>
      </w:r>
      <w:r>
        <w:rPr>
          <w:color w:val="000000"/>
          <w:sz w:val="20"/>
          <w:szCs w:val="20"/>
        </w:rPr>
        <w:t xml:space="preserve"> </w:t>
      </w:r>
      <w:r>
        <w:rPr>
          <w:rFonts w:ascii="Arial Unicode MS" w:eastAsia="Arial Unicode MS" w:hAnsi="Arial Unicode MS" w:cs="Arial Unicode MS"/>
          <w:color w:val="000000"/>
          <w:sz w:val="20"/>
          <w:szCs w:val="20"/>
        </w:rPr>
        <w:t>პირის</w:t>
      </w:r>
      <w:r>
        <w:rPr>
          <w:color w:val="000000"/>
          <w:sz w:val="20"/>
          <w:szCs w:val="20"/>
        </w:rPr>
        <w:t xml:space="preserve"> </w:t>
      </w:r>
      <w:r>
        <w:rPr>
          <w:rFonts w:ascii="Arial Unicode MS" w:eastAsia="Arial Unicode MS" w:hAnsi="Arial Unicode MS" w:cs="Arial Unicode MS"/>
          <w:color w:val="000000"/>
          <w:sz w:val="20"/>
          <w:szCs w:val="20"/>
        </w:rPr>
        <w:t>ვინაობის</w:t>
      </w:r>
      <w:r>
        <w:rPr>
          <w:color w:val="000000"/>
          <w:sz w:val="20"/>
          <w:szCs w:val="20"/>
        </w:rPr>
        <w:t xml:space="preserve"> </w:t>
      </w:r>
      <w:r>
        <w:rPr>
          <w:rFonts w:ascii="Arial Unicode MS" w:eastAsia="Arial Unicode MS" w:hAnsi="Arial Unicode MS" w:cs="Arial Unicode MS"/>
          <w:color w:val="000000"/>
          <w:sz w:val="20"/>
          <w:szCs w:val="20"/>
        </w:rPr>
        <w:t>სრულად</w:t>
      </w:r>
      <w:r>
        <w:rPr>
          <w:color w:val="000000"/>
          <w:sz w:val="20"/>
          <w:szCs w:val="20"/>
        </w:rPr>
        <w:t xml:space="preserve"> </w:t>
      </w:r>
      <w:r>
        <w:rPr>
          <w:rFonts w:ascii="Arial Unicode MS" w:eastAsia="Arial Unicode MS" w:hAnsi="Arial Unicode MS" w:cs="Arial Unicode MS"/>
          <w:color w:val="000000"/>
          <w:sz w:val="20"/>
          <w:szCs w:val="20"/>
        </w:rPr>
        <w:t>დაფარვის</w:t>
      </w:r>
      <w:r>
        <w:rPr>
          <w:color w:val="000000"/>
          <w:sz w:val="20"/>
          <w:szCs w:val="20"/>
        </w:rPr>
        <w:t xml:space="preserve"> </w:t>
      </w:r>
      <w:r>
        <w:rPr>
          <w:rFonts w:ascii="Arial Unicode MS" w:eastAsia="Arial Unicode MS" w:hAnsi="Arial Unicode MS" w:cs="Arial Unicode MS"/>
          <w:color w:val="000000"/>
          <w:sz w:val="20"/>
          <w:szCs w:val="20"/>
        </w:rPr>
        <w:t>შესახებ</w:t>
      </w:r>
      <w:r>
        <w:rPr>
          <w:color w:val="000000"/>
          <w:sz w:val="20"/>
          <w:szCs w:val="20"/>
        </w:rPr>
        <w:t xml:space="preserve"> </w:t>
      </w:r>
      <w:r>
        <w:rPr>
          <w:rFonts w:ascii="Arial Unicode MS" w:eastAsia="Arial Unicode MS" w:hAnsi="Arial Unicode MS" w:cs="Arial Unicode MS"/>
          <w:color w:val="000000"/>
          <w:sz w:val="20"/>
          <w:szCs w:val="20"/>
        </w:rPr>
        <w:t>იხ</w:t>
      </w:r>
      <w:r>
        <w:rPr>
          <w:color w:val="000000"/>
          <w:sz w:val="20"/>
          <w:szCs w:val="20"/>
        </w:rPr>
        <w:t>.</w:t>
      </w:r>
      <w:r>
        <w:rPr>
          <w:rFonts w:ascii="Merriweather" w:eastAsia="Merriweather" w:hAnsi="Merriweather" w:cs="Merriweather"/>
          <w:color w:val="000000"/>
          <w:sz w:val="20"/>
          <w:szCs w:val="20"/>
        </w:rPr>
        <w:t xml:space="preserve"> </w:t>
      </w:r>
      <w:hyperlink r:id="rId19">
        <w:r>
          <w:rPr>
            <w:rFonts w:ascii="Merriweather" w:eastAsia="Merriweather" w:hAnsi="Merriweather" w:cs="Merriweather"/>
            <w:color w:val="0000FF"/>
            <w:sz w:val="20"/>
            <w:szCs w:val="20"/>
            <w:u w:val="single"/>
          </w:rPr>
          <w:t>https://gyla.ge/post/sagamodziebo-moqmedebashi-piris-vinaobis-daparva-saia-gancxadeba</w:t>
        </w:r>
      </w:hyperlink>
      <w:r>
        <w:rPr>
          <w:rFonts w:ascii="Arial Unicode MS" w:eastAsia="Arial Unicode MS" w:hAnsi="Arial Unicode MS" w:cs="Arial Unicode MS"/>
          <w:color w:val="000000"/>
          <w:sz w:val="20"/>
          <w:szCs w:val="20"/>
        </w:rPr>
        <w:t xml:space="preserve">   სიტყვისა და გამოხატვის თავისუფლების შესახებ კანონში შესულ რეპრესიულ ცვლილებებზე იხ. </w:t>
      </w:r>
      <w:hyperlink r:id="rId20">
        <w:r>
          <w:rPr>
            <w:rFonts w:ascii="Merriweather" w:eastAsia="Merriweather" w:hAnsi="Merriweather" w:cs="Merriweather"/>
            <w:color w:val="0000FF"/>
            <w:sz w:val="20"/>
            <w:szCs w:val="20"/>
            <w:u w:val="single"/>
          </w:rPr>
          <w:t>https://gyla.ge/post/saia-gamoxatvistavisuplebis-shesaxeb-kanonshi-cvlilebebi</w:t>
        </w:r>
      </w:hyperlink>
      <w:r>
        <w:rPr>
          <w:rFonts w:ascii="Arial Unicode MS" w:eastAsia="Arial Unicode MS" w:hAnsi="Arial Unicode MS" w:cs="Arial Unicode MS"/>
          <w:color w:val="000000"/>
          <w:sz w:val="20"/>
          <w:szCs w:val="20"/>
        </w:rPr>
        <w:t xml:space="preserve">  „საერთო სასამართლოების შესახებ“ საქართველოს ორგანულ კანონში შეტანილი ცვლილებების შესახებ იხ.</w:t>
      </w:r>
      <w:r>
        <w:rPr>
          <w:color w:val="000000"/>
          <w:sz w:val="20"/>
          <w:szCs w:val="20"/>
        </w:rPr>
        <w:t xml:space="preserve"> </w:t>
      </w:r>
      <w:hyperlink r:id="rId21">
        <w:r>
          <w:rPr>
            <w:rFonts w:ascii="Merriweather" w:eastAsia="Merriweather" w:hAnsi="Merriweather" w:cs="Merriweather"/>
            <w:color w:val="0000FF"/>
            <w:sz w:val="20"/>
            <w:szCs w:val="20"/>
            <w:u w:val="single"/>
          </w:rPr>
          <w:t>https://gyla.ge/post/saerto-sasamatloebis-shesaxeb-organulikanoni-saerto-gancxadeba</w:t>
        </w:r>
      </w:hyperlink>
      <w:r>
        <w:rPr>
          <w:rFonts w:ascii="Arial Unicode MS" w:eastAsia="Arial Unicode MS" w:hAnsi="Arial Unicode MS" w:cs="Arial Unicode MS"/>
          <w:color w:val="000000"/>
          <w:sz w:val="20"/>
          <w:szCs w:val="20"/>
        </w:rPr>
        <w:t xml:space="preserve"> 2025 წლის 13 ოქტომბერს ინიცირებული კანონპროექტის შესახებ იხ.: </w:t>
      </w:r>
      <w:hyperlink r:id="rId22">
        <w:r>
          <w:rPr>
            <w:rFonts w:ascii="Merriweather" w:eastAsia="Merriweather" w:hAnsi="Merriweather" w:cs="Merriweather"/>
            <w:color w:val="0000FF"/>
            <w:sz w:val="20"/>
            <w:szCs w:val="20"/>
            <w:u w:val="single"/>
          </w:rPr>
          <w:t>https://gyla.ge/post/GYLA-avtoritaruli-kanonshemoqmedebis-shepaseba</w:t>
        </w:r>
      </w:hyperlink>
      <w:r>
        <w:rPr>
          <w:rFonts w:ascii="Arial Unicode MS" w:eastAsia="Arial Unicode MS" w:hAnsi="Arial Unicode MS" w:cs="Arial Unicode MS"/>
          <w:color w:val="000000"/>
          <w:sz w:val="20"/>
          <w:szCs w:val="20"/>
        </w:rPr>
        <w:t xml:space="preserve"> მშვიდობიანი დემონტრანსტების წინააღმდეგ სახის ამომცნობი ტექნოლოგიების გამოყენების შესახებ იხ. </w:t>
      </w:r>
      <w:hyperlink r:id="rId23">
        <w:r>
          <w:rPr>
            <w:rFonts w:ascii="Merriweather" w:eastAsia="Merriweather" w:hAnsi="Merriweather" w:cs="Merriweather"/>
            <w:color w:val="0000FF"/>
            <w:sz w:val="20"/>
            <w:szCs w:val="20"/>
            <w:u w:val="single"/>
          </w:rPr>
          <w:t>https://gyla.ge/post/saxis-amomcnobi-kamerebi-saia</w:t>
        </w:r>
      </w:hyperlink>
      <w:r>
        <w:rPr>
          <w:rFonts w:ascii="Arial Unicode MS" w:eastAsia="Arial Unicode MS" w:hAnsi="Arial Unicode MS" w:cs="Arial Unicode MS"/>
          <w:color w:val="000000"/>
          <w:sz w:val="20"/>
          <w:szCs w:val="20"/>
        </w:rPr>
        <w:t xml:space="preserve"> სისხლის სამართლის პოლიტიკის გამკაცრებაზე იხ. </w:t>
      </w:r>
      <w:hyperlink r:id="rId24">
        <w:r>
          <w:rPr>
            <w:rFonts w:ascii="Merriweather" w:eastAsia="Merriweather" w:hAnsi="Merriweather" w:cs="Merriweather"/>
            <w:color w:val="0000FF"/>
            <w:sz w:val="20"/>
            <w:szCs w:val="20"/>
            <w:u w:val="single"/>
          </w:rPr>
          <w:t>https://gyla.ge/post/kidev-uprogamkacrebuli-sisxliskanonmdebloba</w:t>
        </w:r>
      </w:hyperlink>
      <w:r>
        <w:rPr>
          <w:rFonts w:ascii="Arial Unicode MS" w:eastAsia="Arial Unicode MS" w:hAnsi="Arial Unicode MS" w:cs="Arial Unicode MS"/>
          <w:color w:val="000000"/>
          <w:sz w:val="20"/>
          <w:szCs w:val="20"/>
        </w:rPr>
        <w:t xml:space="preserve">  საჯარო სამსახურის შესახებ კანონში შეტანილი ცვლილებების შესახებ იხ. </w:t>
      </w:r>
      <w:hyperlink r:id="rId25">
        <w:r>
          <w:rPr>
            <w:rFonts w:ascii="Merriweather" w:eastAsia="Merriweather" w:hAnsi="Merriweather" w:cs="Merriweather"/>
            <w:color w:val="0000FF"/>
            <w:sz w:val="20"/>
            <w:szCs w:val="20"/>
            <w:u w:val="single"/>
          </w:rPr>
          <w:t>https://gyla.ge/post/sajaro-samsaxurisshesaxebkanoni-cvlilebebi</w:t>
        </w:r>
      </w:hyperlink>
      <w:r>
        <w:rPr>
          <w:rFonts w:ascii="Arial Unicode MS" w:eastAsia="Arial Unicode MS" w:hAnsi="Arial Unicode MS" w:cs="Arial Unicode MS"/>
          <w:color w:val="000000"/>
          <w:sz w:val="20"/>
          <w:szCs w:val="20"/>
        </w:rPr>
        <w:t xml:space="preserve"> ადმინისტრაციულ სამართალდარღვევათა კოდექსში შესული ცვლილებების შესახებ იხ. </w:t>
      </w:r>
      <w:hyperlink r:id="rId26">
        <w:r>
          <w:rPr>
            <w:rFonts w:ascii="Merriweather" w:eastAsia="Merriweather" w:hAnsi="Merriweather" w:cs="Merriweather"/>
            <w:color w:val="0000FF"/>
            <w:sz w:val="20"/>
            <w:szCs w:val="20"/>
            <w:u w:val="single"/>
          </w:rPr>
          <w:t>https://gyla.ge/post/qartuli-ocneba-protestis-uflebis-bevr-aspeqts-zgudavs</w:t>
        </w:r>
      </w:hyperlink>
      <w:r>
        <w:rPr>
          <w:rFonts w:ascii="Arial Unicode MS" w:eastAsia="Arial Unicode MS" w:hAnsi="Arial Unicode MS" w:cs="Arial Unicode MS"/>
          <w:color w:val="000000"/>
          <w:sz w:val="20"/>
          <w:szCs w:val="20"/>
        </w:rPr>
        <w:t xml:space="preserve"> ამავე საკითხზე იხ. </w:t>
      </w:r>
      <w:hyperlink r:id="rId27">
        <w:r>
          <w:rPr>
            <w:rFonts w:ascii="Merriweather" w:eastAsia="Merriweather" w:hAnsi="Merriweather" w:cs="Merriweather"/>
            <w:color w:val="0000FF"/>
            <w:sz w:val="20"/>
            <w:szCs w:val="20"/>
            <w:u w:val="single"/>
          </w:rPr>
          <w:t>https://gyla.ge/post/ra-tsvlilebebi-shedis-administraciul-samartaldargvevata-kodeqsshi</w:t>
        </w:r>
      </w:hyperlink>
      <w:r>
        <w:rPr>
          <w:rFonts w:ascii="Arial Unicode MS" w:eastAsia="Arial Unicode MS" w:hAnsi="Arial Unicode MS" w:cs="Arial Unicode MS"/>
          <w:color w:val="000000"/>
          <w:sz w:val="20"/>
          <w:szCs w:val="20"/>
        </w:rPr>
        <w:t xml:space="preserve">  იხ. ანგარიში „სამოქალაქო უფლებები მზარდი საპოლიციო ტერორის პირისპირ“ https://admin.gyla.ge/uploads_script/publications/pdf/სამოქალაქო%20უფლებები%20მზარდი%20საპოლიციო%20ტერორის%20პირისპირ%20(3).pdf.</w:t>
      </w:r>
    </w:p>
  </w:footnote>
  <w:footnote w:id="77">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hyperlink r:id="rId28">
        <w:r>
          <w:rPr>
            <w:rFonts w:ascii="Merriweather" w:eastAsia="Merriweather" w:hAnsi="Merriweather" w:cs="Merriweather"/>
            <w:color w:val="0000FF"/>
            <w:sz w:val="20"/>
            <w:szCs w:val="20"/>
            <w:u w:val="single"/>
          </w:rPr>
          <w:t>https://bm.ge/news/gadaketaven-quchas-300-katsiani-aqtsiit-da-ati-atasobit-lars-ikhdian-biujetshi-irakli-kobakhidze-utsyvet-protestze</w:t>
        </w:r>
      </w:hyperlink>
      <w:r>
        <w:rPr>
          <w:rFonts w:ascii="Merriweather" w:eastAsia="Merriweather" w:hAnsi="Merriweather" w:cs="Merriweather"/>
          <w:color w:val="000000"/>
          <w:sz w:val="20"/>
          <w:szCs w:val="20"/>
        </w:rPr>
        <w:t xml:space="preserve"> </w:t>
      </w:r>
    </w:p>
  </w:footnote>
  <w:footnote w:id="78">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Taranenko v. Russia, app.N.19554/05, (EctHR 13/10/2014); §75.</w:t>
      </w:r>
    </w:p>
  </w:footnote>
  <w:footnote w:id="79">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EUROPEAN COMMISSION FOR DEMOCRACY THROUGH LAW (VENICE COMMISSION), URGENT OPINION ON AMENDMENTS TO THE CODE OF ADMINISTRATIVE OFFENCES AND THE LAW ON ASSEMBLIES AND DEMONSTRATIONS, 3 March 2025, § 49. იხ. URGENT OPINION ON THE AMENDMENTS TO THE LAW ON ASSEMBLIES AND DEMONSTRATIONS, THE CODE OF ADMINISTRATIVE OFFENCES AND THE CRIMINAL CODE OF GEORGIA (AS ADOPTED ON 6 FEBRUARY 2025), Warsaw, 6 March, 2025, §95.</w:t>
      </w:r>
    </w:p>
  </w:footnote>
  <w:footnote w:id="80">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 xml:space="preserve">იხ. </w:t>
      </w:r>
      <w:hyperlink r:id="rId29">
        <w:r>
          <w:rPr>
            <w:rFonts w:ascii="Merriweather" w:eastAsia="Merriweather" w:hAnsi="Merriweather" w:cs="Merriweather"/>
            <w:color w:val="0000FF"/>
            <w:sz w:val="20"/>
            <w:szCs w:val="20"/>
            <w:u w:val="single"/>
          </w:rPr>
          <w:t>https://www.ombudsman.ge/res/docs/2025100210411065406.pdf</w:t>
        </w:r>
      </w:hyperlink>
      <w:r>
        <w:rPr>
          <w:rFonts w:ascii="Arial Unicode MS" w:eastAsia="Arial Unicode MS" w:hAnsi="Arial Unicode MS" w:cs="Arial Unicode MS"/>
          <w:color w:val="000000"/>
          <w:sz w:val="20"/>
          <w:szCs w:val="20"/>
        </w:rPr>
        <w:t xml:space="preserve"> გვ. 1-2.</w:t>
      </w:r>
    </w:p>
  </w:footnote>
  <w:footnote w:id="81">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2017 წლის 17 მაისის №3/3/600 გადაწყვეტილება საქმეზე „საქართველოს მოქალაქე კახა კუკავა საქართველოს პარლამენტის წინააღმდეგ“, II-48.</w:t>
      </w:r>
    </w:p>
  </w:footnote>
  <w:footnote w:id="82">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2017 წლის 17 ოქტომბრის №3/4/550 გადაწყვეტილება საქმეზე „საქართველოს მოქალაქე ნოდარ დვალი საქართველოს პარლამენტის წინააღმდეგ“, II-26.</w:t>
      </w:r>
    </w:p>
  </w:footnote>
  <w:footnote w:id="83">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იქვე, II-43.</w:t>
      </w:r>
    </w:p>
  </w:footnote>
  <w:footnote w:id="84">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2023 წლის 14 დეკემბრის №3/3/1635 გადაწყვეტილება საქმეზე „საქართველოს სახალხო დამცველი საქართველოს პარლამენტის წინააღმდეგ“, II-21.</w:t>
      </w:r>
    </w:p>
  </w:footnote>
  <w:footnote w:id="85">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იხ. საქმე N4/1607-25, დადგენილება ადმინისტრაციული სახდელის დადების შესახებ, 15 მაისი, 2025 წელი, გვ.9.</w:t>
      </w:r>
    </w:p>
  </w:footnote>
  <w:footnote w:id="86">
    <w:p w:rsidR="0036339C" w:rsidRDefault="0036339C">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vertAlign w:val="superscript"/>
        </w:rPr>
        <w:footnoteRef/>
      </w:r>
      <w:r>
        <w:rPr>
          <w:color w:val="000000"/>
          <w:sz w:val="20"/>
          <w:szCs w:val="20"/>
        </w:rPr>
        <w:t xml:space="preserve"> </w:t>
      </w:r>
      <w:r>
        <w:rPr>
          <w:rFonts w:ascii="Arial Unicode MS" w:eastAsia="Arial Unicode MS" w:hAnsi="Arial Unicode MS" w:cs="Arial Unicode MS"/>
          <w:color w:val="000000"/>
          <w:sz w:val="20"/>
          <w:szCs w:val="20"/>
        </w:rPr>
        <w:t>საქართველოს საკონსტიტუციო სასამართლოს 2015 წლის 24 ოქტომბრის №1/4/592 გადაწყვეტილება საქმეზე „საქართველოს მოქალაქე ბექა წიქარიშვილი საქართველოს პარლამენტის წინააღმდეგ“, II-33.</w:t>
      </w:r>
    </w:p>
  </w:footnote>
  <w:footnote w:id="87">
    <w:p w:rsidR="0036339C" w:rsidRDefault="0036339C">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vertAlign w:val="superscript"/>
        </w:rPr>
        <w:footnoteRef/>
      </w:r>
      <w:r>
        <w:rPr>
          <w:rFonts w:ascii="Arial Unicode MS" w:eastAsia="Arial Unicode MS" w:hAnsi="Arial Unicode MS" w:cs="Arial Unicode MS"/>
          <w:color w:val="000000"/>
          <w:sz w:val="18"/>
          <w:szCs w:val="18"/>
        </w:rPr>
        <w:t xml:space="preserve"> საქართველოს კონსტიტუცია და კანონმდებლობა მოსარჩელეს ანიჭებს საკონსტიტუციო სასამართლოსთვის სხვადასხვა ტიპის შუამდგომლობით მიმართვის შესაძლებლობას. წარმოდგენილ ველში შეგიძლიათ დააყენოთ შესაბამისი შუამდგომლობები. შუამდგომლობის წარმოდგენის შემთხვევაში, გთხოვთ, მიუთითოთ მისი საფუძვლიანობის დამადასტურებელი არგუმენტები, ფაქტობრივი გარემოებები და მტკიცებულებები.</w:t>
      </w:r>
    </w:p>
  </w:footnote>
  <w:footnote w:id="88">
    <w:p w:rsidR="000406D7" w:rsidRPr="00F87B48" w:rsidRDefault="000406D7" w:rsidP="000406D7">
      <w:pPr>
        <w:pStyle w:val="af8"/>
        <w:ind w:left="-720" w:right="-720"/>
        <w:jc w:val="both"/>
        <w:rPr>
          <w:rFonts w:ascii="Sylfaen" w:hAnsi="Sylfaen"/>
          <w:sz w:val="18"/>
          <w:szCs w:val="18"/>
          <w:lang w:val="ka-GE"/>
        </w:rPr>
      </w:pPr>
      <w:r w:rsidRPr="00F87B48">
        <w:rPr>
          <w:rStyle w:val="afa"/>
          <w:rFonts w:ascii="Sylfaen" w:hAnsi="Sylfaen"/>
          <w:sz w:val="18"/>
          <w:szCs w:val="18"/>
          <w:lang w:val="ka-GE"/>
        </w:rPr>
        <w:footnoteRef/>
      </w:r>
      <w:r w:rsidRPr="00F87B48">
        <w:rPr>
          <w:rFonts w:ascii="Sylfaen" w:hAnsi="Sylfaen"/>
          <w:sz w:val="18"/>
          <w:szCs w:val="18"/>
          <w:lang w:val="ka-GE"/>
        </w:rPr>
        <w:t xml:space="preserve"> გთხოვთ მიუთითოთ დანართის ნომერი, თანდართული დოკუმენტის დასახელება და მაიდენტიფიცირებელი მონაცემები (არსებობის შემთხვევაში).</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E23"/>
    <w:multiLevelType w:val="multilevel"/>
    <w:tmpl w:val="20B08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6A48FF"/>
    <w:multiLevelType w:val="multilevel"/>
    <w:tmpl w:val="2758D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B32F8F"/>
    <w:multiLevelType w:val="multilevel"/>
    <w:tmpl w:val="83FA7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4753DD"/>
    <w:multiLevelType w:val="multilevel"/>
    <w:tmpl w:val="3C308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5421F2"/>
    <w:multiLevelType w:val="hybridMultilevel"/>
    <w:tmpl w:val="F3989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92A25"/>
    <w:multiLevelType w:val="hybridMultilevel"/>
    <w:tmpl w:val="74E05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03C05"/>
    <w:multiLevelType w:val="multilevel"/>
    <w:tmpl w:val="A1E2FD66"/>
    <w:lvl w:ilvl="0">
      <w:start w:val="1"/>
      <w:numFmt w:val="decimal"/>
      <w:lvlText w:val="%1."/>
      <w:lvlJc w:val="left"/>
      <w:pPr>
        <w:ind w:left="352" w:hanging="360"/>
      </w:pPr>
    </w:lvl>
    <w:lvl w:ilvl="1">
      <w:start w:val="1"/>
      <w:numFmt w:val="lowerLetter"/>
      <w:lvlText w:val="%2."/>
      <w:lvlJc w:val="left"/>
      <w:pPr>
        <w:ind w:left="1072" w:hanging="360"/>
      </w:pPr>
    </w:lvl>
    <w:lvl w:ilvl="2">
      <w:start w:val="1"/>
      <w:numFmt w:val="lowerRoman"/>
      <w:lvlText w:val="%3."/>
      <w:lvlJc w:val="right"/>
      <w:pPr>
        <w:ind w:left="1792" w:hanging="180"/>
      </w:pPr>
    </w:lvl>
    <w:lvl w:ilvl="3">
      <w:start w:val="1"/>
      <w:numFmt w:val="decimal"/>
      <w:lvlText w:val="%4."/>
      <w:lvlJc w:val="left"/>
      <w:pPr>
        <w:ind w:left="2512" w:hanging="360"/>
      </w:pPr>
    </w:lvl>
    <w:lvl w:ilvl="4">
      <w:start w:val="1"/>
      <w:numFmt w:val="lowerLetter"/>
      <w:lvlText w:val="%5."/>
      <w:lvlJc w:val="left"/>
      <w:pPr>
        <w:ind w:left="3232" w:hanging="360"/>
      </w:pPr>
    </w:lvl>
    <w:lvl w:ilvl="5">
      <w:start w:val="1"/>
      <w:numFmt w:val="lowerRoman"/>
      <w:lvlText w:val="%6."/>
      <w:lvlJc w:val="right"/>
      <w:pPr>
        <w:ind w:left="3952" w:hanging="180"/>
      </w:pPr>
    </w:lvl>
    <w:lvl w:ilvl="6">
      <w:start w:val="1"/>
      <w:numFmt w:val="decimal"/>
      <w:lvlText w:val="%7."/>
      <w:lvlJc w:val="left"/>
      <w:pPr>
        <w:ind w:left="4672" w:hanging="360"/>
      </w:pPr>
    </w:lvl>
    <w:lvl w:ilvl="7">
      <w:start w:val="1"/>
      <w:numFmt w:val="lowerLetter"/>
      <w:lvlText w:val="%8."/>
      <w:lvlJc w:val="left"/>
      <w:pPr>
        <w:ind w:left="5392" w:hanging="360"/>
      </w:pPr>
    </w:lvl>
    <w:lvl w:ilvl="8">
      <w:start w:val="1"/>
      <w:numFmt w:val="lowerRoman"/>
      <w:lvlText w:val="%9."/>
      <w:lvlJc w:val="right"/>
      <w:pPr>
        <w:ind w:left="6112" w:hanging="180"/>
      </w:pPr>
    </w:lvl>
  </w:abstractNum>
  <w:abstractNum w:abstractNumId="7" w15:restartNumberingAfterBreak="0">
    <w:nsid w:val="287A13B5"/>
    <w:multiLevelType w:val="hybridMultilevel"/>
    <w:tmpl w:val="BF140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E20EF"/>
    <w:multiLevelType w:val="multilevel"/>
    <w:tmpl w:val="59521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6E3D4A"/>
    <w:multiLevelType w:val="multilevel"/>
    <w:tmpl w:val="1E120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4E2F08"/>
    <w:multiLevelType w:val="multilevel"/>
    <w:tmpl w:val="0CD81536"/>
    <w:lvl w:ilvl="0">
      <w:start w:val="1"/>
      <w:numFmt w:val="decimal"/>
      <w:lvlText w:val="%1."/>
      <w:lvlJc w:val="left"/>
      <w:pPr>
        <w:ind w:left="342" w:hanging="360"/>
      </w:pPr>
    </w:lvl>
    <w:lvl w:ilvl="1">
      <w:start w:val="1"/>
      <w:numFmt w:val="lowerLetter"/>
      <w:lvlText w:val="%2."/>
      <w:lvlJc w:val="left"/>
      <w:pPr>
        <w:ind w:left="1062" w:hanging="360"/>
      </w:pPr>
    </w:lvl>
    <w:lvl w:ilvl="2">
      <w:start w:val="1"/>
      <w:numFmt w:val="lowerRoman"/>
      <w:lvlText w:val="%3."/>
      <w:lvlJc w:val="right"/>
      <w:pPr>
        <w:ind w:left="1782" w:hanging="180"/>
      </w:pPr>
    </w:lvl>
    <w:lvl w:ilvl="3">
      <w:start w:val="1"/>
      <w:numFmt w:val="decimal"/>
      <w:lvlText w:val="%4."/>
      <w:lvlJc w:val="left"/>
      <w:pPr>
        <w:ind w:left="2502" w:hanging="360"/>
      </w:pPr>
    </w:lvl>
    <w:lvl w:ilvl="4">
      <w:start w:val="1"/>
      <w:numFmt w:val="lowerLetter"/>
      <w:lvlText w:val="%5."/>
      <w:lvlJc w:val="left"/>
      <w:pPr>
        <w:ind w:left="3222" w:hanging="360"/>
      </w:pPr>
    </w:lvl>
    <w:lvl w:ilvl="5">
      <w:start w:val="1"/>
      <w:numFmt w:val="lowerRoman"/>
      <w:lvlText w:val="%6."/>
      <w:lvlJc w:val="right"/>
      <w:pPr>
        <w:ind w:left="3942" w:hanging="180"/>
      </w:pPr>
    </w:lvl>
    <w:lvl w:ilvl="6">
      <w:start w:val="1"/>
      <w:numFmt w:val="decimal"/>
      <w:lvlText w:val="%7."/>
      <w:lvlJc w:val="left"/>
      <w:pPr>
        <w:ind w:left="4662" w:hanging="360"/>
      </w:pPr>
    </w:lvl>
    <w:lvl w:ilvl="7">
      <w:start w:val="1"/>
      <w:numFmt w:val="lowerLetter"/>
      <w:lvlText w:val="%8."/>
      <w:lvlJc w:val="left"/>
      <w:pPr>
        <w:ind w:left="5382" w:hanging="360"/>
      </w:pPr>
    </w:lvl>
    <w:lvl w:ilvl="8">
      <w:start w:val="1"/>
      <w:numFmt w:val="lowerRoman"/>
      <w:lvlText w:val="%9."/>
      <w:lvlJc w:val="right"/>
      <w:pPr>
        <w:ind w:left="6102" w:hanging="180"/>
      </w:pPr>
    </w:lvl>
  </w:abstractNum>
  <w:abstractNum w:abstractNumId="11" w15:restartNumberingAfterBreak="0">
    <w:nsid w:val="4F9D042E"/>
    <w:multiLevelType w:val="multilevel"/>
    <w:tmpl w:val="F3C67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9B7DA3"/>
    <w:multiLevelType w:val="multilevel"/>
    <w:tmpl w:val="3CD8B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0539D0"/>
    <w:multiLevelType w:val="multilevel"/>
    <w:tmpl w:val="27A42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974A39"/>
    <w:multiLevelType w:val="multilevel"/>
    <w:tmpl w:val="53926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627D1E"/>
    <w:multiLevelType w:val="multilevel"/>
    <w:tmpl w:val="8348E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41E1156"/>
    <w:multiLevelType w:val="multilevel"/>
    <w:tmpl w:val="7CEAA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DFA5506"/>
    <w:multiLevelType w:val="multilevel"/>
    <w:tmpl w:val="3D764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AE2A1D"/>
    <w:multiLevelType w:val="hybridMultilevel"/>
    <w:tmpl w:val="F8128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6700E9"/>
    <w:multiLevelType w:val="multilevel"/>
    <w:tmpl w:val="3FE8F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F73EFE"/>
    <w:multiLevelType w:val="multilevel"/>
    <w:tmpl w:val="8E748F42"/>
    <w:lvl w:ilvl="0">
      <w:start w:val="1"/>
      <w:numFmt w:val="decimal"/>
      <w:lvlText w:val="%1."/>
      <w:lvlJc w:val="left"/>
      <w:pPr>
        <w:ind w:left="352" w:hanging="360"/>
      </w:pPr>
    </w:lvl>
    <w:lvl w:ilvl="1">
      <w:start w:val="1"/>
      <w:numFmt w:val="lowerLetter"/>
      <w:lvlText w:val="%2."/>
      <w:lvlJc w:val="left"/>
      <w:pPr>
        <w:ind w:left="1072" w:hanging="360"/>
      </w:pPr>
    </w:lvl>
    <w:lvl w:ilvl="2">
      <w:start w:val="1"/>
      <w:numFmt w:val="lowerRoman"/>
      <w:lvlText w:val="%3."/>
      <w:lvlJc w:val="right"/>
      <w:pPr>
        <w:ind w:left="1792" w:hanging="180"/>
      </w:pPr>
    </w:lvl>
    <w:lvl w:ilvl="3">
      <w:start w:val="1"/>
      <w:numFmt w:val="decimal"/>
      <w:lvlText w:val="%4."/>
      <w:lvlJc w:val="left"/>
      <w:pPr>
        <w:ind w:left="2512" w:hanging="360"/>
      </w:pPr>
    </w:lvl>
    <w:lvl w:ilvl="4">
      <w:start w:val="1"/>
      <w:numFmt w:val="lowerLetter"/>
      <w:lvlText w:val="%5."/>
      <w:lvlJc w:val="left"/>
      <w:pPr>
        <w:ind w:left="3232" w:hanging="360"/>
      </w:pPr>
    </w:lvl>
    <w:lvl w:ilvl="5">
      <w:start w:val="1"/>
      <w:numFmt w:val="lowerRoman"/>
      <w:lvlText w:val="%6."/>
      <w:lvlJc w:val="right"/>
      <w:pPr>
        <w:ind w:left="3952" w:hanging="180"/>
      </w:pPr>
    </w:lvl>
    <w:lvl w:ilvl="6">
      <w:start w:val="1"/>
      <w:numFmt w:val="decimal"/>
      <w:lvlText w:val="%7."/>
      <w:lvlJc w:val="left"/>
      <w:pPr>
        <w:ind w:left="4672" w:hanging="360"/>
      </w:pPr>
    </w:lvl>
    <w:lvl w:ilvl="7">
      <w:start w:val="1"/>
      <w:numFmt w:val="lowerLetter"/>
      <w:lvlText w:val="%8."/>
      <w:lvlJc w:val="left"/>
      <w:pPr>
        <w:ind w:left="5392" w:hanging="360"/>
      </w:pPr>
    </w:lvl>
    <w:lvl w:ilvl="8">
      <w:start w:val="1"/>
      <w:numFmt w:val="lowerRoman"/>
      <w:lvlText w:val="%9."/>
      <w:lvlJc w:val="right"/>
      <w:pPr>
        <w:ind w:left="6112" w:hanging="180"/>
      </w:pPr>
    </w:lvl>
  </w:abstractNum>
  <w:abstractNum w:abstractNumId="21" w15:restartNumberingAfterBreak="0">
    <w:nsid w:val="75046EEC"/>
    <w:multiLevelType w:val="multilevel"/>
    <w:tmpl w:val="5ADAF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7C510EC"/>
    <w:multiLevelType w:val="multilevel"/>
    <w:tmpl w:val="E42AB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C947A3D"/>
    <w:multiLevelType w:val="multilevel"/>
    <w:tmpl w:val="A2C88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6"/>
  </w:num>
  <w:num w:numId="3">
    <w:abstractNumId w:val="15"/>
  </w:num>
  <w:num w:numId="4">
    <w:abstractNumId w:val="17"/>
  </w:num>
  <w:num w:numId="5">
    <w:abstractNumId w:val="21"/>
  </w:num>
  <w:num w:numId="6">
    <w:abstractNumId w:val="8"/>
  </w:num>
  <w:num w:numId="7">
    <w:abstractNumId w:val="22"/>
  </w:num>
  <w:num w:numId="8">
    <w:abstractNumId w:val="16"/>
  </w:num>
  <w:num w:numId="9">
    <w:abstractNumId w:val="2"/>
  </w:num>
  <w:num w:numId="10">
    <w:abstractNumId w:val="12"/>
  </w:num>
  <w:num w:numId="11">
    <w:abstractNumId w:val="0"/>
  </w:num>
  <w:num w:numId="12">
    <w:abstractNumId w:val="19"/>
  </w:num>
  <w:num w:numId="13">
    <w:abstractNumId w:val="10"/>
  </w:num>
  <w:num w:numId="14">
    <w:abstractNumId w:val="1"/>
  </w:num>
  <w:num w:numId="15">
    <w:abstractNumId w:val="20"/>
  </w:num>
  <w:num w:numId="16">
    <w:abstractNumId w:val="9"/>
  </w:num>
  <w:num w:numId="17">
    <w:abstractNumId w:val="13"/>
  </w:num>
  <w:num w:numId="18">
    <w:abstractNumId w:val="23"/>
  </w:num>
  <w:num w:numId="19">
    <w:abstractNumId w:val="14"/>
  </w:num>
  <w:num w:numId="20">
    <w:abstractNumId w:val="3"/>
  </w:num>
  <w:num w:numId="21">
    <w:abstractNumId w:val="18"/>
  </w:num>
  <w:num w:numId="22">
    <w:abstractNumId w:val="7"/>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215"/>
    <w:rsid w:val="000406D7"/>
    <w:rsid w:val="00054B50"/>
    <w:rsid w:val="00055B6F"/>
    <w:rsid w:val="00085A92"/>
    <w:rsid w:val="000A68FB"/>
    <w:rsid w:val="000F6BE6"/>
    <w:rsid w:val="0018298E"/>
    <w:rsid w:val="0021188B"/>
    <w:rsid w:val="00216642"/>
    <w:rsid w:val="00223A0C"/>
    <w:rsid w:val="0025741B"/>
    <w:rsid w:val="002D3215"/>
    <w:rsid w:val="002E2E6D"/>
    <w:rsid w:val="0036339C"/>
    <w:rsid w:val="003D10AA"/>
    <w:rsid w:val="00436236"/>
    <w:rsid w:val="00456C6C"/>
    <w:rsid w:val="004E1C38"/>
    <w:rsid w:val="005401D3"/>
    <w:rsid w:val="00570A8F"/>
    <w:rsid w:val="0061784A"/>
    <w:rsid w:val="0062015E"/>
    <w:rsid w:val="006D46C6"/>
    <w:rsid w:val="007E634A"/>
    <w:rsid w:val="00846966"/>
    <w:rsid w:val="008629FD"/>
    <w:rsid w:val="008638A0"/>
    <w:rsid w:val="009C0D18"/>
    <w:rsid w:val="009E16D8"/>
    <w:rsid w:val="009F45CF"/>
    <w:rsid w:val="00AD2934"/>
    <w:rsid w:val="00BC06FB"/>
    <w:rsid w:val="00BE7552"/>
    <w:rsid w:val="00D35693"/>
    <w:rsid w:val="00DA407B"/>
    <w:rsid w:val="00F44DDE"/>
    <w:rsid w:val="00F45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4126"/>
  <w15:docId w15:val="{AAD713BA-1C8C-4904-A031-778CD8B2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customStyle="1" w:styleId="sataurixml">
    <w:name w:val="sataurixml"/>
    <w:basedOn w:val="a"/>
    <w:rsid w:val="004E1C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Hyperlink"/>
    <w:basedOn w:val="a0"/>
    <w:uiPriority w:val="99"/>
    <w:semiHidden/>
    <w:unhideWhenUsed/>
    <w:rsid w:val="004E1C38"/>
    <w:rPr>
      <w:color w:val="0000FF"/>
      <w:u w:val="single"/>
    </w:rPr>
  </w:style>
  <w:style w:type="paragraph" w:customStyle="1" w:styleId="tavisataurixml">
    <w:name w:val="tavisataurixml"/>
    <w:basedOn w:val="a"/>
    <w:rsid w:val="004E1C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uxlixml">
    <w:name w:val="muxlixml"/>
    <w:basedOn w:val="a"/>
    <w:rsid w:val="004E1C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bzacixml">
    <w:name w:val="abzacixml"/>
    <w:basedOn w:val="a"/>
    <w:rsid w:val="004E1C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ldstyledocumentpart">
    <w:name w:val="oldstyledocumentpart"/>
    <w:basedOn w:val="a0"/>
    <w:rsid w:val="004E1C38"/>
  </w:style>
  <w:style w:type="table" w:styleId="af6">
    <w:name w:val="Table Grid"/>
    <w:basedOn w:val="a1"/>
    <w:uiPriority w:val="39"/>
    <w:rsid w:val="000406D7"/>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0406D7"/>
    <w:pPr>
      <w:ind w:left="720"/>
      <w:contextualSpacing/>
    </w:pPr>
    <w:rPr>
      <w:rFonts w:asciiTheme="minorHAnsi" w:eastAsiaTheme="minorHAnsi" w:hAnsiTheme="minorHAnsi" w:cstheme="minorBidi"/>
      <w:lang w:val="en-US"/>
    </w:rPr>
  </w:style>
  <w:style w:type="paragraph" w:styleId="af8">
    <w:name w:val="footnote text"/>
    <w:basedOn w:val="a"/>
    <w:link w:val="af9"/>
    <w:uiPriority w:val="99"/>
    <w:semiHidden/>
    <w:unhideWhenUsed/>
    <w:rsid w:val="000406D7"/>
    <w:pPr>
      <w:spacing w:after="0" w:line="240" w:lineRule="auto"/>
    </w:pPr>
    <w:rPr>
      <w:rFonts w:asciiTheme="minorHAnsi" w:eastAsiaTheme="minorHAnsi" w:hAnsiTheme="minorHAnsi" w:cstheme="minorBidi"/>
      <w:sz w:val="20"/>
      <w:szCs w:val="20"/>
      <w:lang w:val="en-US"/>
    </w:rPr>
  </w:style>
  <w:style w:type="character" w:customStyle="1" w:styleId="af9">
    <w:name w:val="Текст сноски Знак"/>
    <w:basedOn w:val="a0"/>
    <w:link w:val="af8"/>
    <w:uiPriority w:val="99"/>
    <w:semiHidden/>
    <w:rsid w:val="000406D7"/>
    <w:rPr>
      <w:rFonts w:asciiTheme="minorHAnsi" w:eastAsiaTheme="minorHAnsi" w:hAnsiTheme="minorHAnsi" w:cstheme="minorBidi"/>
      <w:sz w:val="20"/>
      <w:szCs w:val="20"/>
      <w:lang w:val="en-US"/>
    </w:rPr>
  </w:style>
  <w:style w:type="character" w:styleId="afa">
    <w:name w:val="footnote reference"/>
    <w:basedOn w:val="a0"/>
    <w:uiPriority w:val="99"/>
    <w:semiHidden/>
    <w:unhideWhenUsed/>
    <w:rsid w:val="000406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223884">
      <w:bodyDiv w:val="1"/>
      <w:marLeft w:val="0"/>
      <w:marRight w:val="0"/>
      <w:marTop w:val="0"/>
      <w:marBottom w:val="0"/>
      <w:divBdr>
        <w:top w:val="none" w:sz="0" w:space="0" w:color="auto"/>
        <w:left w:val="none" w:sz="0" w:space="0" w:color="auto"/>
        <w:bottom w:val="none" w:sz="0" w:space="0" w:color="auto"/>
        <w:right w:val="none" w:sz="0" w:space="0" w:color="auto"/>
      </w:divBdr>
    </w:div>
    <w:div w:id="642737235">
      <w:bodyDiv w:val="1"/>
      <w:marLeft w:val="0"/>
      <w:marRight w:val="0"/>
      <w:marTop w:val="0"/>
      <w:marBottom w:val="0"/>
      <w:divBdr>
        <w:top w:val="none" w:sz="0" w:space="0" w:color="auto"/>
        <w:left w:val="none" w:sz="0" w:space="0" w:color="auto"/>
        <w:bottom w:val="none" w:sz="0" w:space="0" w:color="auto"/>
        <w:right w:val="none" w:sz="0" w:space="0" w:color="auto"/>
      </w:divBdr>
    </w:div>
    <w:div w:id="684018477">
      <w:bodyDiv w:val="1"/>
      <w:marLeft w:val="0"/>
      <w:marRight w:val="0"/>
      <w:marTop w:val="0"/>
      <w:marBottom w:val="0"/>
      <w:divBdr>
        <w:top w:val="none" w:sz="0" w:space="0" w:color="auto"/>
        <w:left w:val="none" w:sz="0" w:space="0" w:color="auto"/>
        <w:bottom w:val="none" w:sz="0" w:space="0" w:color="auto"/>
        <w:right w:val="none" w:sz="0" w:space="0" w:color="auto"/>
      </w:divBdr>
      <w:divsChild>
        <w:div w:id="160393925">
          <w:marLeft w:val="0"/>
          <w:marRight w:val="0"/>
          <w:marTop w:val="0"/>
          <w:marBottom w:val="0"/>
          <w:divBdr>
            <w:top w:val="none" w:sz="0" w:space="0" w:color="auto"/>
            <w:left w:val="none" w:sz="0" w:space="0" w:color="auto"/>
            <w:bottom w:val="none" w:sz="0" w:space="0" w:color="auto"/>
            <w:right w:val="none" w:sz="0" w:space="0" w:color="auto"/>
          </w:divBdr>
        </w:div>
        <w:div w:id="780102729">
          <w:marLeft w:val="0"/>
          <w:marRight w:val="0"/>
          <w:marTop w:val="0"/>
          <w:marBottom w:val="0"/>
          <w:divBdr>
            <w:top w:val="none" w:sz="0" w:space="0" w:color="auto"/>
            <w:left w:val="none" w:sz="0" w:space="0" w:color="auto"/>
            <w:bottom w:val="none" w:sz="0" w:space="0" w:color="auto"/>
            <w:right w:val="none" w:sz="0" w:space="0" w:color="auto"/>
          </w:divBdr>
        </w:div>
        <w:div w:id="1523861006">
          <w:marLeft w:val="0"/>
          <w:marRight w:val="0"/>
          <w:marTop w:val="0"/>
          <w:marBottom w:val="0"/>
          <w:divBdr>
            <w:top w:val="none" w:sz="0" w:space="0" w:color="auto"/>
            <w:left w:val="none" w:sz="0" w:space="0" w:color="auto"/>
            <w:bottom w:val="none" w:sz="0" w:space="0" w:color="auto"/>
            <w:right w:val="none" w:sz="0" w:space="0" w:color="auto"/>
          </w:divBdr>
        </w:div>
        <w:div w:id="407070807">
          <w:marLeft w:val="0"/>
          <w:marRight w:val="0"/>
          <w:marTop w:val="0"/>
          <w:marBottom w:val="0"/>
          <w:divBdr>
            <w:top w:val="none" w:sz="0" w:space="0" w:color="auto"/>
            <w:left w:val="none" w:sz="0" w:space="0" w:color="auto"/>
            <w:bottom w:val="none" w:sz="0" w:space="0" w:color="auto"/>
            <w:right w:val="none" w:sz="0" w:space="0" w:color="auto"/>
          </w:divBdr>
        </w:div>
        <w:div w:id="36710946">
          <w:marLeft w:val="0"/>
          <w:marRight w:val="0"/>
          <w:marTop w:val="0"/>
          <w:marBottom w:val="0"/>
          <w:divBdr>
            <w:top w:val="none" w:sz="0" w:space="0" w:color="auto"/>
            <w:left w:val="none" w:sz="0" w:space="0" w:color="auto"/>
            <w:bottom w:val="none" w:sz="0" w:space="0" w:color="auto"/>
            <w:right w:val="none" w:sz="0" w:space="0" w:color="auto"/>
          </w:divBdr>
        </w:div>
        <w:div w:id="2097050450">
          <w:marLeft w:val="0"/>
          <w:marRight w:val="0"/>
          <w:marTop w:val="0"/>
          <w:marBottom w:val="0"/>
          <w:divBdr>
            <w:top w:val="none" w:sz="0" w:space="0" w:color="auto"/>
            <w:left w:val="none" w:sz="0" w:space="0" w:color="auto"/>
            <w:bottom w:val="none" w:sz="0" w:space="0" w:color="auto"/>
            <w:right w:val="none" w:sz="0" w:space="0" w:color="auto"/>
          </w:divBdr>
        </w:div>
        <w:div w:id="748111602">
          <w:marLeft w:val="0"/>
          <w:marRight w:val="0"/>
          <w:marTop w:val="0"/>
          <w:marBottom w:val="0"/>
          <w:divBdr>
            <w:top w:val="none" w:sz="0" w:space="0" w:color="auto"/>
            <w:left w:val="none" w:sz="0" w:space="0" w:color="auto"/>
            <w:bottom w:val="none" w:sz="0" w:space="0" w:color="auto"/>
            <w:right w:val="none" w:sz="0" w:space="0" w:color="auto"/>
          </w:divBdr>
        </w:div>
        <w:div w:id="1320428074">
          <w:marLeft w:val="0"/>
          <w:marRight w:val="0"/>
          <w:marTop w:val="0"/>
          <w:marBottom w:val="0"/>
          <w:divBdr>
            <w:top w:val="none" w:sz="0" w:space="0" w:color="auto"/>
            <w:left w:val="none" w:sz="0" w:space="0" w:color="auto"/>
            <w:bottom w:val="none" w:sz="0" w:space="0" w:color="auto"/>
            <w:right w:val="none" w:sz="0" w:space="0" w:color="auto"/>
          </w:divBdr>
        </w:div>
        <w:div w:id="862012192">
          <w:marLeft w:val="0"/>
          <w:marRight w:val="0"/>
          <w:marTop w:val="0"/>
          <w:marBottom w:val="0"/>
          <w:divBdr>
            <w:top w:val="none" w:sz="0" w:space="0" w:color="auto"/>
            <w:left w:val="none" w:sz="0" w:space="0" w:color="auto"/>
            <w:bottom w:val="none" w:sz="0" w:space="0" w:color="auto"/>
            <w:right w:val="none" w:sz="0" w:space="0" w:color="auto"/>
          </w:divBdr>
        </w:div>
        <w:div w:id="1008947766">
          <w:marLeft w:val="0"/>
          <w:marRight w:val="0"/>
          <w:marTop w:val="0"/>
          <w:marBottom w:val="0"/>
          <w:divBdr>
            <w:top w:val="none" w:sz="0" w:space="0" w:color="auto"/>
            <w:left w:val="none" w:sz="0" w:space="0" w:color="auto"/>
            <w:bottom w:val="none" w:sz="0" w:space="0" w:color="auto"/>
            <w:right w:val="none" w:sz="0" w:space="0" w:color="auto"/>
          </w:divBdr>
        </w:div>
        <w:div w:id="1950165719">
          <w:marLeft w:val="0"/>
          <w:marRight w:val="0"/>
          <w:marTop w:val="0"/>
          <w:marBottom w:val="0"/>
          <w:divBdr>
            <w:top w:val="none" w:sz="0" w:space="0" w:color="auto"/>
            <w:left w:val="none" w:sz="0" w:space="0" w:color="auto"/>
            <w:bottom w:val="none" w:sz="0" w:space="0" w:color="auto"/>
            <w:right w:val="none" w:sz="0" w:space="0" w:color="auto"/>
          </w:divBdr>
        </w:div>
        <w:div w:id="331185903">
          <w:marLeft w:val="0"/>
          <w:marRight w:val="0"/>
          <w:marTop w:val="0"/>
          <w:marBottom w:val="0"/>
          <w:divBdr>
            <w:top w:val="none" w:sz="0" w:space="0" w:color="auto"/>
            <w:left w:val="none" w:sz="0" w:space="0" w:color="auto"/>
            <w:bottom w:val="none" w:sz="0" w:space="0" w:color="auto"/>
            <w:right w:val="none" w:sz="0" w:space="0" w:color="auto"/>
          </w:divBdr>
        </w:div>
        <w:div w:id="1319072090">
          <w:marLeft w:val="0"/>
          <w:marRight w:val="0"/>
          <w:marTop w:val="0"/>
          <w:marBottom w:val="0"/>
          <w:divBdr>
            <w:top w:val="none" w:sz="0" w:space="0" w:color="auto"/>
            <w:left w:val="none" w:sz="0" w:space="0" w:color="auto"/>
            <w:bottom w:val="none" w:sz="0" w:space="0" w:color="auto"/>
            <w:right w:val="none" w:sz="0" w:space="0" w:color="auto"/>
          </w:divBdr>
        </w:div>
        <w:div w:id="783621022">
          <w:marLeft w:val="0"/>
          <w:marRight w:val="0"/>
          <w:marTop w:val="0"/>
          <w:marBottom w:val="0"/>
          <w:divBdr>
            <w:top w:val="none" w:sz="0" w:space="0" w:color="auto"/>
            <w:left w:val="none" w:sz="0" w:space="0" w:color="auto"/>
            <w:bottom w:val="none" w:sz="0" w:space="0" w:color="auto"/>
            <w:right w:val="none" w:sz="0" w:space="0" w:color="auto"/>
          </w:divBdr>
        </w:div>
        <w:div w:id="247736083">
          <w:marLeft w:val="0"/>
          <w:marRight w:val="0"/>
          <w:marTop w:val="0"/>
          <w:marBottom w:val="0"/>
          <w:divBdr>
            <w:top w:val="none" w:sz="0" w:space="0" w:color="auto"/>
            <w:left w:val="none" w:sz="0" w:space="0" w:color="auto"/>
            <w:bottom w:val="none" w:sz="0" w:space="0" w:color="auto"/>
            <w:right w:val="none" w:sz="0" w:space="0" w:color="auto"/>
          </w:divBdr>
        </w:div>
        <w:div w:id="261107076">
          <w:marLeft w:val="0"/>
          <w:marRight w:val="0"/>
          <w:marTop w:val="0"/>
          <w:marBottom w:val="0"/>
          <w:divBdr>
            <w:top w:val="none" w:sz="0" w:space="0" w:color="auto"/>
            <w:left w:val="none" w:sz="0" w:space="0" w:color="auto"/>
            <w:bottom w:val="none" w:sz="0" w:space="0" w:color="auto"/>
            <w:right w:val="none" w:sz="0" w:space="0" w:color="auto"/>
          </w:divBdr>
        </w:div>
        <w:div w:id="625506672">
          <w:marLeft w:val="0"/>
          <w:marRight w:val="0"/>
          <w:marTop w:val="0"/>
          <w:marBottom w:val="0"/>
          <w:divBdr>
            <w:top w:val="none" w:sz="0" w:space="0" w:color="auto"/>
            <w:left w:val="none" w:sz="0" w:space="0" w:color="auto"/>
            <w:bottom w:val="none" w:sz="0" w:space="0" w:color="auto"/>
            <w:right w:val="none" w:sz="0" w:space="0" w:color="auto"/>
          </w:divBdr>
        </w:div>
        <w:div w:id="1982687424">
          <w:marLeft w:val="0"/>
          <w:marRight w:val="0"/>
          <w:marTop w:val="0"/>
          <w:marBottom w:val="0"/>
          <w:divBdr>
            <w:top w:val="none" w:sz="0" w:space="0" w:color="auto"/>
            <w:left w:val="none" w:sz="0" w:space="0" w:color="auto"/>
            <w:bottom w:val="none" w:sz="0" w:space="0" w:color="auto"/>
            <w:right w:val="none" w:sz="0" w:space="0" w:color="auto"/>
          </w:divBdr>
        </w:div>
        <w:div w:id="1113592890">
          <w:marLeft w:val="0"/>
          <w:marRight w:val="0"/>
          <w:marTop w:val="0"/>
          <w:marBottom w:val="0"/>
          <w:divBdr>
            <w:top w:val="none" w:sz="0" w:space="0" w:color="auto"/>
            <w:left w:val="none" w:sz="0" w:space="0" w:color="auto"/>
            <w:bottom w:val="none" w:sz="0" w:space="0" w:color="auto"/>
            <w:right w:val="none" w:sz="0" w:space="0" w:color="auto"/>
          </w:divBdr>
        </w:div>
        <w:div w:id="1934126435">
          <w:marLeft w:val="0"/>
          <w:marRight w:val="0"/>
          <w:marTop w:val="0"/>
          <w:marBottom w:val="0"/>
          <w:divBdr>
            <w:top w:val="none" w:sz="0" w:space="0" w:color="auto"/>
            <w:left w:val="none" w:sz="0" w:space="0" w:color="auto"/>
            <w:bottom w:val="none" w:sz="0" w:space="0" w:color="auto"/>
            <w:right w:val="none" w:sz="0" w:space="0" w:color="auto"/>
          </w:divBdr>
        </w:div>
        <w:div w:id="460071618">
          <w:marLeft w:val="0"/>
          <w:marRight w:val="0"/>
          <w:marTop w:val="0"/>
          <w:marBottom w:val="0"/>
          <w:divBdr>
            <w:top w:val="none" w:sz="0" w:space="0" w:color="auto"/>
            <w:left w:val="none" w:sz="0" w:space="0" w:color="auto"/>
            <w:bottom w:val="none" w:sz="0" w:space="0" w:color="auto"/>
            <w:right w:val="none" w:sz="0" w:space="0" w:color="auto"/>
          </w:divBdr>
        </w:div>
        <w:div w:id="2049646319">
          <w:marLeft w:val="0"/>
          <w:marRight w:val="0"/>
          <w:marTop w:val="0"/>
          <w:marBottom w:val="0"/>
          <w:divBdr>
            <w:top w:val="none" w:sz="0" w:space="0" w:color="auto"/>
            <w:left w:val="none" w:sz="0" w:space="0" w:color="auto"/>
            <w:bottom w:val="none" w:sz="0" w:space="0" w:color="auto"/>
            <w:right w:val="none" w:sz="0" w:space="0" w:color="auto"/>
          </w:divBdr>
        </w:div>
        <w:div w:id="891355186">
          <w:marLeft w:val="0"/>
          <w:marRight w:val="0"/>
          <w:marTop w:val="0"/>
          <w:marBottom w:val="0"/>
          <w:divBdr>
            <w:top w:val="none" w:sz="0" w:space="0" w:color="auto"/>
            <w:left w:val="none" w:sz="0" w:space="0" w:color="auto"/>
            <w:bottom w:val="none" w:sz="0" w:space="0" w:color="auto"/>
            <w:right w:val="none" w:sz="0" w:space="0" w:color="auto"/>
          </w:divBdr>
        </w:div>
        <w:div w:id="2059426861">
          <w:marLeft w:val="0"/>
          <w:marRight w:val="0"/>
          <w:marTop w:val="0"/>
          <w:marBottom w:val="0"/>
          <w:divBdr>
            <w:top w:val="none" w:sz="0" w:space="0" w:color="auto"/>
            <w:left w:val="none" w:sz="0" w:space="0" w:color="auto"/>
            <w:bottom w:val="none" w:sz="0" w:space="0" w:color="auto"/>
            <w:right w:val="none" w:sz="0" w:space="0" w:color="auto"/>
          </w:divBdr>
        </w:div>
        <w:div w:id="1028410061">
          <w:marLeft w:val="0"/>
          <w:marRight w:val="0"/>
          <w:marTop w:val="0"/>
          <w:marBottom w:val="0"/>
          <w:divBdr>
            <w:top w:val="none" w:sz="0" w:space="0" w:color="auto"/>
            <w:left w:val="none" w:sz="0" w:space="0" w:color="auto"/>
            <w:bottom w:val="none" w:sz="0" w:space="0" w:color="auto"/>
            <w:right w:val="none" w:sz="0" w:space="0" w:color="auto"/>
          </w:divBdr>
        </w:div>
        <w:div w:id="1217203615">
          <w:marLeft w:val="0"/>
          <w:marRight w:val="0"/>
          <w:marTop w:val="0"/>
          <w:marBottom w:val="0"/>
          <w:divBdr>
            <w:top w:val="none" w:sz="0" w:space="0" w:color="auto"/>
            <w:left w:val="none" w:sz="0" w:space="0" w:color="auto"/>
            <w:bottom w:val="none" w:sz="0" w:space="0" w:color="auto"/>
            <w:right w:val="none" w:sz="0" w:space="0" w:color="auto"/>
          </w:divBdr>
        </w:div>
        <w:div w:id="622468993">
          <w:marLeft w:val="0"/>
          <w:marRight w:val="0"/>
          <w:marTop w:val="0"/>
          <w:marBottom w:val="0"/>
          <w:divBdr>
            <w:top w:val="none" w:sz="0" w:space="0" w:color="auto"/>
            <w:left w:val="none" w:sz="0" w:space="0" w:color="auto"/>
            <w:bottom w:val="none" w:sz="0" w:space="0" w:color="auto"/>
            <w:right w:val="none" w:sz="0" w:space="0" w:color="auto"/>
          </w:divBdr>
        </w:div>
        <w:div w:id="618486439">
          <w:marLeft w:val="0"/>
          <w:marRight w:val="0"/>
          <w:marTop w:val="0"/>
          <w:marBottom w:val="0"/>
          <w:divBdr>
            <w:top w:val="none" w:sz="0" w:space="0" w:color="auto"/>
            <w:left w:val="none" w:sz="0" w:space="0" w:color="auto"/>
            <w:bottom w:val="none" w:sz="0" w:space="0" w:color="auto"/>
            <w:right w:val="none" w:sz="0" w:space="0" w:color="auto"/>
          </w:divBdr>
        </w:div>
        <w:div w:id="1674070008">
          <w:marLeft w:val="0"/>
          <w:marRight w:val="0"/>
          <w:marTop w:val="0"/>
          <w:marBottom w:val="0"/>
          <w:divBdr>
            <w:top w:val="none" w:sz="0" w:space="0" w:color="auto"/>
            <w:left w:val="none" w:sz="0" w:space="0" w:color="auto"/>
            <w:bottom w:val="none" w:sz="0" w:space="0" w:color="auto"/>
            <w:right w:val="none" w:sz="0" w:space="0" w:color="auto"/>
          </w:divBdr>
        </w:div>
        <w:div w:id="472869761">
          <w:marLeft w:val="0"/>
          <w:marRight w:val="0"/>
          <w:marTop w:val="0"/>
          <w:marBottom w:val="0"/>
          <w:divBdr>
            <w:top w:val="none" w:sz="0" w:space="0" w:color="auto"/>
            <w:left w:val="none" w:sz="0" w:space="0" w:color="auto"/>
            <w:bottom w:val="none" w:sz="0" w:space="0" w:color="auto"/>
            <w:right w:val="none" w:sz="0" w:space="0" w:color="auto"/>
          </w:divBdr>
        </w:div>
        <w:div w:id="1615747080">
          <w:marLeft w:val="0"/>
          <w:marRight w:val="0"/>
          <w:marTop w:val="0"/>
          <w:marBottom w:val="0"/>
          <w:divBdr>
            <w:top w:val="none" w:sz="0" w:space="0" w:color="auto"/>
            <w:left w:val="none" w:sz="0" w:space="0" w:color="auto"/>
            <w:bottom w:val="none" w:sz="0" w:space="0" w:color="auto"/>
            <w:right w:val="none" w:sz="0" w:space="0" w:color="auto"/>
          </w:divBdr>
        </w:div>
        <w:div w:id="995651904">
          <w:marLeft w:val="0"/>
          <w:marRight w:val="0"/>
          <w:marTop w:val="0"/>
          <w:marBottom w:val="0"/>
          <w:divBdr>
            <w:top w:val="none" w:sz="0" w:space="0" w:color="auto"/>
            <w:left w:val="none" w:sz="0" w:space="0" w:color="auto"/>
            <w:bottom w:val="none" w:sz="0" w:space="0" w:color="auto"/>
            <w:right w:val="none" w:sz="0" w:space="0" w:color="auto"/>
          </w:divBdr>
        </w:div>
        <w:div w:id="1082724664">
          <w:marLeft w:val="0"/>
          <w:marRight w:val="0"/>
          <w:marTop w:val="0"/>
          <w:marBottom w:val="0"/>
          <w:divBdr>
            <w:top w:val="none" w:sz="0" w:space="0" w:color="auto"/>
            <w:left w:val="none" w:sz="0" w:space="0" w:color="auto"/>
            <w:bottom w:val="none" w:sz="0" w:space="0" w:color="auto"/>
            <w:right w:val="none" w:sz="0" w:space="0" w:color="auto"/>
          </w:divBdr>
        </w:div>
        <w:div w:id="253439814">
          <w:marLeft w:val="0"/>
          <w:marRight w:val="0"/>
          <w:marTop w:val="0"/>
          <w:marBottom w:val="0"/>
          <w:divBdr>
            <w:top w:val="none" w:sz="0" w:space="0" w:color="auto"/>
            <w:left w:val="none" w:sz="0" w:space="0" w:color="auto"/>
            <w:bottom w:val="none" w:sz="0" w:space="0" w:color="auto"/>
            <w:right w:val="none" w:sz="0" w:space="0" w:color="auto"/>
          </w:divBdr>
        </w:div>
        <w:div w:id="592591727">
          <w:marLeft w:val="0"/>
          <w:marRight w:val="0"/>
          <w:marTop w:val="0"/>
          <w:marBottom w:val="0"/>
          <w:divBdr>
            <w:top w:val="none" w:sz="0" w:space="0" w:color="auto"/>
            <w:left w:val="none" w:sz="0" w:space="0" w:color="auto"/>
            <w:bottom w:val="none" w:sz="0" w:space="0" w:color="auto"/>
            <w:right w:val="none" w:sz="0" w:space="0" w:color="auto"/>
          </w:divBdr>
        </w:div>
        <w:div w:id="854270353">
          <w:marLeft w:val="0"/>
          <w:marRight w:val="0"/>
          <w:marTop w:val="0"/>
          <w:marBottom w:val="0"/>
          <w:divBdr>
            <w:top w:val="none" w:sz="0" w:space="0" w:color="auto"/>
            <w:left w:val="none" w:sz="0" w:space="0" w:color="auto"/>
            <w:bottom w:val="none" w:sz="0" w:space="0" w:color="auto"/>
            <w:right w:val="none" w:sz="0" w:space="0" w:color="auto"/>
          </w:divBdr>
        </w:div>
        <w:div w:id="1403678431">
          <w:marLeft w:val="0"/>
          <w:marRight w:val="0"/>
          <w:marTop w:val="0"/>
          <w:marBottom w:val="0"/>
          <w:divBdr>
            <w:top w:val="none" w:sz="0" w:space="0" w:color="auto"/>
            <w:left w:val="none" w:sz="0" w:space="0" w:color="auto"/>
            <w:bottom w:val="none" w:sz="0" w:space="0" w:color="auto"/>
            <w:right w:val="none" w:sz="0" w:space="0" w:color="auto"/>
          </w:divBdr>
        </w:div>
        <w:div w:id="2050257134">
          <w:marLeft w:val="0"/>
          <w:marRight w:val="0"/>
          <w:marTop w:val="0"/>
          <w:marBottom w:val="0"/>
          <w:divBdr>
            <w:top w:val="none" w:sz="0" w:space="0" w:color="auto"/>
            <w:left w:val="none" w:sz="0" w:space="0" w:color="auto"/>
            <w:bottom w:val="none" w:sz="0" w:space="0" w:color="auto"/>
            <w:right w:val="none" w:sz="0" w:space="0" w:color="auto"/>
          </w:divBdr>
        </w:div>
        <w:div w:id="2131238056">
          <w:marLeft w:val="0"/>
          <w:marRight w:val="0"/>
          <w:marTop w:val="0"/>
          <w:marBottom w:val="0"/>
          <w:divBdr>
            <w:top w:val="none" w:sz="0" w:space="0" w:color="auto"/>
            <w:left w:val="none" w:sz="0" w:space="0" w:color="auto"/>
            <w:bottom w:val="none" w:sz="0" w:space="0" w:color="auto"/>
            <w:right w:val="none" w:sz="0" w:space="0" w:color="auto"/>
          </w:divBdr>
        </w:div>
        <w:div w:id="1559128306">
          <w:marLeft w:val="0"/>
          <w:marRight w:val="0"/>
          <w:marTop w:val="0"/>
          <w:marBottom w:val="0"/>
          <w:divBdr>
            <w:top w:val="none" w:sz="0" w:space="0" w:color="auto"/>
            <w:left w:val="none" w:sz="0" w:space="0" w:color="auto"/>
            <w:bottom w:val="none" w:sz="0" w:space="0" w:color="auto"/>
            <w:right w:val="none" w:sz="0" w:space="0" w:color="auto"/>
          </w:divBdr>
        </w:div>
        <w:div w:id="713652005">
          <w:marLeft w:val="0"/>
          <w:marRight w:val="0"/>
          <w:marTop w:val="0"/>
          <w:marBottom w:val="0"/>
          <w:divBdr>
            <w:top w:val="none" w:sz="0" w:space="0" w:color="auto"/>
            <w:left w:val="none" w:sz="0" w:space="0" w:color="auto"/>
            <w:bottom w:val="none" w:sz="0" w:space="0" w:color="auto"/>
            <w:right w:val="none" w:sz="0" w:space="0" w:color="auto"/>
          </w:divBdr>
        </w:div>
        <w:div w:id="1621915263">
          <w:marLeft w:val="0"/>
          <w:marRight w:val="0"/>
          <w:marTop w:val="0"/>
          <w:marBottom w:val="0"/>
          <w:divBdr>
            <w:top w:val="none" w:sz="0" w:space="0" w:color="auto"/>
            <w:left w:val="none" w:sz="0" w:space="0" w:color="auto"/>
            <w:bottom w:val="none" w:sz="0" w:space="0" w:color="auto"/>
            <w:right w:val="none" w:sz="0" w:space="0" w:color="auto"/>
          </w:divBdr>
        </w:div>
        <w:div w:id="141848180">
          <w:marLeft w:val="0"/>
          <w:marRight w:val="0"/>
          <w:marTop w:val="0"/>
          <w:marBottom w:val="0"/>
          <w:divBdr>
            <w:top w:val="none" w:sz="0" w:space="0" w:color="auto"/>
            <w:left w:val="none" w:sz="0" w:space="0" w:color="auto"/>
            <w:bottom w:val="none" w:sz="0" w:space="0" w:color="auto"/>
            <w:right w:val="none" w:sz="0" w:space="0" w:color="auto"/>
          </w:divBdr>
        </w:div>
        <w:div w:id="87822057">
          <w:marLeft w:val="0"/>
          <w:marRight w:val="0"/>
          <w:marTop w:val="0"/>
          <w:marBottom w:val="0"/>
          <w:divBdr>
            <w:top w:val="none" w:sz="0" w:space="0" w:color="auto"/>
            <w:left w:val="none" w:sz="0" w:space="0" w:color="auto"/>
            <w:bottom w:val="none" w:sz="0" w:space="0" w:color="auto"/>
            <w:right w:val="none" w:sz="0" w:space="0" w:color="auto"/>
          </w:divBdr>
        </w:div>
        <w:div w:id="270673286">
          <w:marLeft w:val="0"/>
          <w:marRight w:val="0"/>
          <w:marTop w:val="0"/>
          <w:marBottom w:val="0"/>
          <w:divBdr>
            <w:top w:val="none" w:sz="0" w:space="0" w:color="auto"/>
            <w:left w:val="none" w:sz="0" w:space="0" w:color="auto"/>
            <w:bottom w:val="none" w:sz="0" w:space="0" w:color="auto"/>
            <w:right w:val="none" w:sz="0" w:space="0" w:color="auto"/>
          </w:divBdr>
        </w:div>
        <w:div w:id="323165114">
          <w:marLeft w:val="0"/>
          <w:marRight w:val="0"/>
          <w:marTop w:val="0"/>
          <w:marBottom w:val="0"/>
          <w:divBdr>
            <w:top w:val="none" w:sz="0" w:space="0" w:color="auto"/>
            <w:left w:val="none" w:sz="0" w:space="0" w:color="auto"/>
            <w:bottom w:val="none" w:sz="0" w:space="0" w:color="auto"/>
            <w:right w:val="none" w:sz="0" w:space="0" w:color="auto"/>
          </w:divBdr>
        </w:div>
        <w:div w:id="932512707">
          <w:marLeft w:val="0"/>
          <w:marRight w:val="0"/>
          <w:marTop w:val="0"/>
          <w:marBottom w:val="0"/>
          <w:divBdr>
            <w:top w:val="none" w:sz="0" w:space="0" w:color="auto"/>
            <w:left w:val="none" w:sz="0" w:space="0" w:color="auto"/>
            <w:bottom w:val="none" w:sz="0" w:space="0" w:color="auto"/>
            <w:right w:val="none" w:sz="0" w:space="0" w:color="auto"/>
          </w:divBdr>
        </w:div>
        <w:div w:id="1299913572">
          <w:marLeft w:val="0"/>
          <w:marRight w:val="0"/>
          <w:marTop w:val="0"/>
          <w:marBottom w:val="0"/>
          <w:divBdr>
            <w:top w:val="none" w:sz="0" w:space="0" w:color="auto"/>
            <w:left w:val="none" w:sz="0" w:space="0" w:color="auto"/>
            <w:bottom w:val="none" w:sz="0" w:space="0" w:color="auto"/>
            <w:right w:val="none" w:sz="0" w:space="0" w:color="auto"/>
          </w:divBdr>
        </w:div>
        <w:div w:id="1329749742">
          <w:marLeft w:val="0"/>
          <w:marRight w:val="0"/>
          <w:marTop w:val="0"/>
          <w:marBottom w:val="0"/>
          <w:divBdr>
            <w:top w:val="none" w:sz="0" w:space="0" w:color="auto"/>
            <w:left w:val="none" w:sz="0" w:space="0" w:color="auto"/>
            <w:bottom w:val="none" w:sz="0" w:space="0" w:color="auto"/>
            <w:right w:val="none" w:sz="0" w:space="0" w:color="auto"/>
          </w:divBdr>
        </w:div>
        <w:div w:id="2050760691">
          <w:marLeft w:val="0"/>
          <w:marRight w:val="0"/>
          <w:marTop w:val="0"/>
          <w:marBottom w:val="0"/>
          <w:divBdr>
            <w:top w:val="none" w:sz="0" w:space="0" w:color="auto"/>
            <w:left w:val="none" w:sz="0" w:space="0" w:color="auto"/>
            <w:bottom w:val="none" w:sz="0" w:space="0" w:color="auto"/>
            <w:right w:val="none" w:sz="0" w:space="0" w:color="auto"/>
          </w:divBdr>
        </w:div>
        <w:div w:id="777412242">
          <w:marLeft w:val="0"/>
          <w:marRight w:val="0"/>
          <w:marTop w:val="0"/>
          <w:marBottom w:val="0"/>
          <w:divBdr>
            <w:top w:val="none" w:sz="0" w:space="0" w:color="auto"/>
            <w:left w:val="none" w:sz="0" w:space="0" w:color="auto"/>
            <w:bottom w:val="none" w:sz="0" w:space="0" w:color="auto"/>
            <w:right w:val="none" w:sz="0" w:space="0" w:color="auto"/>
          </w:divBdr>
        </w:div>
        <w:div w:id="883101937">
          <w:marLeft w:val="0"/>
          <w:marRight w:val="0"/>
          <w:marTop w:val="0"/>
          <w:marBottom w:val="0"/>
          <w:divBdr>
            <w:top w:val="none" w:sz="0" w:space="0" w:color="auto"/>
            <w:left w:val="none" w:sz="0" w:space="0" w:color="auto"/>
            <w:bottom w:val="none" w:sz="0" w:space="0" w:color="auto"/>
            <w:right w:val="none" w:sz="0" w:space="0" w:color="auto"/>
          </w:divBdr>
        </w:div>
        <w:div w:id="2090343089">
          <w:marLeft w:val="0"/>
          <w:marRight w:val="0"/>
          <w:marTop w:val="0"/>
          <w:marBottom w:val="0"/>
          <w:divBdr>
            <w:top w:val="none" w:sz="0" w:space="0" w:color="auto"/>
            <w:left w:val="none" w:sz="0" w:space="0" w:color="auto"/>
            <w:bottom w:val="none" w:sz="0" w:space="0" w:color="auto"/>
            <w:right w:val="none" w:sz="0" w:space="0" w:color="auto"/>
          </w:divBdr>
        </w:div>
        <w:div w:id="211314058">
          <w:marLeft w:val="0"/>
          <w:marRight w:val="0"/>
          <w:marTop w:val="0"/>
          <w:marBottom w:val="0"/>
          <w:divBdr>
            <w:top w:val="none" w:sz="0" w:space="0" w:color="auto"/>
            <w:left w:val="none" w:sz="0" w:space="0" w:color="auto"/>
            <w:bottom w:val="none" w:sz="0" w:space="0" w:color="auto"/>
            <w:right w:val="none" w:sz="0" w:space="0" w:color="auto"/>
          </w:divBdr>
        </w:div>
        <w:div w:id="1932734870">
          <w:marLeft w:val="0"/>
          <w:marRight w:val="0"/>
          <w:marTop w:val="0"/>
          <w:marBottom w:val="0"/>
          <w:divBdr>
            <w:top w:val="none" w:sz="0" w:space="0" w:color="auto"/>
            <w:left w:val="none" w:sz="0" w:space="0" w:color="auto"/>
            <w:bottom w:val="none" w:sz="0" w:space="0" w:color="auto"/>
            <w:right w:val="none" w:sz="0" w:space="0" w:color="auto"/>
          </w:divBdr>
        </w:div>
        <w:div w:id="1336372444">
          <w:marLeft w:val="0"/>
          <w:marRight w:val="0"/>
          <w:marTop w:val="0"/>
          <w:marBottom w:val="0"/>
          <w:divBdr>
            <w:top w:val="none" w:sz="0" w:space="0" w:color="auto"/>
            <w:left w:val="none" w:sz="0" w:space="0" w:color="auto"/>
            <w:bottom w:val="none" w:sz="0" w:space="0" w:color="auto"/>
            <w:right w:val="none" w:sz="0" w:space="0" w:color="auto"/>
          </w:divBdr>
        </w:div>
        <w:div w:id="1286351666">
          <w:marLeft w:val="0"/>
          <w:marRight w:val="0"/>
          <w:marTop w:val="0"/>
          <w:marBottom w:val="0"/>
          <w:divBdr>
            <w:top w:val="none" w:sz="0" w:space="0" w:color="auto"/>
            <w:left w:val="none" w:sz="0" w:space="0" w:color="auto"/>
            <w:bottom w:val="none" w:sz="0" w:space="0" w:color="auto"/>
            <w:right w:val="none" w:sz="0" w:space="0" w:color="auto"/>
          </w:divBdr>
        </w:div>
        <w:div w:id="569929816">
          <w:marLeft w:val="0"/>
          <w:marRight w:val="0"/>
          <w:marTop w:val="0"/>
          <w:marBottom w:val="0"/>
          <w:divBdr>
            <w:top w:val="none" w:sz="0" w:space="0" w:color="auto"/>
            <w:left w:val="none" w:sz="0" w:space="0" w:color="auto"/>
            <w:bottom w:val="none" w:sz="0" w:space="0" w:color="auto"/>
            <w:right w:val="none" w:sz="0" w:space="0" w:color="auto"/>
          </w:divBdr>
        </w:div>
        <w:div w:id="207693333">
          <w:marLeft w:val="0"/>
          <w:marRight w:val="0"/>
          <w:marTop w:val="0"/>
          <w:marBottom w:val="0"/>
          <w:divBdr>
            <w:top w:val="none" w:sz="0" w:space="0" w:color="auto"/>
            <w:left w:val="none" w:sz="0" w:space="0" w:color="auto"/>
            <w:bottom w:val="none" w:sz="0" w:space="0" w:color="auto"/>
            <w:right w:val="none" w:sz="0" w:space="0" w:color="auto"/>
          </w:divBdr>
        </w:div>
        <w:div w:id="62870855">
          <w:marLeft w:val="0"/>
          <w:marRight w:val="0"/>
          <w:marTop w:val="0"/>
          <w:marBottom w:val="0"/>
          <w:divBdr>
            <w:top w:val="none" w:sz="0" w:space="0" w:color="auto"/>
            <w:left w:val="none" w:sz="0" w:space="0" w:color="auto"/>
            <w:bottom w:val="none" w:sz="0" w:space="0" w:color="auto"/>
            <w:right w:val="none" w:sz="0" w:space="0" w:color="auto"/>
          </w:divBdr>
        </w:div>
        <w:div w:id="615329478">
          <w:marLeft w:val="0"/>
          <w:marRight w:val="0"/>
          <w:marTop w:val="0"/>
          <w:marBottom w:val="0"/>
          <w:divBdr>
            <w:top w:val="none" w:sz="0" w:space="0" w:color="auto"/>
            <w:left w:val="none" w:sz="0" w:space="0" w:color="auto"/>
            <w:bottom w:val="none" w:sz="0" w:space="0" w:color="auto"/>
            <w:right w:val="none" w:sz="0" w:space="0" w:color="auto"/>
          </w:divBdr>
        </w:div>
        <w:div w:id="2368769">
          <w:marLeft w:val="0"/>
          <w:marRight w:val="0"/>
          <w:marTop w:val="0"/>
          <w:marBottom w:val="0"/>
          <w:divBdr>
            <w:top w:val="none" w:sz="0" w:space="0" w:color="auto"/>
            <w:left w:val="none" w:sz="0" w:space="0" w:color="auto"/>
            <w:bottom w:val="none" w:sz="0" w:space="0" w:color="auto"/>
            <w:right w:val="none" w:sz="0" w:space="0" w:color="auto"/>
          </w:divBdr>
        </w:div>
      </w:divsChild>
    </w:div>
    <w:div w:id="816190935">
      <w:bodyDiv w:val="1"/>
      <w:marLeft w:val="0"/>
      <w:marRight w:val="0"/>
      <w:marTop w:val="0"/>
      <w:marBottom w:val="0"/>
      <w:divBdr>
        <w:top w:val="none" w:sz="0" w:space="0" w:color="auto"/>
        <w:left w:val="none" w:sz="0" w:space="0" w:color="auto"/>
        <w:bottom w:val="none" w:sz="0" w:space="0" w:color="auto"/>
        <w:right w:val="none" w:sz="0" w:space="0" w:color="auto"/>
      </w:divBdr>
    </w:div>
    <w:div w:id="1388608697">
      <w:bodyDiv w:val="1"/>
      <w:marLeft w:val="0"/>
      <w:marRight w:val="0"/>
      <w:marTop w:val="0"/>
      <w:marBottom w:val="0"/>
      <w:divBdr>
        <w:top w:val="none" w:sz="0" w:space="0" w:color="auto"/>
        <w:left w:val="none" w:sz="0" w:space="0" w:color="auto"/>
        <w:bottom w:val="none" w:sz="0" w:space="0" w:color="auto"/>
        <w:right w:val="none" w:sz="0" w:space="0" w:color="auto"/>
      </w:divBdr>
      <w:divsChild>
        <w:div w:id="1878003251">
          <w:marLeft w:val="0"/>
          <w:marRight w:val="0"/>
          <w:marTop w:val="0"/>
          <w:marBottom w:val="0"/>
          <w:divBdr>
            <w:top w:val="none" w:sz="0" w:space="0" w:color="auto"/>
            <w:left w:val="none" w:sz="0" w:space="0" w:color="auto"/>
            <w:bottom w:val="none" w:sz="0" w:space="0" w:color="auto"/>
            <w:right w:val="none" w:sz="0" w:space="0" w:color="auto"/>
          </w:divBdr>
        </w:div>
        <w:div w:id="1358192271">
          <w:marLeft w:val="0"/>
          <w:marRight w:val="0"/>
          <w:marTop w:val="0"/>
          <w:marBottom w:val="0"/>
          <w:divBdr>
            <w:top w:val="none" w:sz="0" w:space="0" w:color="auto"/>
            <w:left w:val="none" w:sz="0" w:space="0" w:color="auto"/>
            <w:bottom w:val="none" w:sz="0" w:space="0" w:color="auto"/>
            <w:right w:val="none" w:sz="0" w:space="0" w:color="auto"/>
          </w:divBdr>
        </w:div>
        <w:div w:id="1189176431">
          <w:marLeft w:val="0"/>
          <w:marRight w:val="0"/>
          <w:marTop w:val="0"/>
          <w:marBottom w:val="0"/>
          <w:divBdr>
            <w:top w:val="none" w:sz="0" w:space="0" w:color="auto"/>
            <w:left w:val="none" w:sz="0" w:space="0" w:color="auto"/>
            <w:bottom w:val="none" w:sz="0" w:space="0" w:color="auto"/>
            <w:right w:val="none" w:sz="0" w:space="0" w:color="auto"/>
          </w:divBdr>
        </w:div>
        <w:div w:id="773984065">
          <w:marLeft w:val="0"/>
          <w:marRight w:val="0"/>
          <w:marTop w:val="0"/>
          <w:marBottom w:val="0"/>
          <w:divBdr>
            <w:top w:val="none" w:sz="0" w:space="0" w:color="auto"/>
            <w:left w:val="none" w:sz="0" w:space="0" w:color="auto"/>
            <w:bottom w:val="none" w:sz="0" w:space="0" w:color="auto"/>
            <w:right w:val="none" w:sz="0" w:space="0" w:color="auto"/>
          </w:divBdr>
        </w:div>
        <w:div w:id="1032809136">
          <w:marLeft w:val="0"/>
          <w:marRight w:val="0"/>
          <w:marTop w:val="0"/>
          <w:marBottom w:val="0"/>
          <w:divBdr>
            <w:top w:val="none" w:sz="0" w:space="0" w:color="auto"/>
            <w:left w:val="none" w:sz="0" w:space="0" w:color="auto"/>
            <w:bottom w:val="none" w:sz="0" w:space="0" w:color="auto"/>
            <w:right w:val="none" w:sz="0" w:space="0" w:color="auto"/>
          </w:divBdr>
        </w:div>
        <w:div w:id="2020690513">
          <w:marLeft w:val="0"/>
          <w:marRight w:val="0"/>
          <w:marTop w:val="0"/>
          <w:marBottom w:val="0"/>
          <w:divBdr>
            <w:top w:val="none" w:sz="0" w:space="0" w:color="auto"/>
            <w:left w:val="none" w:sz="0" w:space="0" w:color="auto"/>
            <w:bottom w:val="none" w:sz="0" w:space="0" w:color="auto"/>
            <w:right w:val="none" w:sz="0" w:space="0" w:color="auto"/>
          </w:divBdr>
        </w:div>
        <w:div w:id="456141080">
          <w:marLeft w:val="0"/>
          <w:marRight w:val="0"/>
          <w:marTop w:val="0"/>
          <w:marBottom w:val="0"/>
          <w:divBdr>
            <w:top w:val="none" w:sz="0" w:space="0" w:color="auto"/>
            <w:left w:val="none" w:sz="0" w:space="0" w:color="auto"/>
            <w:bottom w:val="none" w:sz="0" w:space="0" w:color="auto"/>
            <w:right w:val="none" w:sz="0" w:space="0" w:color="auto"/>
          </w:divBdr>
        </w:div>
        <w:div w:id="92752893">
          <w:marLeft w:val="0"/>
          <w:marRight w:val="0"/>
          <w:marTop w:val="0"/>
          <w:marBottom w:val="0"/>
          <w:divBdr>
            <w:top w:val="none" w:sz="0" w:space="0" w:color="auto"/>
            <w:left w:val="none" w:sz="0" w:space="0" w:color="auto"/>
            <w:bottom w:val="none" w:sz="0" w:space="0" w:color="auto"/>
            <w:right w:val="none" w:sz="0" w:space="0" w:color="auto"/>
          </w:divBdr>
        </w:div>
        <w:div w:id="1433545568">
          <w:marLeft w:val="0"/>
          <w:marRight w:val="0"/>
          <w:marTop w:val="0"/>
          <w:marBottom w:val="0"/>
          <w:divBdr>
            <w:top w:val="none" w:sz="0" w:space="0" w:color="auto"/>
            <w:left w:val="none" w:sz="0" w:space="0" w:color="auto"/>
            <w:bottom w:val="none" w:sz="0" w:space="0" w:color="auto"/>
            <w:right w:val="none" w:sz="0" w:space="0" w:color="auto"/>
          </w:divBdr>
        </w:div>
        <w:div w:id="415831165">
          <w:marLeft w:val="0"/>
          <w:marRight w:val="0"/>
          <w:marTop w:val="0"/>
          <w:marBottom w:val="0"/>
          <w:divBdr>
            <w:top w:val="none" w:sz="0" w:space="0" w:color="auto"/>
            <w:left w:val="none" w:sz="0" w:space="0" w:color="auto"/>
            <w:bottom w:val="none" w:sz="0" w:space="0" w:color="auto"/>
            <w:right w:val="none" w:sz="0" w:space="0" w:color="auto"/>
          </w:divBdr>
        </w:div>
        <w:div w:id="38166321">
          <w:marLeft w:val="0"/>
          <w:marRight w:val="0"/>
          <w:marTop w:val="0"/>
          <w:marBottom w:val="0"/>
          <w:divBdr>
            <w:top w:val="none" w:sz="0" w:space="0" w:color="auto"/>
            <w:left w:val="none" w:sz="0" w:space="0" w:color="auto"/>
            <w:bottom w:val="none" w:sz="0" w:space="0" w:color="auto"/>
            <w:right w:val="none" w:sz="0" w:space="0" w:color="auto"/>
          </w:divBdr>
        </w:div>
        <w:div w:id="1915357804">
          <w:marLeft w:val="0"/>
          <w:marRight w:val="0"/>
          <w:marTop w:val="0"/>
          <w:marBottom w:val="0"/>
          <w:divBdr>
            <w:top w:val="none" w:sz="0" w:space="0" w:color="auto"/>
            <w:left w:val="none" w:sz="0" w:space="0" w:color="auto"/>
            <w:bottom w:val="none" w:sz="0" w:space="0" w:color="auto"/>
            <w:right w:val="none" w:sz="0" w:space="0" w:color="auto"/>
          </w:divBdr>
        </w:div>
        <w:div w:id="1609311121">
          <w:marLeft w:val="0"/>
          <w:marRight w:val="0"/>
          <w:marTop w:val="0"/>
          <w:marBottom w:val="0"/>
          <w:divBdr>
            <w:top w:val="none" w:sz="0" w:space="0" w:color="auto"/>
            <w:left w:val="none" w:sz="0" w:space="0" w:color="auto"/>
            <w:bottom w:val="none" w:sz="0" w:space="0" w:color="auto"/>
            <w:right w:val="none" w:sz="0" w:space="0" w:color="auto"/>
          </w:divBdr>
        </w:div>
        <w:div w:id="2102408864">
          <w:marLeft w:val="0"/>
          <w:marRight w:val="0"/>
          <w:marTop w:val="0"/>
          <w:marBottom w:val="0"/>
          <w:divBdr>
            <w:top w:val="none" w:sz="0" w:space="0" w:color="auto"/>
            <w:left w:val="none" w:sz="0" w:space="0" w:color="auto"/>
            <w:bottom w:val="none" w:sz="0" w:space="0" w:color="auto"/>
            <w:right w:val="none" w:sz="0" w:space="0" w:color="auto"/>
          </w:divBdr>
        </w:div>
        <w:div w:id="686640898">
          <w:marLeft w:val="0"/>
          <w:marRight w:val="0"/>
          <w:marTop w:val="0"/>
          <w:marBottom w:val="0"/>
          <w:divBdr>
            <w:top w:val="none" w:sz="0" w:space="0" w:color="auto"/>
            <w:left w:val="none" w:sz="0" w:space="0" w:color="auto"/>
            <w:bottom w:val="none" w:sz="0" w:space="0" w:color="auto"/>
            <w:right w:val="none" w:sz="0" w:space="0" w:color="auto"/>
          </w:divBdr>
        </w:div>
        <w:div w:id="662396753">
          <w:marLeft w:val="0"/>
          <w:marRight w:val="0"/>
          <w:marTop w:val="0"/>
          <w:marBottom w:val="0"/>
          <w:divBdr>
            <w:top w:val="none" w:sz="0" w:space="0" w:color="auto"/>
            <w:left w:val="none" w:sz="0" w:space="0" w:color="auto"/>
            <w:bottom w:val="none" w:sz="0" w:space="0" w:color="auto"/>
            <w:right w:val="none" w:sz="0" w:space="0" w:color="auto"/>
          </w:divBdr>
        </w:div>
        <w:div w:id="1105080889">
          <w:marLeft w:val="0"/>
          <w:marRight w:val="0"/>
          <w:marTop w:val="0"/>
          <w:marBottom w:val="0"/>
          <w:divBdr>
            <w:top w:val="none" w:sz="0" w:space="0" w:color="auto"/>
            <w:left w:val="none" w:sz="0" w:space="0" w:color="auto"/>
            <w:bottom w:val="none" w:sz="0" w:space="0" w:color="auto"/>
            <w:right w:val="none" w:sz="0" w:space="0" w:color="auto"/>
          </w:divBdr>
        </w:div>
        <w:div w:id="1084036392">
          <w:marLeft w:val="0"/>
          <w:marRight w:val="0"/>
          <w:marTop w:val="0"/>
          <w:marBottom w:val="0"/>
          <w:divBdr>
            <w:top w:val="none" w:sz="0" w:space="0" w:color="auto"/>
            <w:left w:val="none" w:sz="0" w:space="0" w:color="auto"/>
            <w:bottom w:val="none" w:sz="0" w:space="0" w:color="auto"/>
            <w:right w:val="none" w:sz="0" w:space="0" w:color="auto"/>
          </w:divBdr>
        </w:div>
        <w:div w:id="821311687">
          <w:marLeft w:val="0"/>
          <w:marRight w:val="0"/>
          <w:marTop w:val="0"/>
          <w:marBottom w:val="0"/>
          <w:divBdr>
            <w:top w:val="none" w:sz="0" w:space="0" w:color="auto"/>
            <w:left w:val="none" w:sz="0" w:space="0" w:color="auto"/>
            <w:bottom w:val="none" w:sz="0" w:space="0" w:color="auto"/>
            <w:right w:val="none" w:sz="0" w:space="0" w:color="auto"/>
          </w:divBdr>
        </w:div>
        <w:div w:id="1409618269">
          <w:marLeft w:val="0"/>
          <w:marRight w:val="0"/>
          <w:marTop w:val="0"/>
          <w:marBottom w:val="0"/>
          <w:divBdr>
            <w:top w:val="none" w:sz="0" w:space="0" w:color="auto"/>
            <w:left w:val="none" w:sz="0" w:space="0" w:color="auto"/>
            <w:bottom w:val="none" w:sz="0" w:space="0" w:color="auto"/>
            <w:right w:val="none" w:sz="0" w:space="0" w:color="auto"/>
          </w:divBdr>
        </w:div>
        <w:div w:id="953898959">
          <w:marLeft w:val="0"/>
          <w:marRight w:val="0"/>
          <w:marTop w:val="0"/>
          <w:marBottom w:val="0"/>
          <w:divBdr>
            <w:top w:val="none" w:sz="0" w:space="0" w:color="auto"/>
            <w:left w:val="none" w:sz="0" w:space="0" w:color="auto"/>
            <w:bottom w:val="none" w:sz="0" w:space="0" w:color="auto"/>
            <w:right w:val="none" w:sz="0" w:space="0" w:color="auto"/>
          </w:divBdr>
        </w:div>
        <w:div w:id="1164056004">
          <w:marLeft w:val="0"/>
          <w:marRight w:val="0"/>
          <w:marTop w:val="0"/>
          <w:marBottom w:val="0"/>
          <w:divBdr>
            <w:top w:val="none" w:sz="0" w:space="0" w:color="auto"/>
            <w:left w:val="none" w:sz="0" w:space="0" w:color="auto"/>
            <w:bottom w:val="none" w:sz="0" w:space="0" w:color="auto"/>
            <w:right w:val="none" w:sz="0" w:space="0" w:color="auto"/>
          </w:divBdr>
        </w:div>
        <w:div w:id="146090520">
          <w:marLeft w:val="0"/>
          <w:marRight w:val="0"/>
          <w:marTop w:val="0"/>
          <w:marBottom w:val="0"/>
          <w:divBdr>
            <w:top w:val="none" w:sz="0" w:space="0" w:color="auto"/>
            <w:left w:val="none" w:sz="0" w:space="0" w:color="auto"/>
            <w:bottom w:val="none" w:sz="0" w:space="0" w:color="auto"/>
            <w:right w:val="none" w:sz="0" w:space="0" w:color="auto"/>
          </w:divBdr>
        </w:div>
        <w:div w:id="1853954556">
          <w:marLeft w:val="0"/>
          <w:marRight w:val="0"/>
          <w:marTop w:val="0"/>
          <w:marBottom w:val="0"/>
          <w:divBdr>
            <w:top w:val="none" w:sz="0" w:space="0" w:color="auto"/>
            <w:left w:val="none" w:sz="0" w:space="0" w:color="auto"/>
            <w:bottom w:val="none" w:sz="0" w:space="0" w:color="auto"/>
            <w:right w:val="none" w:sz="0" w:space="0" w:color="auto"/>
          </w:divBdr>
        </w:div>
        <w:div w:id="1856649355">
          <w:marLeft w:val="0"/>
          <w:marRight w:val="0"/>
          <w:marTop w:val="0"/>
          <w:marBottom w:val="0"/>
          <w:divBdr>
            <w:top w:val="none" w:sz="0" w:space="0" w:color="auto"/>
            <w:left w:val="none" w:sz="0" w:space="0" w:color="auto"/>
            <w:bottom w:val="none" w:sz="0" w:space="0" w:color="auto"/>
            <w:right w:val="none" w:sz="0" w:space="0" w:color="auto"/>
          </w:divBdr>
        </w:div>
        <w:div w:id="870385325">
          <w:marLeft w:val="0"/>
          <w:marRight w:val="0"/>
          <w:marTop w:val="0"/>
          <w:marBottom w:val="0"/>
          <w:divBdr>
            <w:top w:val="none" w:sz="0" w:space="0" w:color="auto"/>
            <w:left w:val="none" w:sz="0" w:space="0" w:color="auto"/>
            <w:bottom w:val="none" w:sz="0" w:space="0" w:color="auto"/>
            <w:right w:val="none" w:sz="0" w:space="0" w:color="auto"/>
          </w:divBdr>
        </w:div>
        <w:div w:id="569468041">
          <w:marLeft w:val="0"/>
          <w:marRight w:val="0"/>
          <w:marTop w:val="0"/>
          <w:marBottom w:val="0"/>
          <w:divBdr>
            <w:top w:val="none" w:sz="0" w:space="0" w:color="auto"/>
            <w:left w:val="none" w:sz="0" w:space="0" w:color="auto"/>
            <w:bottom w:val="none" w:sz="0" w:space="0" w:color="auto"/>
            <w:right w:val="none" w:sz="0" w:space="0" w:color="auto"/>
          </w:divBdr>
        </w:div>
        <w:div w:id="1904244946">
          <w:marLeft w:val="0"/>
          <w:marRight w:val="0"/>
          <w:marTop w:val="0"/>
          <w:marBottom w:val="0"/>
          <w:divBdr>
            <w:top w:val="none" w:sz="0" w:space="0" w:color="auto"/>
            <w:left w:val="none" w:sz="0" w:space="0" w:color="auto"/>
            <w:bottom w:val="none" w:sz="0" w:space="0" w:color="auto"/>
            <w:right w:val="none" w:sz="0" w:space="0" w:color="auto"/>
          </w:divBdr>
        </w:div>
        <w:div w:id="1291210905">
          <w:marLeft w:val="0"/>
          <w:marRight w:val="0"/>
          <w:marTop w:val="0"/>
          <w:marBottom w:val="0"/>
          <w:divBdr>
            <w:top w:val="none" w:sz="0" w:space="0" w:color="auto"/>
            <w:left w:val="none" w:sz="0" w:space="0" w:color="auto"/>
            <w:bottom w:val="none" w:sz="0" w:space="0" w:color="auto"/>
            <w:right w:val="none" w:sz="0" w:space="0" w:color="auto"/>
          </w:divBdr>
        </w:div>
        <w:div w:id="261376184">
          <w:marLeft w:val="0"/>
          <w:marRight w:val="0"/>
          <w:marTop w:val="0"/>
          <w:marBottom w:val="0"/>
          <w:divBdr>
            <w:top w:val="none" w:sz="0" w:space="0" w:color="auto"/>
            <w:left w:val="none" w:sz="0" w:space="0" w:color="auto"/>
            <w:bottom w:val="none" w:sz="0" w:space="0" w:color="auto"/>
            <w:right w:val="none" w:sz="0" w:space="0" w:color="auto"/>
          </w:divBdr>
        </w:div>
        <w:div w:id="1772123186">
          <w:marLeft w:val="0"/>
          <w:marRight w:val="0"/>
          <w:marTop w:val="0"/>
          <w:marBottom w:val="0"/>
          <w:divBdr>
            <w:top w:val="none" w:sz="0" w:space="0" w:color="auto"/>
            <w:left w:val="none" w:sz="0" w:space="0" w:color="auto"/>
            <w:bottom w:val="none" w:sz="0" w:space="0" w:color="auto"/>
            <w:right w:val="none" w:sz="0" w:space="0" w:color="auto"/>
          </w:divBdr>
        </w:div>
        <w:div w:id="1268391480">
          <w:marLeft w:val="0"/>
          <w:marRight w:val="0"/>
          <w:marTop w:val="0"/>
          <w:marBottom w:val="0"/>
          <w:divBdr>
            <w:top w:val="none" w:sz="0" w:space="0" w:color="auto"/>
            <w:left w:val="none" w:sz="0" w:space="0" w:color="auto"/>
            <w:bottom w:val="none" w:sz="0" w:space="0" w:color="auto"/>
            <w:right w:val="none" w:sz="0" w:space="0" w:color="auto"/>
          </w:divBdr>
        </w:div>
        <w:div w:id="1526098554">
          <w:marLeft w:val="0"/>
          <w:marRight w:val="0"/>
          <w:marTop w:val="0"/>
          <w:marBottom w:val="0"/>
          <w:divBdr>
            <w:top w:val="none" w:sz="0" w:space="0" w:color="auto"/>
            <w:left w:val="none" w:sz="0" w:space="0" w:color="auto"/>
            <w:bottom w:val="none" w:sz="0" w:space="0" w:color="auto"/>
            <w:right w:val="none" w:sz="0" w:space="0" w:color="auto"/>
          </w:divBdr>
        </w:div>
        <w:div w:id="2015499548">
          <w:marLeft w:val="0"/>
          <w:marRight w:val="0"/>
          <w:marTop w:val="0"/>
          <w:marBottom w:val="0"/>
          <w:divBdr>
            <w:top w:val="none" w:sz="0" w:space="0" w:color="auto"/>
            <w:left w:val="none" w:sz="0" w:space="0" w:color="auto"/>
            <w:bottom w:val="none" w:sz="0" w:space="0" w:color="auto"/>
            <w:right w:val="none" w:sz="0" w:space="0" w:color="auto"/>
          </w:divBdr>
        </w:div>
        <w:div w:id="1666585569">
          <w:marLeft w:val="0"/>
          <w:marRight w:val="0"/>
          <w:marTop w:val="0"/>
          <w:marBottom w:val="0"/>
          <w:divBdr>
            <w:top w:val="none" w:sz="0" w:space="0" w:color="auto"/>
            <w:left w:val="none" w:sz="0" w:space="0" w:color="auto"/>
            <w:bottom w:val="none" w:sz="0" w:space="0" w:color="auto"/>
            <w:right w:val="none" w:sz="0" w:space="0" w:color="auto"/>
          </w:divBdr>
        </w:div>
        <w:div w:id="702941008">
          <w:marLeft w:val="0"/>
          <w:marRight w:val="0"/>
          <w:marTop w:val="0"/>
          <w:marBottom w:val="0"/>
          <w:divBdr>
            <w:top w:val="none" w:sz="0" w:space="0" w:color="auto"/>
            <w:left w:val="none" w:sz="0" w:space="0" w:color="auto"/>
            <w:bottom w:val="none" w:sz="0" w:space="0" w:color="auto"/>
            <w:right w:val="none" w:sz="0" w:space="0" w:color="auto"/>
          </w:divBdr>
        </w:div>
        <w:div w:id="592397719">
          <w:marLeft w:val="0"/>
          <w:marRight w:val="0"/>
          <w:marTop w:val="0"/>
          <w:marBottom w:val="0"/>
          <w:divBdr>
            <w:top w:val="none" w:sz="0" w:space="0" w:color="auto"/>
            <w:left w:val="none" w:sz="0" w:space="0" w:color="auto"/>
            <w:bottom w:val="none" w:sz="0" w:space="0" w:color="auto"/>
            <w:right w:val="none" w:sz="0" w:space="0" w:color="auto"/>
          </w:divBdr>
        </w:div>
        <w:div w:id="1622027751">
          <w:marLeft w:val="0"/>
          <w:marRight w:val="0"/>
          <w:marTop w:val="0"/>
          <w:marBottom w:val="0"/>
          <w:divBdr>
            <w:top w:val="none" w:sz="0" w:space="0" w:color="auto"/>
            <w:left w:val="none" w:sz="0" w:space="0" w:color="auto"/>
            <w:bottom w:val="none" w:sz="0" w:space="0" w:color="auto"/>
            <w:right w:val="none" w:sz="0" w:space="0" w:color="auto"/>
          </w:divBdr>
        </w:div>
        <w:div w:id="2095592241">
          <w:marLeft w:val="0"/>
          <w:marRight w:val="0"/>
          <w:marTop w:val="0"/>
          <w:marBottom w:val="0"/>
          <w:divBdr>
            <w:top w:val="none" w:sz="0" w:space="0" w:color="auto"/>
            <w:left w:val="none" w:sz="0" w:space="0" w:color="auto"/>
            <w:bottom w:val="none" w:sz="0" w:space="0" w:color="auto"/>
            <w:right w:val="none" w:sz="0" w:space="0" w:color="auto"/>
          </w:divBdr>
        </w:div>
        <w:div w:id="2009870809">
          <w:marLeft w:val="0"/>
          <w:marRight w:val="0"/>
          <w:marTop w:val="0"/>
          <w:marBottom w:val="0"/>
          <w:divBdr>
            <w:top w:val="none" w:sz="0" w:space="0" w:color="auto"/>
            <w:left w:val="none" w:sz="0" w:space="0" w:color="auto"/>
            <w:bottom w:val="none" w:sz="0" w:space="0" w:color="auto"/>
            <w:right w:val="none" w:sz="0" w:space="0" w:color="auto"/>
          </w:divBdr>
        </w:div>
        <w:div w:id="1615091485">
          <w:marLeft w:val="0"/>
          <w:marRight w:val="0"/>
          <w:marTop w:val="0"/>
          <w:marBottom w:val="0"/>
          <w:divBdr>
            <w:top w:val="none" w:sz="0" w:space="0" w:color="auto"/>
            <w:left w:val="none" w:sz="0" w:space="0" w:color="auto"/>
            <w:bottom w:val="none" w:sz="0" w:space="0" w:color="auto"/>
            <w:right w:val="none" w:sz="0" w:space="0" w:color="auto"/>
          </w:divBdr>
        </w:div>
        <w:div w:id="648169273">
          <w:marLeft w:val="0"/>
          <w:marRight w:val="0"/>
          <w:marTop w:val="0"/>
          <w:marBottom w:val="0"/>
          <w:divBdr>
            <w:top w:val="none" w:sz="0" w:space="0" w:color="auto"/>
            <w:left w:val="none" w:sz="0" w:space="0" w:color="auto"/>
            <w:bottom w:val="none" w:sz="0" w:space="0" w:color="auto"/>
            <w:right w:val="none" w:sz="0" w:space="0" w:color="auto"/>
          </w:divBdr>
        </w:div>
        <w:div w:id="1947349186">
          <w:marLeft w:val="0"/>
          <w:marRight w:val="0"/>
          <w:marTop w:val="0"/>
          <w:marBottom w:val="0"/>
          <w:divBdr>
            <w:top w:val="none" w:sz="0" w:space="0" w:color="auto"/>
            <w:left w:val="none" w:sz="0" w:space="0" w:color="auto"/>
            <w:bottom w:val="none" w:sz="0" w:space="0" w:color="auto"/>
            <w:right w:val="none" w:sz="0" w:space="0" w:color="auto"/>
          </w:divBdr>
        </w:div>
        <w:div w:id="255285249">
          <w:marLeft w:val="0"/>
          <w:marRight w:val="0"/>
          <w:marTop w:val="0"/>
          <w:marBottom w:val="0"/>
          <w:divBdr>
            <w:top w:val="none" w:sz="0" w:space="0" w:color="auto"/>
            <w:left w:val="none" w:sz="0" w:space="0" w:color="auto"/>
            <w:bottom w:val="none" w:sz="0" w:space="0" w:color="auto"/>
            <w:right w:val="none" w:sz="0" w:space="0" w:color="auto"/>
          </w:divBdr>
        </w:div>
        <w:div w:id="1041128159">
          <w:marLeft w:val="0"/>
          <w:marRight w:val="0"/>
          <w:marTop w:val="0"/>
          <w:marBottom w:val="0"/>
          <w:divBdr>
            <w:top w:val="none" w:sz="0" w:space="0" w:color="auto"/>
            <w:left w:val="none" w:sz="0" w:space="0" w:color="auto"/>
            <w:bottom w:val="none" w:sz="0" w:space="0" w:color="auto"/>
            <w:right w:val="none" w:sz="0" w:space="0" w:color="auto"/>
          </w:divBdr>
        </w:div>
        <w:div w:id="1202866712">
          <w:marLeft w:val="0"/>
          <w:marRight w:val="0"/>
          <w:marTop w:val="0"/>
          <w:marBottom w:val="0"/>
          <w:divBdr>
            <w:top w:val="none" w:sz="0" w:space="0" w:color="auto"/>
            <w:left w:val="none" w:sz="0" w:space="0" w:color="auto"/>
            <w:bottom w:val="none" w:sz="0" w:space="0" w:color="auto"/>
            <w:right w:val="none" w:sz="0" w:space="0" w:color="auto"/>
          </w:divBdr>
        </w:div>
        <w:div w:id="486214078">
          <w:marLeft w:val="0"/>
          <w:marRight w:val="0"/>
          <w:marTop w:val="0"/>
          <w:marBottom w:val="0"/>
          <w:divBdr>
            <w:top w:val="none" w:sz="0" w:space="0" w:color="auto"/>
            <w:left w:val="none" w:sz="0" w:space="0" w:color="auto"/>
            <w:bottom w:val="none" w:sz="0" w:space="0" w:color="auto"/>
            <w:right w:val="none" w:sz="0" w:space="0" w:color="auto"/>
          </w:divBdr>
        </w:div>
        <w:div w:id="1486630228">
          <w:marLeft w:val="0"/>
          <w:marRight w:val="0"/>
          <w:marTop w:val="0"/>
          <w:marBottom w:val="0"/>
          <w:divBdr>
            <w:top w:val="none" w:sz="0" w:space="0" w:color="auto"/>
            <w:left w:val="none" w:sz="0" w:space="0" w:color="auto"/>
            <w:bottom w:val="none" w:sz="0" w:space="0" w:color="auto"/>
            <w:right w:val="none" w:sz="0" w:space="0" w:color="auto"/>
          </w:divBdr>
        </w:div>
        <w:div w:id="1947998055">
          <w:marLeft w:val="0"/>
          <w:marRight w:val="0"/>
          <w:marTop w:val="0"/>
          <w:marBottom w:val="0"/>
          <w:divBdr>
            <w:top w:val="none" w:sz="0" w:space="0" w:color="auto"/>
            <w:left w:val="none" w:sz="0" w:space="0" w:color="auto"/>
            <w:bottom w:val="none" w:sz="0" w:space="0" w:color="auto"/>
            <w:right w:val="none" w:sz="0" w:space="0" w:color="auto"/>
          </w:divBdr>
        </w:div>
        <w:div w:id="1311208873">
          <w:marLeft w:val="0"/>
          <w:marRight w:val="0"/>
          <w:marTop w:val="0"/>
          <w:marBottom w:val="0"/>
          <w:divBdr>
            <w:top w:val="none" w:sz="0" w:space="0" w:color="auto"/>
            <w:left w:val="none" w:sz="0" w:space="0" w:color="auto"/>
            <w:bottom w:val="none" w:sz="0" w:space="0" w:color="auto"/>
            <w:right w:val="none" w:sz="0" w:space="0" w:color="auto"/>
          </w:divBdr>
        </w:div>
        <w:div w:id="95172085">
          <w:marLeft w:val="0"/>
          <w:marRight w:val="0"/>
          <w:marTop w:val="0"/>
          <w:marBottom w:val="0"/>
          <w:divBdr>
            <w:top w:val="none" w:sz="0" w:space="0" w:color="auto"/>
            <w:left w:val="none" w:sz="0" w:space="0" w:color="auto"/>
            <w:bottom w:val="none" w:sz="0" w:space="0" w:color="auto"/>
            <w:right w:val="none" w:sz="0" w:space="0" w:color="auto"/>
          </w:divBdr>
        </w:div>
        <w:div w:id="188301637">
          <w:marLeft w:val="0"/>
          <w:marRight w:val="0"/>
          <w:marTop w:val="0"/>
          <w:marBottom w:val="0"/>
          <w:divBdr>
            <w:top w:val="none" w:sz="0" w:space="0" w:color="auto"/>
            <w:left w:val="none" w:sz="0" w:space="0" w:color="auto"/>
            <w:bottom w:val="none" w:sz="0" w:space="0" w:color="auto"/>
            <w:right w:val="none" w:sz="0" w:space="0" w:color="auto"/>
          </w:divBdr>
        </w:div>
        <w:div w:id="463232595">
          <w:marLeft w:val="0"/>
          <w:marRight w:val="0"/>
          <w:marTop w:val="0"/>
          <w:marBottom w:val="0"/>
          <w:divBdr>
            <w:top w:val="none" w:sz="0" w:space="0" w:color="auto"/>
            <w:left w:val="none" w:sz="0" w:space="0" w:color="auto"/>
            <w:bottom w:val="none" w:sz="0" w:space="0" w:color="auto"/>
            <w:right w:val="none" w:sz="0" w:space="0" w:color="auto"/>
          </w:divBdr>
        </w:div>
        <w:div w:id="904604333">
          <w:marLeft w:val="0"/>
          <w:marRight w:val="0"/>
          <w:marTop w:val="0"/>
          <w:marBottom w:val="0"/>
          <w:divBdr>
            <w:top w:val="none" w:sz="0" w:space="0" w:color="auto"/>
            <w:left w:val="none" w:sz="0" w:space="0" w:color="auto"/>
            <w:bottom w:val="none" w:sz="0" w:space="0" w:color="auto"/>
            <w:right w:val="none" w:sz="0" w:space="0" w:color="auto"/>
          </w:divBdr>
        </w:div>
        <w:div w:id="1346134407">
          <w:marLeft w:val="0"/>
          <w:marRight w:val="0"/>
          <w:marTop w:val="0"/>
          <w:marBottom w:val="0"/>
          <w:divBdr>
            <w:top w:val="none" w:sz="0" w:space="0" w:color="auto"/>
            <w:left w:val="none" w:sz="0" w:space="0" w:color="auto"/>
            <w:bottom w:val="none" w:sz="0" w:space="0" w:color="auto"/>
            <w:right w:val="none" w:sz="0" w:space="0" w:color="auto"/>
          </w:divBdr>
        </w:div>
        <w:div w:id="399718771">
          <w:marLeft w:val="0"/>
          <w:marRight w:val="0"/>
          <w:marTop w:val="0"/>
          <w:marBottom w:val="0"/>
          <w:divBdr>
            <w:top w:val="none" w:sz="0" w:space="0" w:color="auto"/>
            <w:left w:val="none" w:sz="0" w:space="0" w:color="auto"/>
            <w:bottom w:val="none" w:sz="0" w:space="0" w:color="auto"/>
            <w:right w:val="none" w:sz="0" w:space="0" w:color="auto"/>
          </w:divBdr>
        </w:div>
        <w:div w:id="297760541">
          <w:marLeft w:val="0"/>
          <w:marRight w:val="0"/>
          <w:marTop w:val="0"/>
          <w:marBottom w:val="0"/>
          <w:divBdr>
            <w:top w:val="none" w:sz="0" w:space="0" w:color="auto"/>
            <w:left w:val="none" w:sz="0" w:space="0" w:color="auto"/>
            <w:bottom w:val="none" w:sz="0" w:space="0" w:color="auto"/>
            <w:right w:val="none" w:sz="0" w:space="0" w:color="auto"/>
          </w:divBdr>
        </w:div>
        <w:div w:id="877862061">
          <w:marLeft w:val="0"/>
          <w:marRight w:val="0"/>
          <w:marTop w:val="0"/>
          <w:marBottom w:val="0"/>
          <w:divBdr>
            <w:top w:val="none" w:sz="0" w:space="0" w:color="auto"/>
            <w:left w:val="none" w:sz="0" w:space="0" w:color="auto"/>
            <w:bottom w:val="none" w:sz="0" w:space="0" w:color="auto"/>
            <w:right w:val="none" w:sz="0" w:space="0" w:color="auto"/>
          </w:divBdr>
        </w:div>
        <w:div w:id="841631032">
          <w:marLeft w:val="0"/>
          <w:marRight w:val="0"/>
          <w:marTop w:val="0"/>
          <w:marBottom w:val="0"/>
          <w:divBdr>
            <w:top w:val="none" w:sz="0" w:space="0" w:color="auto"/>
            <w:left w:val="none" w:sz="0" w:space="0" w:color="auto"/>
            <w:bottom w:val="none" w:sz="0" w:space="0" w:color="auto"/>
            <w:right w:val="none" w:sz="0" w:space="0" w:color="auto"/>
          </w:divBdr>
        </w:div>
        <w:div w:id="403333760">
          <w:marLeft w:val="0"/>
          <w:marRight w:val="0"/>
          <w:marTop w:val="0"/>
          <w:marBottom w:val="0"/>
          <w:divBdr>
            <w:top w:val="none" w:sz="0" w:space="0" w:color="auto"/>
            <w:left w:val="none" w:sz="0" w:space="0" w:color="auto"/>
            <w:bottom w:val="none" w:sz="0" w:space="0" w:color="auto"/>
            <w:right w:val="none" w:sz="0" w:space="0" w:color="auto"/>
          </w:divBdr>
        </w:div>
        <w:div w:id="1994066792">
          <w:marLeft w:val="0"/>
          <w:marRight w:val="0"/>
          <w:marTop w:val="0"/>
          <w:marBottom w:val="0"/>
          <w:divBdr>
            <w:top w:val="none" w:sz="0" w:space="0" w:color="auto"/>
            <w:left w:val="none" w:sz="0" w:space="0" w:color="auto"/>
            <w:bottom w:val="none" w:sz="0" w:space="0" w:color="auto"/>
            <w:right w:val="none" w:sz="0" w:space="0" w:color="auto"/>
          </w:divBdr>
        </w:div>
        <w:div w:id="772674967">
          <w:marLeft w:val="0"/>
          <w:marRight w:val="0"/>
          <w:marTop w:val="0"/>
          <w:marBottom w:val="0"/>
          <w:divBdr>
            <w:top w:val="none" w:sz="0" w:space="0" w:color="auto"/>
            <w:left w:val="none" w:sz="0" w:space="0" w:color="auto"/>
            <w:bottom w:val="none" w:sz="0" w:space="0" w:color="auto"/>
            <w:right w:val="none" w:sz="0" w:space="0" w:color="auto"/>
          </w:divBdr>
        </w:div>
      </w:divsChild>
    </w:div>
    <w:div w:id="171176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tcourt.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onstcourt.ge/ka/conta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geostat.ge/ka/modules/categories/39/khelfasebi" TargetMode="External"/><Relationship Id="rId13" Type="http://schemas.openxmlformats.org/officeDocument/2006/relationships/hyperlink" Target="https://info.parliament.ge/file/1/BillReviewContent/373858" TargetMode="External"/><Relationship Id="rId18" Type="http://schemas.openxmlformats.org/officeDocument/2006/relationships/hyperlink" Target="https://www.geostat.ge/ka/modules/categories/683/dasakmeba-umushevroba" TargetMode="External"/><Relationship Id="rId26" Type="http://schemas.openxmlformats.org/officeDocument/2006/relationships/hyperlink" Target="https://gyla.ge/post/qartuli-ocneba-protestis-uflebis-bevr-aspeqts-zgudavs" TargetMode="External"/><Relationship Id="rId3" Type="http://schemas.openxmlformats.org/officeDocument/2006/relationships/hyperlink" Target="https://constcourt.ge/ka/judicial-acts?legal=960" TargetMode="External"/><Relationship Id="rId21" Type="http://schemas.openxmlformats.org/officeDocument/2006/relationships/hyperlink" Target="https://gyla.ge/post/saerto-sasamatloebis-shesaxeb-organulikanoni-saerto-gancxadeba" TargetMode="External"/><Relationship Id="rId7" Type="http://schemas.openxmlformats.org/officeDocument/2006/relationships/hyperlink" Target="https://ssa.moh.gov.ge/statistik.php?lang=1&amp;id=202212070002225855299551&amp;v=0" TargetMode="External"/><Relationship Id="rId12" Type="http://schemas.openxmlformats.org/officeDocument/2006/relationships/hyperlink" Target="https://info.parliament.ge/file/1/BillReviewContent/373178" TargetMode="External"/><Relationship Id="rId17" Type="http://schemas.openxmlformats.org/officeDocument/2006/relationships/hyperlink" Target="https://www.geostat.ge/ka/modules/categories/55/sotsialuri-uzrunvelqofa" TargetMode="External"/><Relationship Id="rId25" Type="http://schemas.openxmlformats.org/officeDocument/2006/relationships/hyperlink" Target="https://gyla.ge/post/sajaro-samsaxurisshesaxebkanoni-cvlilebebi" TargetMode="External"/><Relationship Id="rId2" Type="http://schemas.openxmlformats.org/officeDocument/2006/relationships/hyperlink" Target="https://info.parliament.ge/file/1/BillReviewContent/400559" TargetMode="External"/><Relationship Id="rId16" Type="http://schemas.openxmlformats.org/officeDocument/2006/relationships/hyperlink" Target="https://www.geostat.ge/index.php/ka/modules/categories/791/saarsebo-minimumi" TargetMode="External"/><Relationship Id="rId20" Type="http://schemas.openxmlformats.org/officeDocument/2006/relationships/hyperlink" Target="https://gyla.ge/post/saia-gamoxatvistavisuplebis-shesaxeb-kanonshi-cvlilebebi" TargetMode="External"/><Relationship Id="rId29" Type="http://schemas.openxmlformats.org/officeDocument/2006/relationships/hyperlink" Target="https://www.ombudsman.ge/res/docs/2025100210411065406.pdf" TargetMode="External"/><Relationship Id="rId1" Type="http://schemas.openxmlformats.org/officeDocument/2006/relationships/hyperlink" Target="https://info.parliament.ge/file/1/BillReviewContent/373179" TargetMode="External"/><Relationship Id="rId6" Type="http://schemas.openxmlformats.org/officeDocument/2006/relationships/hyperlink" Target="https://matsne.gov.ge/ka/document/view/99592?publication=0" TargetMode="External"/><Relationship Id="rId11" Type="http://schemas.openxmlformats.org/officeDocument/2006/relationships/hyperlink" Target="https://info.parliament.ge/file/1/BillReviewContent/373860" TargetMode="External"/><Relationship Id="rId24" Type="http://schemas.openxmlformats.org/officeDocument/2006/relationships/hyperlink" Target="https://gyla.ge/post/kidev-uprogamkacrebuli-sisxliskanonmdebloba" TargetMode="External"/><Relationship Id="rId5" Type="http://schemas.openxmlformats.org/officeDocument/2006/relationships/hyperlink" Target="https://matsne.gov.ge/document/view/112786?publication=0" TargetMode="External"/><Relationship Id="rId15" Type="http://schemas.openxmlformats.org/officeDocument/2006/relationships/hyperlink" Target="https://info.parliament.ge/file/1/BillReviewContent/377468" TargetMode="External"/><Relationship Id="rId23" Type="http://schemas.openxmlformats.org/officeDocument/2006/relationships/hyperlink" Target="https://gyla.ge/post/saxis-amomcnobi-kamerebi-saia" TargetMode="External"/><Relationship Id="rId28" Type="http://schemas.openxmlformats.org/officeDocument/2006/relationships/hyperlink" Target="https://bm.ge/news/gadaketaven-quchas-300-katsiani-aqtsiit-da-ati-atasobit-lars-ikhdian-biujetshi-irakli-kobakhidze-utsyvet-protestze" TargetMode="External"/><Relationship Id="rId10" Type="http://schemas.openxmlformats.org/officeDocument/2006/relationships/hyperlink" Target="https://info.parliament.ge/file/1/BillReviewContent/376493" TargetMode="External"/><Relationship Id="rId19" Type="http://schemas.openxmlformats.org/officeDocument/2006/relationships/hyperlink" Target="https://gyla.ge/post/sagamodziebo-moqmedebashi-piris-vinaobis-daparva-saia-gancxadeba" TargetMode="External"/><Relationship Id="rId4" Type="http://schemas.openxmlformats.org/officeDocument/2006/relationships/hyperlink" Target="https://constcourt.ge/ka/judicial-acts?legal=1043" TargetMode="External"/><Relationship Id="rId9" Type="http://schemas.openxmlformats.org/officeDocument/2006/relationships/hyperlink" Target="https://www.osce.org/files/f/documents/7/4/429062.pdf" TargetMode="External"/><Relationship Id="rId14" Type="http://schemas.openxmlformats.org/officeDocument/2006/relationships/hyperlink" Target="https://info.parliament.ge/file/1/BillReviewContent/378775" TargetMode="External"/><Relationship Id="rId22" Type="http://schemas.openxmlformats.org/officeDocument/2006/relationships/hyperlink" Target="https://gyla.ge/post/GYLA-avtoritaruli-kanonshemoqmedebis-shepaseba" TargetMode="External"/><Relationship Id="rId27" Type="http://schemas.openxmlformats.org/officeDocument/2006/relationships/hyperlink" Target="https://gyla.ge/post/ra-tsvlilebebi-shedis-administraciul-samartaldargvevata-kodeqssh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DFF9C0789A4C13A6CE89813D24F1E7"/>
        <w:category>
          <w:name w:val="General"/>
          <w:gallery w:val="placeholder"/>
        </w:category>
        <w:types>
          <w:type w:val="bbPlcHdr"/>
        </w:types>
        <w:behaviors>
          <w:behavior w:val="content"/>
        </w:behaviors>
        <w:guid w:val="{91B4339A-7F3D-453D-88B1-3264A8912464}"/>
      </w:docPartPr>
      <w:docPartBody>
        <w:p w:rsidR="007267A6" w:rsidRDefault="00524CCF" w:rsidP="00524CCF">
          <w:pPr>
            <w:pStyle w:val="80DFF9C0789A4C13A6CE89813D24F1E7"/>
          </w:pPr>
          <w:r w:rsidRPr="007A266A">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erriweather">
    <w:altName w:val="Times New Roman"/>
    <w:charset w:val="00"/>
    <w:family w:val="auto"/>
    <w:pitch w:val="default"/>
  </w:font>
  <w:font w:name="Gungsuh">
    <w:charset w:val="81"/>
    <w:family w:val="roman"/>
    <w:pitch w:val="variable"/>
    <w:sig w:usb0="B00002AF" w:usb1="69D77CFB" w:usb2="00000030" w:usb3="00000000" w:csb0="0008009F" w:csb1="00000000"/>
  </w:font>
  <w:font w:name="___WRD_EMBED_SUB_856">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2">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CCF"/>
    <w:rsid w:val="00141686"/>
    <w:rsid w:val="00524CCF"/>
    <w:rsid w:val="00716E2A"/>
    <w:rsid w:val="0072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524CCF"/>
    <w:rPr>
      <w:color w:val="808080"/>
    </w:rPr>
  </w:style>
  <w:style w:type="paragraph" w:customStyle="1" w:styleId="80DFF9C0789A4C13A6CE89813D24F1E7">
    <w:name w:val="80DFF9C0789A4C13A6CE89813D24F1E7"/>
    <w:rsid w:val="00524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16324</Words>
  <Characters>93051</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true</dc:title>
  <dc:subject>true</dc:subject>
  <dc:creator>true</dc:creator>
  <cp:keywords>true</cp:keywords>
  <cp:lastModifiedBy>arqivi</cp:lastModifiedBy>
  <cp:revision>16</cp:revision>
  <dcterms:created xsi:type="dcterms:W3CDTF">2025-12-10T11:31:00Z</dcterms:created>
  <dcterms:modified xsi:type="dcterms:W3CDTF">2025-12-16T13:17:00Z</dcterms:modified>
</cp:coreProperties>
</file>